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8B9C58D" w14:textId="77777777" w:rsidR="00B44CB3" w:rsidRDefault="00B44CB3" w:rsidP="005D3BDE">
      <w:pPr>
        <w:spacing w:line="276" w:lineRule="auto"/>
        <w:jc w:val="both"/>
        <w:rPr>
          <w:rFonts w:asciiTheme="majorHAnsi" w:hAnsiTheme="majorHAnsi" w:cstheme="majorHAnsi"/>
          <w:b/>
          <w:bCs/>
          <w:sz w:val="24"/>
          <w:szCs w:val="24"/>
        </w:rPr>
      </w:pPr>
      <w:bookmarkStart w:id="0" w:name="_GoBack"/>
      <w:bookmarkEnd w:id="0"/>
    </w:p>
    <w:p w14:paraId="5ED9EF8D" w14:textId="77777777" w:rsidR="00B44CB3" w:rsidRDefault="00B44CB3" w:rsidP="005D3BDE">
      <w:pPr>
        <w:spacing w:line="276" w:lineRule="auto"/>
        <w:jc w:val="both"/>
        <w:rPr>
          <w:rFonts w:asciiTheme="majorHAnsi" w:hAnsiTheme="majorHAnsi" w:cstheme="majorHAnsi"/>
          <w:b/>
          <w:bCs/>
          <w:sz w:val="24"/>
          <w:szCs w:val="24"/>
        </w:rPr>
      </w:pPr>
    </w:p>
    <w:p w14:paraId="6C832218" w14:textId="77777777" w:rsidR="00B44CB3" w:rsidRDefault="00B44CB3" w:rsidP="005D3BDE">
      <w:pPr>
        <w:spacing w:line="276" w:lineRule="auto"/>
        <w:jc w:val="both"/>
        <w:rPr>
          <w:rFonts w:asciiTheme="majorHAnsi" w:hAnsiTheme="majorHAnsi" w:cstheme="majorHAnsi"/>
          <w:b/>
          <w:bCs/>
          <w:sz w:val="24"/>
          <w:szCs w:val="24"/>
        </w:rPr>
      </w:pPr>
    </w:p>
    <w:p w14:paraId="5EC6B400" w14:textId="63813D56" w:rsidR="00B44CB3" w:rsidRPr="00B44CB3" w:rsidRDefault="00B44CB3" w:rsidP="00B44CB3">
      <w:pPr>
        <w:spacing w:line="276" w:lineRule="auto"/>
        <w:jc w:val="center"/>
        <w:rPr>
          <w:rFonts w:asciiTheme="majorHAnsi" w:hAnsiTheme="majorHAnsi" w:cstheme="majorHAnsi"/>
          <w:b/>
          <w:bCs/>
          <w:sz w:val="28"/>
          <w:szCs w:val="28"/>
        </w:rPr>
      </w:pPr>
      <w:r w:rsidRPr="00B44CB3">
        <w:rPr>
          <w:rFonts w:asciiTheme="majorHAnsi" w:hAnsiTheme="majorHAnsi" w:cstheme="majorHAnsi"/>
          <w:b/>
          <w:bCs/>
          <w:sz w:val="28"/>
          <w:szCs w:val="28"/>
        </w:rPr>
        <w:t>PRESENTACIÓN A LA COMISIÓN DE EDUCACIÓN DEL SENADO</w:t>
      </w:r>
    </w:p>
    <w:p w14:paraId="07F444E3" w14:textId="701AFF68" w:rsidR="00B44CB3" w:rsidRPr="00B44CB3" w:rsidRDefault="00B44CB3" w:rsidP="00B44CB3">
      <w:pPr>
        <w:spacing w:line="276" w:lineRule="auto"/>
        <w:jc w:val="center"/>
        <w:rPr>
          <w:rFonts w:asciiTheme="majorHAnsi" w:hAnsiTheme="majorHAnsi" w:cstheme="majorHAnsi"/>
          <w:b/>
          <w:bCs/>
          <w:sz w:val="28"/>
          <w:szCs w:val="28"/>
        </w:rPr>
      </w:pPr>
      <w:r w:rsidRPr="00B44CB3">
        <w:rPr>
          <w:rFonts w:asciiTheme="majorHAnsi" w:hAnsiTheme="majorHAnsi" w:cstheme="majorHAnsi"/>
          <w:b/>
          <w:bCs/>
          <w:sz w:val="28"/>
          <w:szCs w:val="28"/>
        </w:rPr>
        <w:t>PROYECTO DE LEY SOBRE EDUCACIÓN SUPERIOR APROBADO</w:t>
      </w:r>
    </w:p>
    <w:p w14:paraId="4103669F" w14:textId="77777777" w:rsidR="00B44CB3" w:rsidRPr="00B44CB3" w:rsidRDefault="00B44CB3" w:rsidP="00B44CB3">
      <w:pPr>
        <w:spacing w:line="276" w:lineRule="auto"/>
        <w:jc w:val="center"/>
        <w:rPr>
          <w:rFonts w:asciiTheme="majorHAnsi" w:hAnsiTheme="majorHAnsi" w:cstheme="majorHAnsi"/>
          <w:b/>
          <w:bCs/>
          <w:sz w:val="28"/>
          <w:szCs w:val="28"/>
        </w:rPr>
      </w:pPr>
      <w:r w:rsidRPr="00B44CB3">
        <w:rPr>
          <w:rFonts w:asciiTheme="majorHAnsi" w:hAnsiTheme="majorHAnsi" w:cstheme="majorHAnsi"/>
          <w:b/>
          <w:bCs/>
          <w:sz w:val="28"/>
          <w:szCs w:val="28"/>
        </w:rPr>
        <w:t>POR LA CÁMARA DE DIPUTADOS (Boletín n° 10.783-04)</w:t>
      </w:r>
    </w:p>
    <w:p w14:paraId="3A84B768" w14:textId="77777777" w:rsidR="00B44CB3" w:rsidRPr="00B44CB3" w:rsidRDefault="00B44CB3" w:rsidP="00B44CB3">
      <w:pPr>
        <w:spacing w:line="276" w:lineRule="auto"/>
        <w:jc w:val="center"/>
        <w:rPr>
          <w:rFonts w:asciiTheme="majorHAnsi" w:hAnsiTheme="majorHAnsi" w:cstheme="majorHAnsi"/>
          <w:b/>
          <w:bCs/>
          <w:sz w:val="28"/>
          <w:szCs w:val="28"/>
        </w:rPr>
      </w:pPr>
      <w:r w:rsidRPr="00B44CB3">
        <w:rPr>
          <w:rFonts w:asciiTheme="majorHAnsi" w:hAnsiTheme="majorHAnsi" w:cstheme="majorHAnsi"/>
          <w:b/>
          <w:bCs/>
          <w:sz w:val="28"/>
          <w:szCs w:val="28"/>
        </w:rPr>
        <w:t>Santiago, 04 de septiembre de 2017</w:t>
      </w:r>
    </w:p>
    <w:p w14:paraId="107CDBDD" w14:textId="06E2B366" w:rsidR="00B44CB3" w:rsidRDefault="00B44CB3" w:rsidP="00B44CB3">
      <w:pPr>
        <w:spacing w:line="276" w:lineRule="auto"/>
        <w:rPr>
          <w:rFonts w:asciiTheme="majorHAnsi" w:hAnsiTheme="majorHAnsi" w:cstheme="majorHAnsi"/>
          <w:b/>
          <w:bCs/>
          <w:sz w:val="28"/>
          <w:szCs w:val="28"/>
        </w:rPr>
      </w:pPr>
    </w:p>
    <w:p w14:paraId="4208FE36" w14:textId="4D79E2F6" w:rsidR="00B44CB3" w:rsidRDefault="00B44CB3" w:rsidP="00B44CB3">
      <w:pPr>
        <w:spacing w:line="276" w:lineRule="auto"/>
        <w:rPr>
          <w:rFonts w:asciiTheme="majorHAnsi" w:hAnsiTheme="majorHAnsi" w:cstheme="majorHAnsi"/>
          <w:b/>
          <w:bCs/>
          <w:sz w:val="28"/>
          <w:szCs w:val="28"/>
        </w:rPr>
      </w:pPr>
    </w:p>
    <w:p w14:paraId="5804D819" w14:textId="0F3A9A8B" w:rsidR="00B44CB3" w:rsidRDefault="00B44CB3" w:rsidP="00B44CB3">
      <w:pPr>
        <w:spacing w:line="276" w:lineRule="auto"/>
        <w:rPr>
          <w:rFonts w:asciiTheme="majorHAnsi" w:hAnsiTheme="majorHAnsi" w:cstheme="majorHAnsi"/>
          <w:b/>
          <w:bCs/>
          <w:sz w:val="28"/>
          <w:szCs w:val="28"/>
        </w:rPr>
      </w:pPr>
    </w:p>
    <w:p w14:paraId="56477480" w14:textId="77777777" w:rsidR="00B44CB3" w:rsidRPr="00B44CB3" w:rsidRDefault="00B44CB3" w:rsidP="00B44CB3">
      <w:pPr>
        <w:spacing w:line="276" w:lineRule="auto"/>
        <w:rPr>
          <w:rFonts w:asciiTheme="majorHAnsi" w:hAnsiTheme="majorHAnsi" w:cstheme="majorHAnsi"/>
          <w:b/>
          <w:bCs/>
          <w:sz w:val="28"/>
          <w:szCs w:val="28"/>
        </w:rPr>
      </w:pPr>
    </w:p>
    <w:p w14:paraId="3FB34481" w14:textId="59A43400" w:rsidR="00B44CB3" w:rsidRDefault="00B44CB3" w:rsidP="00B44CB3">
      <w:pPr>
        <w:spacing w:line="276" w:lineRule="auto"/>
        <w:rPr>
          <w:rFonts w:asciiTheme="majorHAnsi" w:hAnsiTheme="majorHAnsi" w:cstheme="majorHAnsi"/>
          <w:b/>
          <w:bCs/>
          <w:sz w:val="24"/>
          <w:szCs w:val="24"/>
        </w:rPr>
      </w:pPr>
    </w:p>
    <w:p w14:paraId="74BD36CD" w14:textId="01808C35" w:rsidR="00B44CB3" w:rsidRDefault="00B44CB3" w:rsidP="00B44CB3">
      <w:pPr>
        <w:spacing w:line="276" w:lineRule="auto"/>
        <w:rPr>
          <w:rFonts w:asciiTheme="majorHAnsi" w:hAnsiTheme="majorHAnsi" w:cstheme="majorHAnsi"/>
          <w:b/>
          <w:bCs/>
          <w:sz w:val="24"/>
          <w:szCs w:val="24"/>
        </w:rPr>
      </w:pPr>
    </w:p>
    <w:p w14:paraId="2ED1396A" w14:textId="3EA2667F" w:rsidR="00B44CB3" w:rsidRDefault="00B44CB3" w:rsidP="00B44CB3">
      <w:pPr>
        <w:spacing w:line="276" w:lineRule="auto"/>
        <w:rPr>
          <w:rFonts w:asciiTheme="majorHAnsi" w:hAnsiTheme="majorHAnsi" w:cstheme="majorHAnsi"/>
          <w:b/>
          <w:bCs/>
          <w:sz w:val="24"/>
          <w:szCs w:val="24"/>
        </w:rPr>
      </w:pPr>
    </w:p>
    <w:p w14:paraId="37878A2B" w14:textId="7742FC09" w:rsidR="00B44CB3" w:rsidRDefault="00B44CB3" w:rsidP="00B44CB3">
      <w:pPr>
        <w:spacing w:line="276" w:lineRule="auto"/>
        <w:rPr>
          <w:rFonts w:asciiTheme="majorHAnsi" w:hAnsiTheme="majorHAnsi" w:cstheme="majorHAnsi"/>
          <w:b/>
          <w:bCs/>
          <w:sz w:val="24"/>
          <w:szCs w:val="24"/>
        </w:rPr>
      </w:pPr>
      <w:r>
        <w:rPr>
          <w:rFonts w:asciiTheme="majorHAnsi" w:hAnsiTheme="majorHAnsi" w:cstheme="majorHAnsi"/>
          <w:b/>
          <w:bCs/>
          <w:noProof/>
          <w:sz w:val="24"/>
          <w:szCs w:val="24"/>
          <w:lang w:eastAsia="es-CL"/>
        </w:rPr>
        <w:drawing>
          <wp:anchor distT="0" distB="0" distL="114300" distR="114300" simplePos="0" relativeHeight="251661312" behindDoc="0" locked="0" layoutInCell="1" allowOverlap="1" wp14:anchorId="32581337" wp14:editId="2369DC2D">
            <wp:simplePos x="0" y="0"/>
            <wp:positionH relativeFrom="margin">
              <wp:posOffset>748665</wp:posOffset>
            </wp:positionH>
            <wp:positionV relativeFrom="paragraph">
              <wp:posOffset>10160</wp:posOffset>
            </wp:positionV>
            <wp:extent cx="4057650" cy="158559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p-logo-03.png"/>
                    <pic:cNvPicPr/>
                  </pic:nvPicPr>
                  <pic:blipFill>
                    <a:blip r:embed="rId9">
                      <a:extLst>
                        <a:ext uri="{28A0092B-C50C-407E-A947-70E740481C1C}">
                          <a14:useLocalDpi xmlns:a14="http://schemas.microsoft.com/office/drawing/2010/main" val="0"/>
                        </a:ext>
                      </a:extLst>
                    </a:blip>
                    <a:stretch>
                      <a:fillRect/>
                    </a:stretch>
                  </pic:blipFill>
                  <pic:spPr>
                    <a:xfrm>
                      <a:off x="0" y="0"/>
                      <a:ext cx="4057650" cy="1585595"/>
                    </a:xfrm>
                    <a:prstGeom prst="rect">
                      <a:avLst/>
                    </a:prstGeom>
                  </pic:spPr>
                </pic:pic>
              </a:graphicData>
            </a:graphic>
            <wp14:sizeRelH relativeFrom="margin">
              <wp14:pctWidth>0</wp14:pctWidth>
            </wp14:sizeRelH>
            <wp14:sizeRelV relativeFrom="margin">
              <wp14:pctHeight>0</wp14:pctHeight>
            </wp14:sizeRelV>
          </wp:anchor>
        </w:drawing>
      </w:r>
    </w:p>
    <w:p w14:paraId="75ADD752" w14:textId="1B168DD9" w:rsidR="00B44CB3" w:rsidRDefault="00B44CB3" w:rsidP="00B44CB3">
      <w:pPr>
        <w:spacing w:line="276" w:lineRule="auto"/>
        <w:rPr>
          <w:rFonts w:asciiTheme="majorHAnsi" w:hAnsiTheme="majorHAnsi" w:cstheme="majorHAnsi"/>
          <w:b/>
          <w:bCs/>
          <w:sz w:val="24"/>
          <w:szCs w:val="24"/>
        </w:rPr>
      </w:pPr>
    </w:p>
    <w:p w14:paraId="19FCCA92" w14:textId="5124C427" w:rsidR="00B44CB3" w:rsidRDefault="00B44CB3" w:rsidP="00B44CB3">
      <w:pPr>
        <w:spacing w:line="276" w:lineRule="auto"/>
        <w:rPr>
          <w:rFonts w:asciiTheme="majorHAnsi" w:hAnsiTheme="majorHAnsi" w:cstheme="majorHAnsi"/>
          <w:b/>
          <w:bCs/>
          <w:sz w:val="24"/>
          <w:szCs w:val="24"/>
        </w:rPr>
      </w:pPr>
    </w:p>
    <w:p w14:paraId="6D357996" w14:textId="07697EF0" w:rsidR="00B44CB3" w:rsidRDefault="00B44CB3" w:rsidP="00B44CB3">
      <w:pPr>
        <w:spacing w:line="276" w:lineRule="auto"/>
        <w:rPr>
          <w:rFonts w:asciiTheme="majorHAnsi" w:hAnsiTheme="majorHAnsi" w:cstheme="majorHAnsi"/>
          <w:b/>
          <w:bCs/>
          <w:sz w:val="24"/>
          <w:szCs w:val="24"/>
        </w:rPr>
      </w:pPr>
    </w:p>
    <w:p w14:paraId="753784AB" w14:textId="4A329C80" w:rsidR="00B44CB3" w:rsidRDefault="00B44CB3" w:rsidP="00B44CB3">
      <w:pPr>
        <w:spacing w:line="276" w:lineRule="auto"/>
        <w:rPr>
          <w:rFonts w:asciiTheme="majorHAnsi" w:hAnsiTheme="majorHAnsi" w:cstheme="majorHAnsi"/>
          <w:b/>
          <w:bCs/>
          <w:sz w:val="24"/>
          <w:szCs w:val="24"/>
        </w:rPr>
      </w:pPr>
    </w:p>
    <w:p w14:paraId="12AAB9A9" w14:textId="10ED187B" w:rsidR="00B44CB3" w:rsidRDefault="00B44CB3" w:rsidP="00B44CB3">
      <w:pPr>
        <w:spacing w:line="276" w:lineRule="auto"/>
        <w:rPr>
          <w:rFonts w:asciiTheme="majorHAnsi" w:hAnsiTheme="majorHAnsi" w:cstheme="majorHAnsi"/>
          <w:b/>
          <w:bCs/>
          <w:sz w:val="24"/>
          <w:szCs w:val="24"/>
        </w:rPr>
      </w:pPr>
    </w:p>
    <w:p w14:paraId="0DA9C499" w14:textId="61CB1D54" w:rsidR="00B44CB3" w:rsidRDefault="00B44CB3" w:rsidP="00B44CB3">
      <w:pPr>
        <w:spacing w:line="276" w:lineRule="auto"/>
        <w:rPr>
          <w:rFonts w:asciiTheme="majorHAnsi" w:hAnsiTheme="majorHAnsi" w:cstheme="majorHAnsi"/>
          <w:b/>
          <w:bCs/>
          <w:sz w:val="24"/>
          <w:szCs w:val="24"/>
        </w:rPr>
      </w:pPr>
    </w:p>
    <w:p w14:paraId="03A10F2A" w14:textId="35B71388" w:rsidR="00B44CB3" w:rsidRDefault="00B44CB3" w:rsidP="00B44CB3">
      <w:pPr>
        <w:spacing w:line="276" w:lineRule="auto"/>
        <w:rPr>
          <w:rFonts w:asciiTheme="majorHAnsi" w:hAnsiTheme="majorHAnsi" w:cstheme="majorHAnsi"/>
          <w:b/>
          <w:bCs/>
          <w:sz w:val="24"/>
          <w:szCs w:val="24"/>
        </w:rPr>
      </w:pPr>
    </w:p>
    <w:p w14:paraId="4B752039" w14:textId="677E4AD3" w:rsidR="00B44CB3" w:rsidRDefault="00B44CB3" w:rsidP="00B44CB3">
      <w:pPr>
        <w:spacing w:line="276" w:lineRule="auto"/>
        <w:rPr>
          <w:rFonts w:asciiTheme="majorHAnsi" w:hAnsiTheme="majorHAnsi" w:cstheme="majorHAnsi"/>
          <w:b/>
          <w:bCs/>
          <w:sz w:val="24"/>
          <w:szCs w:val="24"/>
        </w:rPr>
      </w:pPr>
    </w:p>
    <w:p w14:paraId="73096C65" w14:textId="6B5C530A" w:rsidR="00B44CB3" w:rsidRDefault="00B44CB3" w:rsidP="00B44CB3">
      <w:pPr>
        <w:spacing w:line="276" w:lineRule="auto"/>
        <w:jc w:val="center"/>
        <w:rPr>
          <w:rFonts w:asciiTheme="majorHAnsi" w:hAnsiTheme="majorHAnsi" w:cstheme="majorHAnsi"/>
          <w:b/>
          <w:bCs/>
          <w:sz w:val="24"/>
          <w:szCs w:val="24"/>
        </w:rPr>
      </w:pPr>
    </w:p>
    <w:p w14:paraId="4FEAA0FD" w14:textId="47B28A39" w:rsidR="00B44CB3" w:rsidRDefault="00B44CB3" w:rsidP="00B44CB3">
      <w:pPr>
        <w:spacing w:line="276" w:lineRule="auto"/>
        <w:jc w:val="center"/>
        <w:rPr>
          <w:rFonts w:asciiTheme="majorHAnsi" w:hAnsiTheme="majorHAnsi" w:cstheme="majorHAnsi"/>
          <w:b/>
          <w:bCs/>
          <w:sz w:val="24"/>
          <w:szCs w:val="24"/>
        </w:rPr>
      </w:pPr>
    </w:p>
    <w:p w14:paraId="276D8E7E" w14:textId="4E599A42" w:rsidR="00B44CB3" w:rsidRDefault="00B44CB3" w:rsidP="00B44CB3">
      <w:pPr>
        <w:spacing w:line="276" w:lineRule="auto"/>
        <w:jc w:val="center"/>
        <w:rPr>
          <w:rFonts w:asciiTheme="majorHAnsi" w:hAnsiTheme="majorHAnsi" w:cstheme="majorHAnsi"/>
          <w:b/>
          <w:bCs/>
          <w:sz w:val="24"/>
          <w:szCs w:val="24"/>
        </w:rPr>
      </w:pPr>
    </w:p>
    <w:p w14:paraId="5E7FBE20" w14:textId="340920A0" w:rsidR="00B44CB3" w:rsidRDefault="00B44CB3" w:rsidP="00B44CB3">
      <w:pPr>
        <w:spacing w:line="276" w:lineRule="auto"/>
        <w:jc w:val="center"/>
        <w:rPr>
          <w:rFonts w:asciiTheme="majorHAnsi" w:hAnsiTheme="majorHAnsi" w:cstheme="majorHAnsi"/>
          <w:b/>
          <w:bCs/>
          <w:sz w:val="24"/>
          <w:szCs w:val="24"/>
        </w:rPr>
      </w:pPr>
    </w:p>
    <w:p w14:paraId="5D356128" w14:textId="6AADBA4B" w:rsidR="00B44CB3" w:rsidRDefault="00B44CB3" w:rsidP="00B44CB3">
      <w:pPr>
        <w:spacing w:line="276" w:lineRule="auto"/>
        <w:jc w:val="center"/>
        <w:rPr>
          <w:rFonts w:asciiTheme="majorHAnsi" w:hAnsiTheme="majorHAnsi" w:cstheme="majorHAnsi"/>
          <w:b/>
          <w:bCs/>
          <w:sz w:val="24"/>
          <w:szCs w:val="24"/>
        </w:rPr>
      </w:pPr>
    </w:p>
    <w:p w14:paraId="25D0BB2F" w14:textId="0104B794" w:rsidR="00B44CB3" w:rsidRDefault="00B44CB3" w:rsidP="00B44CB3">
      <w:pPr>
        <w:spacing w:line="276" w:lineRule="auto"/>
        <w:jc w:val="center"/>
        <w:rPr>
          <w:rFonts w:asciiTheme="majorHAnsi" w:hAnsiTheme="majorHAnsi" w:cstheme="majorHAnsi"/>
          <w:b/>
          <w:bCs/>
          <w:sz w:val="24"/>
          <w:szCs w:val="24"/>
        </w:rPr>
      </w:pPr>
    </w:p>
    <w:p w14:paraId="2D03549A" w14:textId="77777777" w:rsidR="00B44CB3" w:rsidRPr="00B7047D" w:rsidRDefault="00B44CB3" w:rsidP="00B44CB3">
      <w:pPr>
        <w:spacing w:line="276" w:lineRule="auto"/>
        <w:jc w:val="center"/>
        <w:rPr>
          <w:rFonts w:asciiTheme="majorHAnsi" w:hAnsiTheme="majorHAnsi" w:cstheme="majorHAnsi"/>
          <w:b/>
          <w:bCs/>
          <w:sz w:val="24"/>
          <w:szCs w:val="24"/>
        </w:rPr>
      </w:pPr>
    </w:p>
    <w:p w14:paraId="2A750D2B" w14:textId="77777777" w:rsidR="00B44CB3" w:rsidRPr="00B44CB3" w:rsidRDefault="00B44CB3" w:rsidP="00B44CB3">
      <w:pPr>
        <w:spacing w:line="276" w:lineRule="auto"/>
        <w:jc w:val="center"/>
        <w:rPr>
          <w:rFonts w:asciiTheme="majorHAnsi" w:hAnsiTheme="majorHAnsi" w:cstheme="majorHAnsi"/>
          <w:b/>
          <w:bCs/>
          <w:sz w:val="28"/>
          <w:szCs w:val="28"/>
        </w:rPr>
      </w:pPr>
    </w:p>
    <w:p w14:paraId="210B60EA" w14:textId="0670A4F5" w:rsidR="00B44CB3" w:rsidRPr="00B44CB3" w:rsidRDefault="00B44CB3" w:rsidP="00B44CB3">
      <w:pPr>
        <w:spacing w:line="276" w:lineRule="auto"/>
        <w:jc w:val="center"/>
        <w:rPr>
          <w:rFonts w:asciiTheme="majorHAnsi" w:hAnsiTheme="majorHAnsi" w:cstheme="majorHAnsi"/>
          <w:b/>
          <w:bCs/>
          <w:sz w:val="28"/>
          <w:szCs w:val="28"/>
        </w:rPr>
      </w:pPr>
      <w:r w:rsidRPr="00B44CB3">
        <w:rPr>
          <w:rFonts w:asciiTheme="majorHAnsi" w:hAnsiTheme="majorHAnsi" w:cstheme="majorHAnsi"/>
          <w:b/>
          <w:bCs/>
          <w:sz w:val="28"/>
          <w:szCs w:val="28"/>
        </w:rPr>
        <w:t xml:space="preserve">Rectora Pilar </w:t>
      </w:r>
      <w:proofErr w:type="spellStart"/>
      <w:r w:rsidRPr="00B44CB3">
        <w:rPr>
          <w:rFonts w:asciiTheme="majorHAnsi" w:hAnsiTheme="majorHAnsi" w:cstheme="majorHAnsi"/>
          <w:b/>
          <w:bCs/>
          <w:sz w:val="28"/>
          <w:szCs w:val="28"/>
        </w:rPr>
        <w:t>Armanet</w:t>
      </w:r>
      <w:proofErr w:type="spellEnd"/>
      <w:r w:rsidRPr="00B44CB3">
        <w:rPr>
          <w:rFonts w:asciiTheme="majorHAnsi" w:hAnsiTheme="majorHAnsi" w:cstheme="majorHAnsi"/>
          <w:b/>
          <w:bCs/>
          <w:sz w:val="28"/>
          <w:szCs w:val="28"/>
        </w:rPr>
        <w:t xml:space="preserve"> </w:t>
      </w:r>
      <w:proofErr w:type="spellStart"/>
      <w:r w:rsidRPr="00B44CB3">
        <w:rPr>
          <w:rFonts w:asciiTheme="majorHAnsi" w:hAnsiTheme="majorHAnsi" w:cstheme="majorHAnsi"/>
          <w:b/>
          <w:bCs/>
          <w:sz w:val="28"/>
          <w:szCs w:val="28"/>
        </w:rPr>
        <w:t>Armanet</w:t>
      </w:r>
      <w:proofErr w:type="spellEnd"/>
    </w:p>
    <w:p w14:paraId="4C91AA41" w14:textId="77777777" w:rsidR="00B44CB3" w:rsidRPr="00B44CB3" w:rsidRDefault="00B44CB3" w:rsidP="00B44CB3">
      <w:pPr>
        <w:spacing w:line="276" w:lineRule="auto"/>
        <w:jc w:val="center"/>
        <w:rPr>
          <w:rFonts w:asciiTheme="majorHAnsi" w:hAnsiTheme="majorHAnsi" w:cstheme="majorHAnsi"/>
          <w:b/>
          <w:bCs/>
          <w:sz w:val="28"/>
          <w:szCs w:val="28"/>
        </w:rPr>
      </w:pPr>
      <w:r w:rsidRPr="00B44CB3">
        <w:rPr>
          <w:rFonts w:asciiTheme="majorHAnsi" w:hAnsiTheme="majorHAnsi" w:cstheme="majorHAnsi"/>
          <w:b/>
          <w:bCs/>
          <w:sz w:val="28"/>
          <w:szCs w:val="28"/>
        </w:rPr>
        <w:t>Presidenta Corporación de Universidades Privadas</w:t>
      </w:r>
    </w:p>
    <w:p w14:paraId="4A5017D0" w14:textId="77777777" w:rsidR="00B44CB3" w:rsidRDefault="00B44CB3" w:rsidP="00B44CB3">
      <w:pPr>
        <w:jc w:val="both"/>
        <w:rPr>
          <w:rFonts w:asciiTheme="majorHAnsi" w:hAnsiTheme="majorHAnsi" w:cstheme="majorHAnsi"/>
          <w:sz w:val="24"/>
          <w:szCs w:val="24"/>
        </w:rPr>
      </w:pPr>
    </w:p>
    <w:p w14:paraId="4A307CDD" w14:textId="77777777" w:rsidR="00B44CB3" w:rsidRDefault="00B44CB3" w:rsidP="005D3BDE">
      <w:pPr>
        <w:spacing w:line="276" w:lineRule="auto"/>
        <w:jc w:val="both"/>
        <w:rPr>
          <w:rFonts w:asciiTheme="majorHAnsi" w:hAnsiTheme="majorHAnsi" w:cstheme="majorHAnsi"/>
          <w:b/>
          <w:bCs/>
          <w:sz w:val="24"/>
          <w:szCs w:val="24"/>
        </w:rPr>
      </w:pPr>
    </w:p>
    <w:p w14:paraId="7BD33CEC" w14:textId="52D12993" w:rsidR="00B44CB3" w:rsidRDefault="00B44CB3" w:rsidP="005D3BDE">
      <w:pPr>
        <w:spacing w:line="276" w:lineRule="auto"/>
        <w:jc w:val="both"/>
        <w:rPr>
          <w:rFonts w:asciiTheme="majorHAnsi" w:hAnsiTheme="majorHAnsi" w:cstheme="majorHAnsi"/>
          <w:b/>
          <w:bCs/>
          <w:sz w:val="24"/>
          <w:szCs w:val="24"/>
        </w:rPr>
      </w:pPr>
    </w:p>
    <w:p w14:paraId="29B7A49A" w14:textId="77777777" w:rsidR="00B44CB3" w:rsidRDefault="00B44CB3" w:rsidP="005D3BDE">
      <w:pPr>
        <w:spacing w:line="276" w:lineRule="auto"/>
        <w:jc w:val="both"/>
        <w:rPr>
          <w:rFonts w:asciiTheme="majorHAnsi" w:hAnsiTheme="majorHAnsi" w:cstheme="majorHAnsi"/>
          <w:b/>
          <w:bCs/>
          <w:sz w:val="24"/>
          <w:szCs w:val="24"/>
        </w:rPr>
      </w:pPr>
    </w:p>
    <w:p w14:paraId="590BE936" w14:textId="77777777" w:rsidR="00FA6077" w:rsidRDefault="00FA6077" w:rsidP="00FA6077">
      <w:pPr>
        <w:spacing w:line="276" w:lineRule="auto"/>
        <w:jc w:val="both"/>
        <w:rPr>
          <w:rFonts w:asciiTheme="majorHAnsi" w:hAnsiTheme="majorHAnsi" w:cstheme="majorHAnsi"/>
          <w:b/>
          <w:bCs/>
          <w:sz w:val="24"/>
          <w:szCs w:val="24"/>
        </w:rPr>
      </w:pPr>
      <w:r w:rsidRPr="00B7047D">
        <w:rPr>
          <w:rFonts w:asciiTheme="majorHAnsi" w:hAnsiTheme="majorHAnsi" w:cstheme="majorHAnsi"/>
          <w:b/>
          <w:bCs/>
          <w:sz w:val="24"/>
          <w:szCs w:val="24"/>
        </w:rPr>
        <w:lastRenderedPageBreak/>
        <w:t xml:space="preserve">PRESENTACIÓN A LA COMISIÓN DE EDUCACIÓN DEL SENADO </w:t>
      </w:r>
    </w:p>
    <w:p w14:paraId="38FEAA63" w14:textId="77777777" w:rsidR="00FA6077" w:rsidRPr="00B7047D" w:rsidRDefault="00FA6077" w:rsidP="00FA6077">
      <w:pPr>
        <w:spacing w:line="276" w:lineRule="auto"/>
        <w:jc w:val="both"/>
        <w:rPr>
          <w:rFonts w:asciiTheme="majorHAnsi" w:hAnsiTheme="majorHAnsi" w:cstheme="majorHAnsi"/>
          <w:b/>
          <w:bCs/>
          <w:sz w:val="24"/>
          <w:szCs w:val="24"/>
        </w:rPr>
      </w:pPr>
      <w:r w:rsidRPr="00B7047D">
        <w:rPr>
          <w:rFonts w:asciiTheme="majorHAnsi" w:hAnsiTheme="majorHAnsi" w:cstheme="majorHAnsi"/>
          <w:b/>
          <w:bCs/>
          <w:sz w:val="24"/>
          <w:szCs w:val="24"/>
        </w:rPr>
        <w:t>PROYECTO DE LEY SOBRE EDUCACIÓN SUPERIOR APROBADO POR LA CÁMARA DE DIPUTADOS (Boletín n° 10.783-04)</w:t>
      </w:r>
    </w:p>
    <w:p w14:paraId="1CDB75C7" w14:textId="77777777" w:rsidR="00FA6077" w:rsidRPr="00B7047D" w:rsidRDefault="00FA6077" w:rsidP="00FA6077">
      <w:pPr>
        <w:spacing w:line="276" w:lineRule="auto"/>
        <w:jc w:val="both"/>
        <w:rPr>
          <w:rFonts w:asciiTheme="majorHAnsi" w:hAnsiTheme="majorHAnsi" w:cstheme="majorHAnsi"/>
          <w:b/>
          <w:bCs/>
          <w:sz w:val="24"/>
          <w:szCs w:val="24"/>
        </w:rPr>
      </w:pPr>
      <w:r w:rsidRPr="00B7047D">
        <w:rPr>
          <w:rFonts w:asciiTheme="majorHAnsi" w:hAnsiTheme="majorHAnsi" w:cstheme="majorHAnsi"/>
          <w:b/>
          <w:bCs/>
          <w:sz w:val="24"/>
          <w:szCs w:val="24"/>
        </w:rPr>
        <w:t>04.09.2017</w:t>
      </w:r>
    </w:p>
    <w:p w14:paraId="2A4216A8" w14:textId="77777777" w:rsidR="00FA6077" w:rsidRPr="00B7047D" w:rsidRDefault="00FA6077" w:rsidP="00FA6077">
      <w:pPr>
        <w:spacing w:line="276" w:lineRule="auto"/>
        <w:rPr>
          <w:rFonts w:asciiTheme="majorHAnsi" w:hAnsiTheme="majorHAnsi" w:cstheme="majorHAnsi"/>
          <w:b/>
          <w:bCs/>
          <w:sz w:val="24"/>
          <w:szCs w:val="24"/>
        </w:rPr>
      </w:pPr>
    </w:p>
    <w:p w14:paraId="446BE9D2" w14:textId="77777777" w:rsidR="00FA6077" w:rsidRDefault="00FA6077" w:rsidP="00FA6077">
      <w:pPr>
        <w:spacing w:line="276" w:lineRule="auto"/>
        <w:jc w:val="right"/>
        <w:rPr>
          <w:rFonts w:asciiTheme="majorHAnsi" w:hAnsiTheme="majorHAnsi" w:cstheme="majorHAnsi"/>
          <w:b/>
          <w:bCs/>
          <w:sz w:val="24"/>
          <w:szCs w:val="24"/>
        </w:rPr>
      </w:pPr>
      <w:r>
        <w:rPr>
          <w:rFonts w:asciiTheme="majorHAnsi" w:hAnsiTheme="majorHAnsi" w:cstheme="majorHAnsi"/>
          <w:b/>
          <w:bCs/>
          <w:sz w:val="24"/>
          <w:szCs w:val="24"/>
        </w:rPr>
        <w:t xml:space="preserve">Pilar </w:t>
      </w:r>
      <w:proofErr w:type="spellStart"/>
      <w:r>
        <w:rPr>
          <w:rFonts w:asciiTheme="majorHAnsi" w:hAnsiTheme="majorHAnsi" w:cstheme="majorHAnsi"/>
          <w:b/>
          <w:bCs/>
          <w:sz w:val="24"/>
          <w:szCs w:val="24"/>
        </w:rPr>
        <w:t>Armanet</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Armanet</w:t>
      </w:r>
      <w:proofErr w:type="spellEnd"/>
    </w:p>
    <w:p w14:paraId="7AF5FF5E" w14:textId="77777777" w:rsidR="00FA6077" w:rsidRPr="00B7047D" w:rsidRDefault="00FA6077" w:rsidP="00FA6077">
      <w:pPr>
        <w:spacing w:line="276" w:lineRule="auto"/>
        <w:jc w:val="right"/>
        <w:rPr>
          <w:rFonts w:asciiTheme="majorHAnsi" w:hAnsiTheme="majorHAnsi" w:cstheme="majorHAnsi"/>
          <w:b/>
          <w:bCs/>
          <w:sz w:val="24"/>
          <w:szCs w:val="24"/>
        </w:rPr>
      </w:pPr>
      <w:r>
        <w:rPr>
          <w:rFonts w:asciiTheme="majorHAnsi" w:hAnsiTheme="majorHAnsi" w:cstheme="majorHAnsi"/>
          <w:b/>
          <w:bCs/>
          <w:sz w:val="24"/>
          <w:szCs w:val="24"/>
        </w:rPr>
        <w:t>Presidenta Corporación de Universidades Privadas</w:t>
      </w:r>
    </w:p>
    <w:p w14:paraId="4A52B06F" w14:textId="77777777" w:rsidR="00FA6077" w:rsidRPr="00B7047D" w:rsidRDefault="00FA6077" w:rsidP="00FA6077">
      <w:pPr>
        <w:spacing w:line="276" w:lineRule="auto"/>
        <w:jc w:val="right"/>
        <w:rPr>
          <w:rFonts w:asciiTheme="majorHAnsi" w:hAnsiTheme="majorHAnsi" w:cstheme="majorHAnsi"/>
          <w:b/>
          <w:bCs/>
          <w:sz w:val="24"/>
          <w:szCs w:val="24"/>
        </w:rPr>
      </w:pPr>
      <w:r>
        <w:rPr>
          <w:rFonts w:asciiTheme="majorHAnsi" w:hAnsiTheme="majorHAnsi" w:cstheme="majorHAnsi"/>
          <w:b/>
          <w:bCs/>
          <w:sz w:val="24"/>
          <w:szCs w:val="24"/>
        </w:rPr>
        <w:t>Rectora Universidad Las Américas</w:t>
      </w:r>
    </w:p>
    <w:p w14:paraId="614772C1" w14:textId="77777777" w:rsidR="00FA6077" w:rsidRDefault="00FA6077" w:rsidP="00FA6077">
      <w:pPr>
        <w:jc w:val="both"/>
        <w:rPr>
          <w:rFonts w:asciiTheme="majorHAnsi" w:hAnsiTheme="majorHAnsi" w:cstheme="majorHAnsi"/>
          <w:sz w:val="24"/>
          <w:szCs w:val="24"/>
        </w:rPr>
      </w:pPr>
    </w:p>
    <w:p w14:paraId="0D0A4D8D" w14:textId="77777777" w:rsidR="00FA6077" w:rsidRPr="00B7047D" w:rsidRDefault="00FA6077" w:rsidP="00FA6077">
      <w:pPr>
        <w:spacing w:line="276" w:lineRule="auto"/>
        <w:jc w:val="both"/>
        <w:rPr>
          <w:rFonts w:asciiTheme="majorHAnsi" w:hAnsiTheme="majorHAnsi" w:cstheme="majorHAnsi"/>
          <w:sz w:val="24"/>
          <w:szCs w:val="24"/>
        </w:rPr>
      </w:pPr>
    </w:p>
    <w:p w14:paraId="5F4DE23A" w14:textId="77777777" w:rsidR="00FA6077" w:rsidRDefault="00FA6077" w:rsidP="00FA6077">
      <w:pPr>
        <w:jc w:val="both"/>
        <w:rPr>
          <w:rFonts w:asciiTheme="majorHAnsi" w:hAnsiTheme="majorHAnsi" w:cstheme="majorHAnsi"/>
          <w:sz w:val="24"/>
          <w:szCs w:val="24"/>
        </w:rPr>
      </w:pPr>
      <w:r w:rsidRPr="009B1C80">
        <w:rPr>
          <w:rFonts w:asciiTheme="majorHAnsi" w:hAnsiTheme="majorHAnsi" w:cstheme="majorHAnsi"/>
          <w:sz w:val="24"/>
          <w:szCs w:val="24"/>
        </w:rPr>
        <w:t>A nombre de la Corporación de Universidades Privadas (CUP) agradecemos la oportunidad que se nos brinda de entregar nuestra opinión sobre la Indicación Sustitutiva al Proyecto de Ley de Educación Superior que el Ejecutivo ha so</w:t>
      </w:r>
      <w:r>
        <w:rPr>
          <w:rFonts w:asciiTheme="majorHAnsi" w:hAnsiTheme="majorHAnsi" w:cstheme="majorHAnsi"/>
          <w:sz w:val="24"/>
          <w:szCs w:val="24"/>
        </w:rPr>
        <w:t>metido a la consideración del Senado.</w:t>
      </w:r>
    </w:p>
    <w:p w14:paraId="49ECBA43" w14:textId="77777777" w:rsidR="00FA6077" w:rsidRPr="009B1C80" w:rsidRDefault="00FA6077" w:rsidP="00FA6077">
      <w:pPr>
        <w:jc w:val="both"/>
        <w:rPr>
          <w:rFonts w:asciiTheme="majorHAnsi" w:hAnsiTheme="majorHAnsi" w:cstheme="majorHAnsi"/>
          <w:sz w:val="24"/>
          <w:szCs w:val="24"/>
        </w:rPr>
      </w:pPr>
    </w:p>
    <w:p w14:paraId="19B28B76" w14:textId="77777777" w:rsidR="00FA6077" w:rsidRPr="009B1C80" w:rsidRDefault="00FA6077" w:rsidP="00FA6077">
      <w:pPr>
        <w:jc w:val="both"/>
        <w:rPr>
          <w:rFonts w:asciiTheme="majorHAnsi" w:hAnsiTheme="majorHAnsi" w:cstheme="majorHAnsi"/>
          <w:sz w:val="24"/>
          <w:szCs w:val="24"/>
        </w:rPr>
      </w:pPr>
      <w:r w:rsidRPr="009B1C80">
        <w:rPr>
          <w:rFonts w:asciiTheme="majorHAnsi" w:hAnsiTheme="majorHAnsi" w:cstheme="majorHAnsi"/>
          <w:sz w:val="24"/>
          <w:szCs w:val="24"/>
        </w:rPr>
        <w:t xml:space="preserve">Nuestra Corporación representa al 24,2% del total de los alumnos universitarios del país (CNED 2014), desde su constitución las instituciones de la CUP han incorporado al sistema educativo infraestructura, innovaciones, gestión y proyectos educativos en distintas áreas. También hemos contribuido a la descentralización del país, ampliando las oportunidades de estudio y empleo en regiones. </w:t>
      </w:r>
    </w:p>
    <w:p w14:paraId="719CEFA7" w14:textId="77777777" w:rsidR="00FA6077" w:rsidRDefault="00FA6077" w:rsidP="00FA6077">
      <w:pPr>
        <w:jc w:val="both"/>
        <w:rPr>
          <w:rFonts w:asciiTheme="majorHAnsi" w:hAnsiTheme="majorHAnsi" w:cstheme="majorHAnsi"/>
          <w:sz w:val="24"/>
          <w:szCs w:val="24"/>
        </w:rPr>
      </w:pPr>
    </w:p>
    <w:p w14:paraId="2CA2C5F1" w14:textId="77777777" w:rsidR="00FA6077" w:rsidRPr="00B974AA" w:rsidRDefault="00FA6077" w:rsidP="00FA6077">
      <w:pPr>
        <w:jc w:val="both"/>
        <w:rPr>
          <w:rFonts w:asciiTheme="majorHAnsi" w:hAnsiTheme="majorHAnsi" w:cstheme="majorHAnsi"/>
          <w:sz w:val="24"/>
          <w:szCs w:val="24"/>
        </w:rPr>
      </w:pPr>
      <w:r w:rsidRPr="009B1C80">
        <w:rPr>
          <w:rFonts w:asciiTheme="majorHAnsi" w:hAnsiTheme="majorHAnsi" w:cstheme="majorHAnsi"/>
          <w:sz w:val="24"/>
          <w:szCs w:val="24"/>
        </w:rPr>
        <w:t>Si consideramos solamente a las ent</w:t>
      </w:r>
      <w:r>
        <w:rPr>
          <w:rFonts w:asciiTheme="majorHAnsi" w:hAnsiTheme="majorHAnsi" w:cstheme="majorHAnsi"/>
          <w:sz w:val="24"/>
          <w:szCs w:val="24"/>
        </w:rPr>
        <w:t>idades socias que conforman el C</w:t>
      </w:r>
      <w:r w:rsidRPr="009B1C80">
        <w:rPr>
          <w:rFonts w:asciiTheme="majorHAnsi" w:hAnsiTheme="majorHAnsi" w:cstheme="majorHAnsi"/>
          <w:sz w:val="24"/>
          <w:szCs w:val="24"/>
        </w:rPr>
        <w:t xml:space="preserve">apítulo de Universidades </w:t>
      </w:r>
      <w:r>
        <w:rPr>
          <w:rFonts w:asciiTheme="majorHAnsi" w:hAnsiTheme="majorHAnsi" w:cstheme="majorHAnsi"/>
          <w:sz w:val="24"/>
          <w:szCs w:val="24"/>
        </w:rPr>
        <w:t>acreditadas (</w:t>
      </w:r>
      <w:r w:rsidRPr="009B1C80">
        <w:rPr>
          <w:rFonts w:asciiTheme="majorHAnsi" w:hAnsiTheme="majorHAnsi" w:cstheme="majorHAnsi"/>
          <w:sz w:val="24"/>
          <w:szCs w:val="24"/>
        </w:rPr>
        <w:t>CUP</w:t>
      </w:r>
      <w:r>
        <w:rPr>
          <w:rFonts w:asciiTheme="majorHAnsi" w:hAnsiTheme="majorHAnsi" w:cstheme="majorHAnsi"/>
          <w:sz w:val="24"/>
          <w:szCs w:val="24"/>
        </w:rPr>
        <w:t>A)</w:t>
      </w:r>
      <w:r w:rsidRPr="009B1C80">
        <w:rPr>
          <w:rFonts w:asciiTheme="majorHAnsi" w:hAnsiTheme="majorHAnsi" w:cstheme="majorHAnsi"/>
          <w:sz w:val="24"/>
          <w:szCs w:val="24"/>
        </w:rPr>
        <w:t>, hoy formamos a casi 115 mil estudiantes, es decir, a 1/3 de los alumnos de las universidades privadas. Además, entregamos trabajo a más de 15 mil profesores y más de 5 mil funcionarios a lo largo de todo Chile.</w:t>
      </w:r>
      <w:r>
        <w:rPr>
          <w:rFonts w:asciiTheme="majorHAnsi" w:hAnsiTheme="majorHAnsi" w:cstheme="majorHAnsi"/>
          <w:sz w:val="24"/>
          <w:szCs w:val="24"/>
        </w:rPr>
        <w:t xml:space="preserve"> </w:t>
      </w:r>
    </w:p>
    <w:p w14:paraId="7B907428" w14:textId="77777777" w:rsidR="00FA6077" w:rsidRPr="00AF26C1" w:rsidRDefault="00FA6077" w:rsidP="00FA6077">
      <w:pPr>
        <w:spacing w:line="276" w:lineRule="auto"/>
        <w:ind w:left="360"/>
        <w:jc w:val="both"/>
        <w:rPr>
          <w:rFonts w:asciiTheme="majorHAnsi" w:hAnsiTheme="majorHAnsi" w:cstheme="majorHAnsi"/>
          <w:bCs/>
          <w:sz w:val="24"/>
          <w:szCs w:val="24"/>
        </w:rPr>
      </w:pPr>
    </w:p>
    <w:p w14:paraId="6FC518EA" w14:textId="77777777" w:rsidR="00FA6077" w:rsidRDefault="00FA6077" w:rsidP="00FA6077">
      <w:pPr>
        <w:jc w:val="both"/>
        <w:rPr>
          <w:rFonts w:asciiTheme="majorHAnsi" w:hAnsiTheme="majorHAnsi" w:cstheme="majorHAnsi"/>
          <w:sz w:val="24"/>
          <w:szCs w:val="24"/>
        </w:rPr>
      </w:pPr>
      <w:r>
        <w:rPr>
          <w:rFonts w:asciiTheme="majorHAnsi" w:hAnsiTheme="majorHAnsi" w:cstheme="majorHAnsi"/>
          <w:sz w:val="24"/>
          <w:szCs w:val="24"/>
        </w:rPr>
        <w:t>Gracias al sistema de provisión mixta</w:t>
      </w:r>
      <w:r w:rsidRPr="00473ED9">
        <w:rPr>
          <w:rFonts w:asciiTheme="majorHAnsi" w:hAnsiTheme="majorHAnsi" w:cstheme="majorHAnsi"/>
          <w:sz w:val="24"/>
          <w:szCs w:val="24"/>
        </w:rPr>
        <w:t xml:space="preserve"> pasamos de tener 249 mil estudiantes de educación superior en 1990, a más de 1 millón 200 mil. Hay 885.000 alumnos que estudian en instituciones privadas acreditadas.</w:t>
      </w:r>
    </w:p>
    <w:p w14:paraId="7759C8E8" w14:textId="77777777" w:rsidR="00FA6077" w:rsidRDefault="00FA6077" w:rsidP="00FA6077">
      <w:pPr>
        <w:jc w:val="both"/>
        <w:rPr>
          <w:rFonts w:asciiTheme="majorHAnsi" w:hAnsiTheme="majorHAnsi" w:cstheme="majorHAnsi"/>
          <w:b/>
          <w:sz w:val="24"/>
          <w:szCs w:val="24"/>
        </w:rPr>
      </w:pPr>
    </w:p>
    <w:p w14:paraId="4A7D6EE2" w14:textId="77777777" w:rsidR="00FA6077" w:rsidRPr="001D104B" w:rsidRDefault="00FA6077" w:rsidP="00FA6077">
      <w:pPr>
        <w:jc w:val="both"/>
        <w:rPr>
          <w:rFonts w:asciiTheme="majorHAnsi" w:hAnsiTheme="majorHAnsi" w:cstheme="majorHAnsi"/>
          <w:b/>
          <w:sz w:val="24"/>
          <w:szCs w:val="24"/>
        </w:rPr>
      </w:pPr>
      <w:r w:rsidRPr="001D104B">
        <w:rPr>
          <w:rFonts w:asciiTheme="majorHAnsi" w:hAnsiTheme="majorHAnsi" w:cstheme="majorHAnsi"/>
          <w:b/>
          <w:sz w:val="24"/>
          <w:szCs w:val="24"/>
        </w:rPr>
        <w:t>Consideraciones generales</w:t>
      </w:r>
    </w:p>
    <w:p w14:paraId="49139EA8" w14:textId="77777777" w:rsidR="00FA6077" w:rsidRDefault="00FA6077" w:rsidP="00FA6077">
      <w:pPr>
        <w:jc w:val="both"/>
        <w:rPr>
          <w:rFonts w:asciiTheme="majorHAnsi" w:hAnsiTheme="majorHAnsi" w:cstheme="majorHAnsi"/>
          <w:sz w:val="24"/>
          <w:szCs w:val="24"/>
        </w:rPr>
      </w:pPr>
    </w:p>
    <w:p w14:paraId="10BA629C" w14:textId="1E40B114" w:rsidR="00FA6077" w:rsidRPr="00473ED9" w:rsidRDefault="00FA6077" w:rsidP="00FA6077">
      <w:pPr>
        <w:jc w:val="both"/>
        <w:rPr>
          <w:rFonts w:asciiTheme="majorHAnsi" w:hAnsiTheme="majorHAnsi" w:cstheme="majorHAnsi"/>
          <w:sz w:val="24"/>
          <w:szCs w:val="24"/>
        </w:rPr>
      </w:pPr>
      <w:r w:rsidRPr="00473ED9">
        <w:rPr>
          <w:rFonts w:asciiTheme="majorHAnsi" w:hAnsiTheme="majorHAnsi" w:cstheme="majorHAnsi"/>
          <w:sz w:val="24"/>
          <w:szCs w:val="24"/>
        </w:rPr>
        <w:t>Si bien coincidimos en la necesidad de hacer cambio</w:t>
      </w:r>
      <w:r>
        <w:rPr>
          <w:rFonts w:asciiTheme="majorHAnsi" w:hAnsiTheme="majorHAnsi" w:cstheme="majorHAnsi"/>
          <w:sz w:val="24"/>
          <w:szCs w:val="24"/>
        </w:rPr>
        <w:t>s en nuestro sistema en materia</w:t>
      </w:r>
      <w:r w:rsidRPr="00473ED9">
        <w:rPr>
          <w:rFonts w:asciiTheme="majorHAnsi" w:hAnsiTheme="majorHAnsi" w:cstheme="majorHAnsi"/>
          <w:sz w:val="24"/>
          <w:szCs w:val="24"/>
        </w:rPr>
        <w:t xml:space="preserve"> de institucionalidad, aseguramiento de la calidad, capacidad</w:t>
      </w:r>
      <w:r>
        <w:rPr>
          <w:rFonts w:asciiTheme="majorHAnsi" w:hAnsiTheme="majorHAnsi" w:cstheme="majorHAnsi"/>
          <w:sz w:val="24"/>
          <w:szCs w:val="24"/>
        </w:rPr>
        <w:t xml:space="preserve"> de innovación y financiamiento.</w:t>
      </w:r>
      <w:r w:rsidRPr="00473ED9">
        <w:rPr>
          <w:rFonts w:asciiTheme="majorHAnsi" w:hAnsiTheme="majorHAnsi" w:cstheme="majorHAnsi"/>
          <w:sz w:val="24"/>
          <w:szCs w:val="24"/>
        </w:rPr>
        <w:t xml:space="preserve"> </w:t>
      </w:r>
      <w:r>
        <w:rPr>
          <w:rFonts w:asciiTheme="majorHAnsi" w:hAnsiTheme="majorHAnsi" w:cstheme="majorHAnsi"/>
          <w:sz w:val="24"/>
          <w:szCs w:val="24"/>
        </w:rPr>
        <w:t xml:space="preserve">Sin embargo, </w:t>
      </w:r>
      <w:r w:rsidRPr="00473ED9">
        <w:rPr>
          <w:rFonts w:asciiTheme="majorHAnsi" w:hAnsiTheme="majorHAnsi" w:cstheme="majorHAnsi"/>
          <w:sz w:val="24"/>
          <w:szCs w:val="24"/>
        </w:rPr>
        <w:t>creemos que este paso debe dar</w:t>
      </w:r>
      <w:r>
        <w:rPr>
          <w:rFonts w:asciiTheme="majorHAnsi" w:hAnsiTheme="majorHAnsi" w:cstheme="majorHAnsi"/>
          <w:sz w:val="24"/>
          <w:szCs w:val="24"/>
        </w:rPr>
        <w:t>se sobre la base de un diagnóstico compartido, que valore y potencie los aspectos positivos del sistema existente y tenga a la vista las buenas prácticas a nivel internacional.</w:t>
      </w:r>
    </w:p>
    <w:p w14:paraId="5965AA66" w14:textId="77777777" w:rsidR="00FA6077" w:rsidRDefault="00FA6077" w:rsidP="00FA6077">
      <w:pPr>
        <w:jc w:val="both"/>
        <w:rPr>
          <w:rFonts w:asciiTheme="majorHAnsi" w:hAnsiTheme="majorHAnsi" w:cstheme="majorHAnsi"/>
          <w:sz w:val="24"/>
          <w:szCs w:val="24"/>
        </w:rPr>
      </w:pPr>
    </w:p>
    <w:p w14:paraId="2C46FFF2" w14:textId="67E620CE" w:rsidR="00FA6077" w:rsidRPr="009B1C80" w:rsidRDefault="00FA6077" w:rsidP="00FA6077">
      <w:pPr>
        <w:spacing w:line="276" w:lineRule="auto"/>
        <w:jc w:val="both"/>
        <w:rPr>
          <w:rFonts w:asciiTheme="majorHAnsi" w:hAnsiTheme="majorHAnsi" w:cstheme="majorHAnsi"/>
          <w:bCs/>
          <w:sz w:val="24"/>
          <w:szCs w:val="24"/>
        </w:rPr>
      </w:pPr>
      <w:r w:rsidRPr="009B1C80">
        <w:rPr>
          <w:rFonts w:asciiTheme="majorHAnsi" w:hAnsiTheme="majorHAnsi" w:cstheme="majorHAnsi"/>
          <w:bCs/>
          <w:sz w:val="24"/>
          <w:szCs w:val="24"/>
        </w:rPr>
        <w:t xml:space="preserve">El Estado tiene una responsabilidad preferente con las universidades estatales, pero ello no debe implicar </w:t>
      </w:r>
      <w:r>
        <w:rPr>
          <w:rFonts w:asciiTheme="majorHAnsi" w:hAnsiTheme="majorHAnsi" w:cstheme="majorHAnsi"/>
          <w:bCs/>
          <w:sz w:val="24"/>
          <w:szCs w:val="24"/>
        </w:rPr>
        <w:t xml:space="preserve">desconocer el aporte significativo que han hecho las </w:t>
      </w:r>
      <w:r w:rsidRPr="009B1C80">
        <w:rPr>
          <w:rFonts w:asciiTheme="majorHAnsi" w:hAnsiTheme="majorHAnsi" w:cstheme="majorHAnsi"/>
          <w:bCs/>
          <w:sz w:val="24"/>
          <w:szCs w:val="24"/>
        </w:rPr>
        <w:t>universidades</w:t>
      </w:r>
      <w:r>
        <w:rPr>
          <w:rFonts w:asciiTheme="majorHAnsi" w:hAnsiTheme="majorHAnsi" w:cstheme="majorHAnsi"/>
          <w:bCs/>
          <w:sz w:val="24"/>
          <w:szCs w:val="24"/>
        </w:rPr>
        <w:t xml:space="preserve"> privadas</w:t>
      </w:r>
      <w:r w:rsidRPr="009B1C80">
        <w:rPr>
          <w:rFonts w:asciiTheme="majorHAnsi" w:hAnsiTheme="majorHAnsi" w:cstheme="majorHAnsi"/>
          <w:bCs/>
          <w:sz w:val="24"/>
          <w:szCs w:val="24"/>
        </w:rPr>
        <w:t xml:space="preserve"> del sistema. </w:t>
      </w:r>
    </w:p>
    <w:p w14:paraId="3AD5A82D" w14:textId="77777777" w:rsidR="00FA6077" w:rsidRDefault="00FA6077" w:rsidP="00FA6077">
      <w:pPr>
        <w:rPr>
          <w:rFonts w:asciiTheme="majorHAnsi" w:hAnsiTheme="majorHAnsi" w:cstheme="majorHAnsi"/>
          <w:bCs/>
          <w:sz w:val="24"/>
          <w:szCs w:val="24"/>
        </w:rPr>
      </w:pPr>
    </w:p>
    <w:p w14:paraId="31A1A835" w14:textId="77777777" w:rsidR="00FA6077" w:rsidRDefault="00FA6077" w:rsidP="00FA6077">
      <w:pPr>
        <w:rPr>
          <w:rFonts w:asciiTheme="majorHAnsi" w:hAnsiTheme="majorHAnsi" w:cstheme="majorHAnsi"/>
          <w:bCs/>
          <w:sz w:val="24"/>
          <w:szCs w:val="24"/>
        </w:rPr>
      </w:pPr>
      <w:r w:rsidRPr="009B1C80">
        <w:rPr>
          <w:rFonts w:asciiTheme="majorHAnsi" w:hAnsiTheme="majorHAnsi" w:cstheme="majorHAnsi"/>
          <w:bCs/>
          <w:sz w:val="24"/>
          <w:szCs w:val="24"/>
        </w:rPr>
        <w:t xml:space="preserve">Si revisamos los resultados del Times </w:t>
      </w:r>
      <w:proofErr w:type="spellStart"/>
      <w:r w:rsidRPr="009B1C80">
        <w:rPr>
          <w:rFonts w:asciiTheme="majorHAnsi" w:hAnsiTheme="majorHAnsi" w:cstheme="majorHAnsi"/>
          <w:bCs/>
          <w:sz w:val="24"/>
          <w:szCs w:val="24"/>
        </w:rPr>
        <w:t>Higher</w:t>
      </w:r>
      <w:proofErr w:type="spellEnd"/>
      <w:r w:rsidRPr="009B1C80">
        <w:rPr>
          <w:rFonts w:asciiTheme="majorHAnsi" w:hAnsiTheme="majorHAnsi" w:cstheme="majorHAnsi"/>
          <w:bCs/>
          <w:sz w:val="24"/>
          <w:szCs w:val="24"/>
        </w:rPr>
        <w:t xml:space="preserve"> </w:t>
      </w:r>
      <w:proofErr w:type="spellStart"/>
      <w:r w:rsidRPr="009B1C80">
        <w:rPr>
          <w:rFonts w:asciiTheme="majorHAnsi" w:hAnsiTheme="majorHAnsi" w:cstheme="majorHAnsi"/>
          <w:bCs/>
          <w:sz w:val="24"/>
          <w:szCs w:val="24"/>
        </w:rPr>
        <w:t>Education</w:t>
      </w:r>
      <w:proofErr w:type="spellEnd"/>
      <w:r w:rsidRPr="009B1C80">
        <w:rPr>
          <w:rFonts w:asciiTheme="majorHAnsi" w:hAnsiTheme="majorHAnsi" w:cstheme="majorHAnsi"/>
          <w:bCs/>
          <w:sz w:val="24"/>
          <w:szCs w:val="24"/>
        </w:rPr>
        <w:t xml:space="preserve"> (2016) entre las 50 mejores universidades de América Latina encontramos 11 chilenas, de ellas 4 son estatales, 5 privadas del CRUCH y 2 privadas. Este es un patrimonio de la sociedad chilena en su conjunto que debemos preservar y profundizar. </w:t>
      </w:r>
    </w:p>
    <w:p w14:paraId="21BEB546" w14:textId="77777777" w:rsidR="00FA6077" w:rsidRDefault="00FA6077" w:rsidP="00FA6077">
      <w:pPr>
        <w:spacing w:line="276" w:lineRule="auto"/>
        <w:jc w:val="both"/>
        <w:rPr>
          <w:rFonts w:asciiTheme="majorHAnsi" w:hAnsiTheme="majorHAnsi" w:cstheme="majorHAnsi"/>
          <w:bCs/>
          <w:sz w:val="24"/>
          <w:szCs w:val="24"/>
        </w:rPr>
      </w:pPr>
    </w:p>
    <w:p w14:paraId="2C3D04DD" w14:textId="77777777" w:rsidR="00FA6077" w:rsidRDefault="00FA6077" w:rsidP="00FA6077">
      <w:pPr>
        <w:spacing w:line="276" w:lineRule="auto"/>
        <w:jc w:val="both"/>
        <w:rPr>
          <w:rFonts w:asciiTheme="majorHAnsi" w:hAnsiTheme="majorHAnsi" w:cstheme="majorHAnsi"/>
          <w:bCs/>
          <w:sz w:val="24"/>
          <w:szCs w:val="24"/>
        </w:rPr>
      </w:pPr>
      <w:r w:rsidRPr="00B974AA">
        <w:rPr>
          <w:rFonts w:asciiTheme="majorHAnsi" w:hAnsiTheme="majorHAnsi" w:cstheme="majorHAnsi"/>
          <w:bCs/>
          <w:noProof/>
          <w:sz w:val="24"/>
          <w:szCs w:val="24"/>
          <w:lang w:eastAsia="es-CL"/>
        </w:rPr>
        <w:drawing>
          <wp:anchor distT="0" distB="0" distL="114300" distR="114300" simplePos="0" relativeHeight="251663360" behindDoc="0" locked="0" layoutInCell="1" allowOverlap="1" wp14:anchorId="0071EB38" wp14:editId="2D596211">
            <wp:simplePos x="0" y="0"/>
            <wp:positionH relativeFrom="margin">
              <wp:align>left</wp:align>
            </wp:positionH>
            <wp:positionV relativeFrom="paragraph">
              <wp:posOffset>58935</wp:posOffset>
            </wp:positionV>
            <wp:extent cx="1771650" cy="593210"/>
            <wp:effectExtent l="0" t="0" r="0" b="0"/>
            <wp:wrapNone/>
            <wp:docPr id="2052" name="Picture 4" descr="Resultado de imagen para chile ranking Times Higher Education (2016) lat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Resultado de imagen para chile ranking Times Higher Education (2016) latin america"/>
                    <pic:cNvPicPr>
                      <a:picLocks noChangeAspect="1" noChangeArrowheads="1"/>
                    </pic:cNvPicPr>
                  </pic:nvPicPr>
                  <pic:blipFill rotWithShape="1">
                    <a:blip r:embed="rId10">
                      <a:extLst>
                        <a:ext uri="{28A0092B-C50C-407E-A947-70E740481C1C}">
                          <a14:useLocalDpi xmlns:a14="http://schemas.microsoft.com/office/drawing/2010/main" val="0"/>
                        </a:ext>
                      </a:extLst>
                    </a:blip>
                    <a:srcRect b="52562"/>
                    <a:stretch/>
                  </pic:blipFill>
                  <pic:spPr bwMode="auto">
                    <a:xfrm>
                      <a:off x="0" y="0"/>
                      <a:ext cx="1771650" cy="593210"/>
                    </a:xfrm>
                    <a:prstGeom prst="rect">
                      <a:avLst/>
                    </a:prstGeom>
                    <a:noFill/>
                    <a:extLst/>
                  </pic:spPr>
                </pic:pic>
              </a:graphicData>
            </a:graphic>
            <wp14:sizeRelH relativeFrom="margin">
              <wp14:pctWidth>0</wp14:pctWidth>
            </wp14:sizeRelH>
            <wp14:sizeRelV relativeFrom="margin">
              <wp14:pctHeight>0</wp14:pctHeight>
            </wp14:sizeRelV>
          </wp:anchor>
        </w:drawing>
      </w:r>
    </w:p>
    <w:p w14:paraId="3BF0623C" w14:textId="77777777" w:rsidR="00FA6077" w:rsidRDefault="00FA6077" w:rsidP="00FA6077">
      <w:pPr>
        <w:spacing w:line="276" w:lineRule="auto"/>
        <w:jc w:val="both"/>
        <w:rPr>
          <w:rFonts w:asciiTheme="majorHAnsi" w:hAnsiTheme="majorHAnsi" w:cstheme="majorHAnsi"/>
          <w:bCs/>
          <w:sz w:val="24"/>
          <w:szCs w:val="24"/>
        </w:rPr>
      </w:pPr>
    </w:p>
    <w:p w14:paraId="0FF56A5F" w14:textId="77777777" w:rsidR="00FA6077" w:rsidRDefault="00FA6077" w:rsidP="00FA6077">
      <w:pPr>
        <w:spacing w:line="276" w:lineRule="auto"/>
        <w:jc w:val="both"/>
        <w:rPr>
          <w:rFonts w:asciiTheme="majorHAnsi" w:hAnsiTheme="majorHAnsi" w:cstheme="majorHAnsi"/>
          <w:bCs/>
          <w:sz w:val="24"/>
          <w:szCs w:val="24"/>
        </w:rPr>
      </w:pPr>
    </w:p>
    <w:tbl>
      <w:tblPr>
        <w:tblStyle w:val="Tabladecuadrcula2-nfasis11"/>
        <w:tblW w:w="8921" w:type="dxa"/>
        <w:tblLook w:val="04A0" w:firstRow="1" w:lastRow="0" w:firstColumn="1" w:lastColumn="0" w:noHBand="0" w:noVBand="1"/>
      </w:tblPr>
      <w:tblGrid>
        <w:gridCol w:w="841"/>
        <w:gridCol w:w="4664"/>
        <w:gridCol w:w="864"/>
        <w:gridCol w:w="1701"/>
        <w:gridCol w:w="851"/>
      </w:tblGrid>
      <w:tr w:rsidR="00FA6077" w:rsidRPr="00B974AA" w14:paraId="71F781EB" w14:textId="77777777" w:rsidTr="00F9708A">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841" w:type="dxa"/>
            <w:hideMark/>
          </w:tcPr>
          <w:p w14:paraId="54FE786E"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N°</w:t>
            </w:r>
          </w:p>
        </w:tc>
        <w:tc>
          <w:tcPr>
            <w:tcW w:w="4664" w:type="dxa"/>
            <w:hideMark/>
          </w:tcPr>
          <w:p w14:paraId="415EFD76" w14:textId="77777777" w:rsidR="00FA6077" w:rsidRPr="00B974AA" w:rsidRDefault="00FA6077" w:rsidP="00F9708A">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974AA">
              <w:rPr>
                <w:rFonts w:asciiTheme="majorHAnsi" w:hAnsiTheme="majorHAnsi" w:cstheme="majorHAnsi"/>
                <w:sz w:val="21"/>
                <w:szCs w:val="21"/>
              </w:rPr>
              <w:t>Universidad</w:t>
            </w:r>
          </w:p>
        </w:tc>
        <w:tc>
          <w:tcPr>
            <w:tcW w:w="864" w:type="dxa"/>
            <w:hideMark/>
          </w:tcPr>
          <w:p w14:paraId="742E681D" w14:textId="77777777" w:rsidR="00FA6077" w:rsidRPr="00B974AA" w:rsidRDefault="00FA6077" w:rsidP="00F9708A">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974AA">
              <w:rPr>
                <w:rFonts w:asciiTheme="majorHAnsi" w:hAnsiTheme="majorHAnsi" w:cstheme="majorHAnsi"/>
                <w:sz w:val="21"/>
                <w:szCs w:val="21"/>
              </w:rPr>
              <w:t>Estatal</w:t>
            </w:r>
          </w:p>
        </w:tc>
        <w:tc>
          <w:tcPr>
            <w:tcW w:w="1701" w:type="dxa"/>
            <w:hideMark/>
          </w:tcPr>
          <w:p w14:paraId="335D0EFB" w14:textId="77777777" w:rsidR="00FA6077" w:rsidRPr="00B974AA" w:rsidRDefault="00FA6077" w:rsidP="00F9708A">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974AA">
              <w:rPr>
                <w:rFonts w:asciiTheme="majorHAnsi" w:hAnsiTheme="majorHAnsi" w:cstheme="majorHAnsi"/>
                <w:sz w:val="21"/>
                <w:szCs w:val="21"/>
              </w:rPr>
              <w:t xml:space="preserve">Privada </w:t>
            </w:r>
            <w:r w:rsidRPr="00B974AA">
              <w:rPr>
                <w:rFonts w:asciiTheme="majorHAnsi" w:hAnsiTheme="majorHAnsi" w:cstheme="majorHAnsi"/>
                <w:bCs w:val="0"/>
                <w:sz w:val="21"/>
                <w:szCs w:val="21"/>
              </w:rPr>
              <w:t xml:space="preserve"> CRUCH</w:t>
            </w:r>
          </w:p>
        </w:tc>
        <w:tc>
          <w:tcPr>
            <w:tcW w:w="851" w:type="dxa"/>
            <w:hideMark/>
          </w:tcPr>
          <w:p w14:paraId="14148323" w14:textId="77777777" w:rsidR="00FA6077" w:rsidRPr="00B974AA" w:rsidRDefault="00FA6077" w:rsidP="00F9708A">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974AA">
              <w:rPr>
                <w:rFonts w:asciiTheme="majorHAnsi" w:hAnsiTheme="majorHAnsi" w:cstheme="majorHAnsi"/>
                <w:sz w:val="21"/>
                <w:szCs w:val="21"/>
              </w:rPr>
              <w:t>Privada</w:t>
            </w:r>
          </w:p>
        </w:tc>
      </w:tr>
      <w:tr w:rsidR="00FA6077" w:rsidRPr="00B974AA" w14:paraId="22B0466B" w14:textId="77777777" w:rsidTr="00F9708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41" w:type="dxa"/>
            <w:hideMark/>
          </w:tcPr>
          <w:p w14:paraId="3F401B05"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3</w:t>
            </w:r>
          </w:p>
        </w:tc>
        <w:tc>
          <w:tcPr>
            <w:tcW w:w="4664" w:type="dxa"/>
            <w:hideMark/>
          </w:tcPr>
          <w:p w14:paraId="19595208"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Pontificia Universidad Católica (PUC)</w:t>
            </w:r>
          </w:p>
        </w:tc>
        <w:tc>
          <w:tcPr>
            <w:tcW w:w="864" w:type="dxa"/>
            <w:hideMark/>
          </w:tcPr>
          <w:p w14:paraId="12ACADC3"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1701" w:type="dxa"/>
            <w:hideMark/>
          </w:tcPr>
          <w:p w14:paraId="0592D5CE"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c>
          <w:tcPr>
            <w:tcW w:w="851" w:type="dxa"/>
            <w:hideMark/>
          </w:tcPr>
          <w:p w14:paraId="6D20E9A5"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r>
      <w:tr w:rsidR="00FA6077" w:rsidRPr="00B974AA" w14:paraId="6639F2CB" w14:textId="77777777" w:rsidTr="00F9708A">
        <w:trPr>
          <w:trHeight w:val="264"/>
        </w:trPr>
        <w:tc>
          <w:tcPr>
            <w:cnfStyle w:val="001000000000" w:firstRow="0" w:lastRow="0" w:firstColumn="1" w:lastColumn="0" w:oddVBand="0" w:evenVBand="0" w:oddHBand="0" w:evenHBand="0" w:firstRowFirstColumn="0" w:firstRowLastColumn="0" w:lastRowFirstColumn="0" w:lastRowLastColumn="0"/>
            <w:tcW w:w="841" w:type="dxa"/>
            <w:hideMark/>
          </w:tcPr>
          <w:p w14:paraId="5F8A4ADD"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4</w:t>
            </w:r>
          </w:p>
        </w:tc>
        <w:tc>
          <w:tcPr>
            <w:tcW w:w="4664" w:type="dxa"/>
            <w:hideMark/>
          </w:tcPr>
          <w:p w14:paraId="5766F1E0"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Universidad de Chile </w:t>
            </w:r>
          </w:p>
        </w:tc>
        <w:tc>
          <w:tcPr>
            <w:tcW w:w="864" w:type="dxa"/>
            <w:hideMark/>
          </w:tcPr>
          <w:p w14:paraId="235A064D"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c>
          <w:tcPr>
            <w:tcW w:w="1701" w:type="dxa"/>
            <w:hideMark/>
          </w:tcPr>
          <w:p w14:paraId="4FB08F57"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851" w:type="dxa"/>
            <w:hideMark/>
          </w:tcPr>
          <w:p w14:paraId="4377CE81"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r>
      <w:tr w:rsidR="00FA6077" w:rsidRPr="00B974AA" w14:paraId="462C251F" w14:textId="77777777" w:rsidTr="00F9708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841" w:type="dxa"/>
            <w:hideMark/>
          </w:tcPr>
          <w:p w14:paraId="58243DF8"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13</w:t>
            </w:r>
          </w:p>
        </w:tc>
        <w:tc>
          <w:tcPr>
            <w:tcW w:w="4664" w:type="dxa"/>
            <w:hideMark/>
          </w:tcPr>
          <w:p w14:paraId="016A4656"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Universidad Técnica Federico Santa María</w:t>
            </w:r>
          </w:p>
        </w:tc>
        <w:tc>
          <w:tcPr>
            <w:tcW w:w="864" w:type="dxa"/>
            <w:hideMark/>
          </w:tcPr>
          <w:p w14:paraId="651912A7"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1701" w:type="dxa"/>
            <w:hideMark/>
          </w:tcPr>
          <w:p w14:paraId="0DED8077"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c>
          <w:tcPr>
            <w:tcW w:w="851" w:type="dxa"/>
            <w:hideMark/>
          </w:tcPr>
          <w:p w14:paraId="6B661478"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r>
      <w:tr w:rsidR="00FA6077" w:rsidRPr="00B974AA" w14:paraId="4E820F17" w14:textId="77777777" w:rsidTr="00F9708A">
        <w:trPr>
          <w:trHeight w:val="310"/>
        </w:trPr>
        <w:tc>
          <w:tcPr>
            <w:cnfStyle w:val="001000000000" w:firstRow="0" w:lastRow="0" w:firstColumn="1" w:lastColumn="0" w:oddVBand="0" w:evenVBand="0" w:oddHBand="0" w:evenHBand="0" w:firstRowFirstColumn="0" w:firstRowLastColumn="0" w:lastRowFirstColumn="0" w:lastRowLastColumn="0"/>
            <w:tcW w:w="841" w:type="dxa"/>
            <w:hideMark/>
          </w:tcPr>
          <w:p w14:paraId="2698F4E6"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14</w:t>
            </w:r>
          </w:p>
        </w:tc>
        <w:tc>
          <w:tcPr>
            <w:tcW w:w="4664" w:type="dxa"/>
            <w:hideMark/>
          </w:tcPr>
          <w:p w14:paraId="54F7DED7"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Universidad de Concepción </w:t>
            </w:r>
          </w:p>
        </w:tc>
        <w:tc>
          <w:tcPr>
            <w:tcW w:w="864" w:type="dxa"/>
            <w:hideMark/>
          </w:tcPr>
          <w:p w14:paraId="442CBC4A"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1701" w:type="dxa"/>
            <w:hideMark/>
          </w:tcPr>
          <w:p w14:paraId="03404917"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c>
          <w:tcPr>
            <w:tcW w:w="851" w:type="dxa"/>
            <w:hideMark/>
          </w:tcPr>
          <w:p w14:paraId="5440A18A"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r>
      <w:tr w:rsidR="00FA6077" w:rsidRPr="00B974AA" w14:paraId="39CCB5F8" w14:textId="77777777" w:rsidTr="00F9708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41" w:type="dxa"/>
            <w:hideMark/>
          </w:tcPr>
          <w:p w14:paraId="6E89BBAC"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17</w:t>
            </w:r>
          </w:p>
        </w:tc>
        <w:tc>
          <w:tcPr>
            <w:tcW w:w="4664" w:type="dxa"/>
            <w:hideMark/>
          </w:tcPr>
          <w:p w14:paraId="34F198EA"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xml:space="preserve">Universidad Austral </w:t>
            </w:r>
          </w:p>
        </w:tc>
        <w:tc>
          <w:tcPr>
            <w:tcW w:w="864" w:type="dxa"/>
            <w:hideMark/>
          </w:tcPr>
          <w:p w14:paraId="33842459"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1701" w:type="dxa"/>
            <w:hideMark/>
          </w:tcPr>
          <w:p w14:paraId="6F732DEA"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c>
          <w:tcPr>
            <w:tcW w:w="851" w:type="dxa"/>
            <w:hideMark/>
          </w:tcPr>
          <w:p w14:paraId="30B56411"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r>
      <w:tr w:rsidR="00FA6077" w:rsidRPr="00B974AA" w14:paraId="773AA489" w14:textId="77777777" w:rsidTr="00F9708A">
        <w:trPr>
          <w:trHeight w:val="264"/>
        </w:trPr>
        <w:tc>
          <w:tcPr>
            <w:cnfStyle w:val="001000000000" w:firstRow="0" w:lastRow="0" w:firstColumn="1" w:lastColumn="0" w:oddVBand="0" w:evenVBand="0" w:oddHBand="0" w:evenHBand="0" w:firstRowFirstColumn="0" w:firstRowLastColumn="0" w:lastRowFirstColumn="0" w:lastRowLastColumn="0"/>
            <w:tcW w:w="841" w:type="dxa"/>
            <w:hideMark/>
          </w:tcPr>
          <w:p w14:paraId="7D6DC41B"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19</w:t>
            </w:r>
          </w:p>
        </w:tc>
        <w:tc>
          <w:tcPr>
            <w:tcW w:w="4664" w:type="dxa"/>
            <w:hideMark/>
          </w:tcPr>
          <w:p w14:paraId="770937EA"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Universidad de Santiago</w:t>
            </w:r>
          </w:p>
        </w:tc>
        <w:tc>
          <w:tcPr>
            <w:tcW w:w="864" w:type="dxa"/>
            <w:hideMark/>
          </w:tcPr>
          <w:p w14:paraId="37B312CE"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c>
          <w:tcPr>
            <w:tcW w:w="1701" w:type="dxa"/>
            <w:hideMark/>
          </w:tcPr>
          <w:p w14:paraId="6BE539FB"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851" w:type="dxa"/>
            <w:hideMark/>
          </w:tcPr>
          <w:p w14:paraId="53EE4785"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r>
      <w:tr w:rsidR="00FA6077" w:rsidRPr="00B974AA" w14:paraId="53F3B9B9" w14:textId="77777777" w:rsidTr="00F9708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41" w:type="dxa"/>
            <w:hideMark/>
          </w:tcPr>
          <w:p w14:paraId="1FC71934"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24</w:t>
            </w:r>
          </w:p>
        </w:tc>
        <w:tc>
          <w:tcPr>
            <w:tcW w:w="4664" w:type="dxa"/>
            <w:hideMark/>
          </w:tcPr>
          <w:p w14:paraId="341E9611"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xml:space="preserve">Universidad de Talca </w:t>
            </w:r>
          </w:p>
        </w:tc>
        <w:tc>
          <w:tcPr>
            <w:tcW w:w="864" w:type="dxa"/>
            <w:hideMark/>
          </w:tcPr>
          <w:p w14:paraId="146FCA2B"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c>
          <w:tcPr>
            <w:tcW w:w="1701" w:type="dxa"/>
            <w:hideMark/>
          </w:tcPr>
          <w:p w14:paraId="1FAB8BBF"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851" w:type="dxa"/>
            <w:hideMark/>
          </w:tcPr>
          <w:p w14:paraId="131CD3BD"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r>
      <w:tr w:rsidR="00FA6077" w:rsidRPr="00B974AA" w14:paraId="78187A9C" w14:textId="77777777" w:rsidTr="00F9708A">
        <w:trPr>
          <w:trHeight w:val="310"/>
        </w:trPr>
        <w:tc>
          <w:tcPr>
            <w:cnfStyle w:val="001000000000" w:firstRow="0" w:lastRow="0" w:firstColumn="1" w:lastColumn="0" w:oddVBand="0" w:evenVBand="0" w:oddHBand="0" w:evenHBand="0" w:firstRowFirstColumn="0" w:firstRowLastColumn="0" w:lastRowFirstColumn="0" w:lastRowLastColumn="0"/>
            <w:tcW w:w="841" w:type="dxa"/>
            <w:hideMark/>
          </w:tcPr>
          <w:p w14:paraId="4828D3A9"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26-30</w:t>
            </w:r>
          </w:p>
        </w:tc>
        <w:tc>
          <w:tcPr>
            <w:tcW w:w="4664" w:type="dxa"/>
            <w:hideMark/>
          </w:tcPr>
          <w:p w14:paraId="614CD1FC"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xml:space="preserve">Universidad de la Frontera </w:t>
            </w:r>
          </w:p>
        </w:tc>
        <w:tc>
          <w:tcPr>
            <w:tcW w:w="864" w:type="dxa"/>
            <w:hideMark/>
          </w:tcPr>
          <w:p w14:paraId="5B209759"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c>
          <w:tcPr>
            <w:tcW w:w="1701" w:type="dxa"/>
            <w:hideMark/>
          </w:tcPr>
          <w:p w14:paraId="0C5B1344"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851" w:type="dxa"/>
            <w:hideMark/>
          </w:tcPr>
          <w:p w14:paraId="1CFEDAB1"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r>
      <w:tr w:rsidR="00FA6077" w:rsidRPr="00B974AA" w14:paraId="0239BD23" w14:textId="77777777" w:rsidTr="00F9708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41" w:type="dxa"/>
            <w:hideMark/>
          </w:tcPr>
          <w:p w14:paraId="5E24A95B"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26-30</w:t>
            </w:r>
          </w:p>
        </w:tc>
        <w:tc>
          <w:tcPr>
            <w:tcW w:w="4664" w:type="dxa"/>
            <w:hideMark/>
          </w:tcPr>
          <w:p w14:paraId="3F81FD79"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Pontificia Universidad Católica de Valparaíso</w:t>
            </w:r>
          </w:p>
        </w:tc>
        <w:tc>
          <w:tcPr>
            <w:tcW w:w="864" w:type="dxa"/>
            <w:hideMark/>
          </w:tcPr>
          <w:p w14:paraId="78E5D6A2"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1701" w:type="dxa"/>
            <w:hideMark/>
          </w:tcPr>
          <w:p w14:paraId="2467F03A"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c>
          <w:tcPr>
            <w:tcW w:w="851" w:type="dxa"/>
            <w:hideMark/>
          </w:tcPr>
          <w:p w14:paraId="42779FC9"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r>
      <w:tr w:rsidR="00FA6077" w:rsidRPr="00B974AA" w14:paraId="47DCCBB3" w14:textId="77777777" w:rsidTr="00F9708A">
        <w:trPr>
          <w:trHeight w:val="310"/>
        </w:trPr>
        <w:tc>
          <w:tcPr>
            <w:cnfStyle w:val="001000000000" w:firstRow="0" w:lastRow="0" w:firstColumn="1" w:lastColumn="0" w:oddVBand="0" w:evenVBand="0" w:oddHBand="0" w:evenHBand="0" w:firstRowFirstColumn="0" w:firstRowLastColumn="0" w:lastRowFirstColumn="0" w:lastRowLastColumn="0"/>
            <w:tcW w:w="841" w:type="dxa"/>
            <w:hideMark/>
          </w:tcPr>
          <w:p w14:paraId="7C199664"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36-40</w:t>
            </w:r>
          </w:p>
        </w:tc>
        <w:tc>
          <w:tcPr>
            <w:tcW w:w="4664" w:type="dxa"/>
            <w:hideMark/>
          </w:tcPr>
          <w:p w14:paraId="7CAB80C0"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xml:space="preserve">Universidad Diego Portales </w:t>
            </w:r>
          </w:p>
        </w:tc>
        <w:tc>
          <w:tcPr>
            <w:tcW w:w="864" w:type="dxa"/>
            <w:hideMark/>
          </w:tcPr>
          <w:p w14:paraId="5A77316C"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1701" w:type="dxa"/>
            <w:hideMark/>
          </w:tcPr>
          <w:p w14:paraId="29AFD6D3"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851" w:type="dxa"/>
            <w:hideMark/>
          </w:tcPr>
          <w:p w14:paraId="59D12748" w14:textId="77777777" w:rsidR="00FA6077" w:rsidRPr="00B974AA" w:rsidRDefault="00FA6077" w:rsidP="00F9708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r>
      <w:tr w:rsidR="00FA6077" w:rsidRPr="00B974AA" w14:paraId="32C8B88E" w14:textId="77777777" w:rsidTr="00F9708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41" w:type="dxa"/>
            <w:hideMark/>
          </w:tcPr>
          <w:p w14:paraId="7C7F63FF" w14:textId="77777777" w:rsidR="00FA6077" w:rsidRPr="00B974AA" w:rsidRDefault="00FA6077" w:rsidP="00F9708A">
            <w:pPr>
              <w:spacing w:line="276" w:lineRule="auto"/>
              <w:jc w:val="both"/>
              <w:rPr>
                <w:rFonts w:asciiTheme="majorHAnsi" w:hAnsiTheme="majorHAnsi" w:cstheme="majorHAnsi"/>
                <w:sz w:val="21"/>
                <w:szCs w:val="21"/>
              </w:rPr>
            </w:pPr>
            <w:r w:rsidRPr="00B974AA">
              <w:rPr>
                <w:rFonts w:asciiTheme="majorHAnsi" w:hAnsiTheme="majorHAnsi" w:cstheme="majorHAnsi"/>
                <w:sz w:val="21"/>
                <w:szCs w:val="21"/>
              </w:rPr>
              <w:t>41-45</w:t>
            </w:r>
          </w:p>
        </w:tc>
        <w:tc>
          <w:tcPr>
            <w:tcW w:w="4664" w:type="dxa"/>
            <w:hideMark/>
          </w:tcPr>
          <w:p w14:paraId="3E2C22E6"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Universidad del Desarrollo</w:t>
            </w:r>
          </w:p>
        </w:tc>
        <w:tc>
          <w:tcPr>
            <w:tcW w:w="864" w:type="dxa"/>
            <w:hideMark/>
          </w:tcPr>
          <w:p w14:paraId="3E43B5BC"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1701" w:type="dxa"/>
            <w:hideMark/>
          </w:tcPr>
          <w:p w14:paraId="469FC184"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 </w:t>
            </w:r>
          </w:p>
        </w:tc>
        <w:tc>
          <w:tcPr>
            <w:tcW w:w="851" w:type="dxa"/>
            <w:hideMark/>
          </w:tcPr>
          <w:p w14:paraId="79CFC515" w14:textId="77777777" w:rsidR="00FA6077" w:rsidRPr="00B974AA" w:rsidRDefault="00FA6077" w:rsidP="00F9708A">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1"/>
                <w:szCs w:val="21"/>
              </w:rPr>
            </w:pPr>
            <w:r w:rsidRPr="00B974AA">
              <w:rPr>
                <w:rFonts w:asciiTheme="majorHAnsi" w:hAnsiTheme="majorHAnsi" w:cstheme="majorHAnsi"/>
                <w:bCs/>
                <w:sz w:val="21"/>
                <w:szCs w:val="21"/>
              </w:rPr>
              <w:t>X</w:t>
            </w:r>
          </w:p>
        </w:tc>
      </w:tr>
    </w:tbl>
    <w:p w14:paraId="595CF83A" w14:textId="77777777" w:rsidR="00FA6077" w:rsidRDefault="00FA6077" w:rsidP="00FA6077">
      <w:pPr>
        <w:spacing w:line="276" w:lineRule="auto"/>
        <w:jc w:val="both"/>
        <w:rPr>
          <w:rFonts w:asciiTheme="majorHAnsi" w:hAnsiTheme="majorHAnsi" w:cstheme="majorHAnsi"/>
          <w:bCs/>
          <w:sz w:val="24"/>
          <w:szCs w:val="24"/>
        </w:rPr>
      </w:pPr>
      <w:r w:rsidRPr="00B974AA">
        <w:rPr>
          <w:rFonts w:asciiTheme="majorHAnsi" w:hAnsiTheme="majorHAnsi" w:cstheme="majorHAnsi"/>
          <w:bCs/>
          <w:noProof/>
          <w:sz w:val="24"/>
          <w:szCs w:val="24"/>
          <w:lang w:eastAsia="es-CL"/>
        </w:rPr>
        <mc:AlternateContent>
          <mc:Choice Requires="wps">
            <w:drawing>
              <wp:anchor distT="0" distB="0" distL="114300" distR="114300" simplePos="0" relativeHeight="251664384" behindDoc="0" locked="0" layoutInCell="1" allowOverlap="1" wp14:anchorId="5913EBC9" wp14:editId="6C49598B">
                <wp:simplePos x="0" y="0"/>
                <wp:positionH relativeFrom="margin">
                  <wp:align>left</wp:align>
                </wp:positionH>
                <wp:positionV relativeFrom="paragraph">
                  <wp:posOffset>88265</wp:posOffset>
                </wp:positionV>
                <wp:extent cx="3371850" cy="406400"/>
                <wp:effectExtent l="0" t="0" r="0" b="0"/>
                <wp:wrapNone/>
                <wp:docPr id="8" name="CuadroTexto 7"/>
                <wp:cNvGraphicFramePr/>
                <a:graphic xmlns:a="http://schemas.openxmlformats.org/drawingml/2006/main">
                  <a:graphicData uri="http://schemas.microsoft.com/office/word/2010/wordprocessingShape">
                    <wps:wsp>
                      <wps:cNvSpPr txBox="1"/>
                      <wps:spPr>
                        <a:xfrm>
                          <a:off x="0" y="0"/>
                          <a:ext cx="3371850" cy="406400"/>
                        </a:xfrm>
                        <a:prstGeom prst="rect">
                          <a:avLst/>
                        </a:prstGeom>
                        <a:noFill/>
                      </wps:spPr>
                      <wps:txbx>
                        <w:txbxContent>
                          <w:p w14:paraId="64BD9017" w14:textId="77777777" w:rsidR="00FA6077" w:rsidRPr="00B974AA" w:rsidRDefault="00FA6077" w:rsidP="00FA6077">
                            <w:pPr>
                              <w:pStyle w:val="NormalWeb"/>
                              <w:spacing w:before="0" w:beforeAutospacing="0" w:after="0" w:afterAutospacing="0"/>
                              <w:rPr>
                                <w:rFonts w:asciiTheme="majorHAnsi" w:hAnsiTheme="majorHAnsi" w:cstheme="majorHAnsi"/>
                                <w:sz w:val="18"/>
                                <w:szCs w:val="18"/>
                              </w:rPr>
                            </w:pPr>
                            <w:proofErr w:type="spellStart"/>
                            <w:r w:rsidRPr="00B974AA">
                              <w:rPr>
                                <w:rFonts w:asciiTheme="majorHAnsi" w:hAnsiTheme="majorHAnsi" w:cstheme="majorHAnsi"/>
                                <w:kern w:val="24"/>
                                <w:sz w:val="18"/>
                                <w:szCs w:val="18"/>
                              </w:rPr>
                              <w:t>Timer</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Higher</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Education</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Latin</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America</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University</w:t>
                            </w:r>
                            <w:proofErr w:type="spellEnd"/>
                            <w:r w:rsidRPr="00B974AA">
                              <w:rPr>
                                <w:rFonts w:asciiTheme="majorHAnsi" w:hAnsiTheme="majorHAnsi" w:cstheme="majorHAnsi"/>
                                <w:kern w:val="24"/>
                                <w:sz w:val="18"/>
                                <w:szCs w:val="18"/>
                              </w:rPr>
                              <w:t xml:space="preserve"> Rankings 2016</w:t>
                            </w:r>
                          </w:p>
                          <w:p w14:paraId="574DA6FC" w14:textId="77777777" w:rsidR="00FA6077" w:rsidRDefault="00FA6077" w:rsidP="00FA6077">
                            <w:pPr>
                              <w:pStyle w:val="NormalWeb"/>
                              <w:spacing w:before="0" w:beforeAutospacing="0" w:after="0" w:afterAutospacing="0"/>
                            </w:pPr>
                            <w:r>
                              <w:rPr>
                                <w:color w:val="134163" w:themeColor="accent2" w:themeShade="80"/>
                                <w:kern w:val="24"/>
                                <w:sz w:val="36"/>
                                <w:szCs w:val="36"/>
                              </w:rPr>
                              <w:t xml:space="preserve"> </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5913EBC9" id="_x0000_t202" coordsize="21600,21600" o:spt="202" path="m,l,21600r21600,l21600,xe">
                <v:stroke joinstyle="miter"/>
                <v:path gradientshapeok="t" o:connecttype="rect"/>
              </v:shapetype>
              <v:shape id="CuadroTexto 7" o:spid="_x0000_s1026" type="#_x0000_t202" style="position:absolute;left:0;text-align:left;margin-left:0;margin-top:6.95pt;width:265.5pt;height:32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" filled="f" stroked="f">
                <v:textbox style="mso-fit-shape-to-text:t">
                  <w:txbxContent>
                    <w:p w14:paraId="64BD9017" w14:textId="77777777" w:rsidR="00FA6077" w:rsidRPr="00B974AA" w:rsidRDefault="00FA6077" w:rsidP="00FA6077">
                      <w:pPr>
                        <w:pStyle w:val="NormalWeb"/>
                        <w:spacing w:before="0" w:beforeAutospacing="0" w:after="0" w:afterAutospacing="0"/>
                        <w:rPr>
                          <w:rFonts w:asciiTheme="majorHAnsi" w:hAnsiTheme="majorHAnsi" w:cstheme="majorHAnsi"/>
                          <w:sz w:val="18"/>
                          <w:szCs w:val="18"/>
                        </w:rPr>
                      </w:pPr>
                      <w:proofErr w:type="spellStart"/>
                      <w:r w:rsidRPr="00B974AA">
                        <w:rPr>
                          <w:rFonts w:asciiTheme="majorHAnsi" w:hAnsiTheme="majorHAnsi" w:cstheme="majorHAnsi"/>
                          <w:kern w:val="24"/>
                          <w:sz w:val="18"/>
                          <w:szCs w:val="18"/>
                        </w:rPr>
                        <w:t>Timer</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Higher</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Education</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Latin</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America</w:t>
                      </w:r>
                      <w:proofErr w:type="spellEnd"/>
                      <w:r w:rsidRPr="00B974AA">
                        <w:rPr>
                          <w:rFonts w:asciiTheme="majorHAnsi" w:hAnsiTheme="majorHAnsi" w:cstheme="majorHAnsi"/>
                          <w:kern w:val="24"/>
                          <w:sz w:val="18"/>
                          <w:szCs w:val="18"/>
                        </w:rPr>
                        <w:t xml:space="preserve"> </w:t>
                      </w:r>
                      <w:proofErr w:type="spellStart"/>
                      <w:r w:rsidRPr="00B974AA">
                        <w:rPr>
                          <w:rFonts w:asciiTheme="majorHAnsi" w:hAnsiTheme="majorHAnsi" w:cstheme="majorHAnsi"/>
                          <w:kern w:val="24"/>
                          <w:sz w:val="18"/>
                          <w:szCs w:val="18"/>
                        </w:rPr>
                        <w:t>University</w:t>
                      </w:r>
                      <w:proofErr w:type="spellEnd"/>
                      <w:r w:rsidRPr="00B974AA">
                        <w:rPr>
                          <w:rFonts w:asciiTheme="majorHAnsi" w:hAnsiTheme="majorHAnsi" w:cstheme="majorHAnsi"/>
                          <w:kern w:val="24"/>
                          <w:sz w:val="18"/>
                          <w:szCs w:val="18"/>
                        </w:rPr>
                        <w:t xml:space="preserve"> Rankings 2016</w:t>
                      </w:r>
                    </w:p>
                    <w:p w14:paraId="574DA6FC" w14:textId="77777777" w:rsidR="00FA6077" w:rsidRDefault="00FA6077" w:rsidP="00FA6077">
                      <w:pPr>
                        <w:pStyle w:val="NormalWeb"/>
                        <w:spacing w:before="0" w:beforeAutospacing="0" w:after="0" w:afterAutospacing="0"/>
                      </w:pPr>
                      <w:r>
                        <w:rPr>
                          <w:color w:val="134163" w:themeColor="accent2" w:themeShade="80"/>
                          <w:kern w:val="24"/>
                          <w:sz w:val="36"/>
                          <w:szCs w:val="36"/>
                        </w:rPr>
                        <w:t xml:space="preserve"> </w:t>
                      </w:r>
                    </w:p>
                  </w:txbxContent>
                </v:textbox>
                <w10:wrap anchorx="margin"/>
              </v:shape>
            </w:pict>
          </mc:Fallback>
        </mc:AlternateContent>
      </w:r>
    </w:p>
    <w:p w14:paraId="5EAB9E56" w14:textId="77777777" w:rsidR="00FA6077" w:rsidRDefault="00FA6077" w:rsidP="00FA6077">
      <w:pPr>
        <w:spacing w:line="276" w:lineRule="auto"/>
        <w:jc w:val="both"/>
        <w:rPr>
          <w:rFonts w:asciiTheme="majorHAnsi" w:hAnsiTheme="majorHAnsi" w:cstheme="majorHAnsi"/>
          <w:bCs/>
          <w:sz w:val="24"/>
          <w:szCs w:val="24"/>
        </w:rPr>
      </w:pPr>
    </w:p>
    <w:p w14:paraId="78E63E34" w14:textId="77777777" w:rsidR="00FA6077" w:rsidRDefault="00FA6077" w:rsidP="00FA6077">
      <w:pPr>
        <w:spacing w:line="276" w:lineRule="auto"/>
        <w:jc w:val="both"/>
        <w:rPr>
          <w:rFonts w:asciiTheme="majorHAnsi" w:hAnsiTheme="majorHAnsi" w:cstheme="majorHAnsi"/>
          <w:sz w:val="24"/>
          <w:szCs w:val="24"/>
        </w:rPr>
      </w:pPr>
    </w:p>
    <w:p w14:paraId="33ED3F7C" w14:textId="381C050D" w:rsidR="00FA6077" w:rsidRPr="00B974AA" w:rsidRDefault="00FA6077" w:rsidP="00FA6077">
      <w:pPr>
        <w:spacing w:line="276" w:lineRule="auto"/>
        <w:jc w:val="both"/>
        <w:rPr>
          <w:rFonts w:asciiTheme="majorHAnsi" w:hAnsiTheme="majorHAnsi" w:cstheme="majorHAnsi"/>
          <w:b/>
          <w:bCs/>
          <w:sz w:val="24"/>
          <w:szCs w:val="24"/>
        </w:rPr>
      </w:pPr>
      <w:r w:rsidRPr="00B974AA">
        <w:rPr>
          <w:rFonts w:asciiTheme="majorHAnsi" w:hAnsiTheme="majorHAnsi" w:cstheme="majorHAnsi"/>
          <w:bCs/>
          <w:sz w:val="24"/>
          <w:szCs w:val="24"/>
        </w:rPr>
        <w:t xml:space="preserve">De esta manera, el proyecto </w:t>
      </w:r>
      <w:r w:rsidRPr="001D104B">
        <w:rPr>
          <w:rFonts w:asciiTheme="majorHAnsi" w:hAnsiTheme="majorHAnsi" w:cstheme="majorHAnsi"/>
          <w:b/>
          <w:bCs/>
          <w:sz w:val="24"/>
          <w:szCs w:val="24"/>
        </w:rPr>
        <w:t xml:space="preserve">apunta </w:t>
      </w:r>
      <w:r>
        <w:rPr>
          <w:rFonts w:asciiTheme="majorHAnsi" w:hAnsiTheme="majorHAnsi" w:cstheme="majorHAnsi"/>
          <w:bCs/>
          <w:sz w:val="24"/>
          <w:szCs w:val="24"/>
        </w:rPr>
        <w:t>principalmente</w:t>
      </w:r>
      <w:r w:rsidRPr="00B974AA">
        <w:rPr>
          <w:rFonts w:asciiTheme="majorHAnsi" w:hAnsiTheme="majorHAnsi" w:cstheme="majorHAnsi"/>
          <w:bCs/>
          <w:sz w:val="24"/>
          <w:szCs w:val="24"/>
        </w:rPr>
        <w:t xml:space="preserve"> más bien a </w:t>
      </w:r>
      <w:r>
        <w:rPr>
          <w:rFonts w:asciiTheme="majorHAnsi" w:hAnsiTheme="majorHAnsi" w:cstheme="majorHAnsi"/>
          <w:bCs/>
          <w:sz w:val="24"/>
          <w:szCs w:val="24"/>
        </w:rPr>
        <w:t xml:space="preserve">reformular el sistema regulatorio </w:t>
      </w:r>
      <w:r w:rsidR="00B94D6B">
        <w:rPr>
          <w:rFonts w:asciiTheme="majorHAnsi" w:hAnsiTheme="majorHAnsi" w:cstheme="majorHAnsi"/>
          <w:bCs/>
          <w:sz w:val="24"/>
          <w:szCs w:val="24"/>
        </w:rPr>
        <w:t xml:space="preserve">y </w:t>
      </w:r>
      <w:r w:rsidR="00B94D6B" w:rsidRPr="00B974AA">
        <w:rPr>
          <w:rFonts w:asciiTheme="majorHAnsi" w:hAnsiTheme="majorHAnsi" w:cstheme="majorHAnsi"/>
          <w:sz w:val="24"/>
          <w:szCs w:val="24"/>
        </w:rPr>
        <w:t>avanzar</w:t>
      </w:r>
      <w:r w:rsidRPr="00B974AA">
        <w:rPr>
          <w:rFonts w:asciiTheme="majorHAnsi" w:hAnsiTheme="majorHAnsi" w:cstheme="majorHAnsi"/>
          <w:sz w:val="24"/>
          <w:szCs w:val="24"/>
        </w:rPr>
        <w:t xml:space="preserve"> en</w:t>
      </w:r>
      <w:r>
        <w:rPr>
          <w:rFonts w:asciiTheme="majorHAnsi" w:hAnsiTheme="majorHAnsi" w:cstheme="majorHAnsi"/>
          <w:sz w:val="24"/>
          <w:szCs w:val="24"/>
        </w:rPr>
        <w:t xml:space="preserve"> el establecimiento de la g</w:t>
      </w:r>
      <w:r w:rsidRPr="00B974AA">
        <w:rPr>
          <w:rFonts w:asciiTheme="majorHAnsi" w:hAnsiTheme="majorHAnsi" w:cstheme="majorHAnsi"/>
          <w:sz w:val="24"/>
          <w:szCs w:val="24"/>
        </w:rPr>
        <w:t>ratuidad.</w:t>
      </w:r>
    </w:p>
    <w:p w14:paraId="2FA955C9" w14:textId="77777777" w:rsidR="00FA6077" w:rsidRPr="00F41BE5" w:rsidRDefault="00FA6077" w:rsidP="00FA6077">
      <w:pPr>
        <w:spacing w:line="276" w:lineRule="auto"/>
        <w:jc w:val="both"/>
        <w:rPr>
          <w:rFonts w:asciiTheme="majorHAnsi" w:hAnsiTheme="majorHAnsi" w:cstheme="majorHAnsi"/>
          <w:b/>
          <w:bCs/>
          <w:sz w:val="24"/>
          <w:szCs w:val="24"/>
        </w:rPr>
      </w:pPr>
    </w:p>
    <w:p w14:paraId="0E4CBC6A" w14:textId="77777777" w:rsidR="00FA6077" w:rsidRPr="00B7047D" w:rsidRDefault="00FA6077" w:rsidP="00FA6077">
      <w:pPr>
        <w:spacing w:line="276" w:lineRule="auto"/>
        <w:jc w:val="both"/>
        <w:rPr>
          <w:rFonts w:asciiTheme="majorHAnsi" w:hAnsiTheme="majorHAnsi" w:cstheme="majorHAnsi"/>
          <w:sz w:val="24"/>
          <w:szCs w:val="24"/>
        </w:rPr>
      </w:pPr>
    </w:p>
    <w:p w14:paraId="30E4F16C" w14:textId="77777777" w:rsidR="00FA6077" w:rsidRPr="00F41BE5" w:rsidRDefault="00FA6077" w:rsidP="00FA6077">
      <w:pPr>
        <w:pStyle w:val="Prrafodelista"/>
        <w:numPr>
          <w:ilvl w:val="0"/>
          <w:numId w:val="10"/>
        </w:numPr>
        <w:spacing w:line="276" w:lineRule="auto"/>
        <w:jc w:val="both"/>
        <w:rPr>
          <w:rFonts w:asciiTheme="majorHAnsi" w:hAnsiTheme="majorHAnsi" w:cstheme="majorHAnsi"/>
          <w:b/>
          <w:sz w:val="24"/>
          <w:szCs w:val="24"/>
        </w:rPr>
      </w:pPr>
      <w:r>
        <w:rPr>
          <w:rFonts w:asciiTheme="majorHAnsi" w:hAnsiTheme="majorHAnsi" w:cstheme="majorHAnsi"/>
          <w:b/>
          <w:sz w:val="24"/>
          <w:szCs w:val="24"/>
        </w:rPr>
        <w:t>Temas específico</w:t>
      </w:r>
      <w:r w:rsidRPr="00F41BE5">
        <w:rPr>
          <w:rFonts w:asciiTheme="majorHAnsi" w:hAnsiTheme="majorHAnsi" w:cstheme="majorHAnsi"/>
          <w:b/>
          <w:sz w:val="24"/>
          <w:szCs w:val="24"/>
        </w:rPr>
        <w:t>s:</w:t>
      </w:r>
    </w:p>
    <w:p w14:paraId="5A0E7794" w14:textId="77777777" w:rsidR="00FA6077" w:rsidRDefault="00FA6077" w:rsidP="00FA6077">
      <w:pPr>
        <w:spacing w:line="276" w:lineRule="auto"/>
        <w:jc w:val="both"/>
        <w:rPr>
          <w:rFonts w:asciiTheme="majorHAnsi" w:hAnsiTheme="majorHAnsi" w:cstheme="majorHAnsi"/>
          <w:sz w:val="24"/>
          <w:szCs w:val="24"/>
        </w:rPr>
      </w:pPr>
    </w:p>
    <w:p w14:paraId="780E3D35" w14:textId="77777777" w:rsidR="00FA6077" w:rsidRDefault="00FA6077" w:rsidP="00FA6077">
      <w:pPr>
        <w:spacing w:line="276" w:lineRule="auto"/>
        <w:jc w:val="both"/>
        <w:rPr>
          <w:rFonts w:asciiTheme="majorHAnsi" w:hAnsiTheme="majorHAnsi" w:cstheme="majorHAnsi"/>
          <w:sz w:val="24"/>
          <w:szCs w:val="24"/>
        </w:rPr>
      </w:pPr>
      <w:r w:rsidRPr="005E5607">
        <w:rPr>
          <w:rFonts w:asciiTheme="majorHAnsi" w:hAnsiTheme="majorHAnsi" w:cstheme="majorHAnsi"/>
          <w:b/>
          <w:sz w:val="24"/>
          <w:szCs w:val="24"/>
        </w:rPr>
        <w:t>Artículo 1:</w:t>
      </w:r>
      <w:r>
        <w:rPr>
          <w:rFonts w:asciiTheme="majorHAnsi" w:hAnsiTheme="majorHAnsi" w:cstheme="majorHAnsi"/>
          <w:sz w:val="24"/>
          <w:szCs w:val="24"/>
        </w:rPr>
        <w:t xml:space="preserve"> El proyecto de ley contempla amplios principios y disposiciones generales, que hacen mención a los fines u objetivos de la educación superior que compartimos y que ilustran el resto del articulado.  </w:t>
      </w:r>
    </w:p>
    <w:p w14:paraId="554F0F4A" w14:textId="77777777"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Menciona en primer lugar la obligación de generar conocimiento y la vinculación con la comunidad y en un segundo párrafo, el compromiso con la formación integral de las personas.</w:t>
      </w:r>
    </w:p>
    <w:p w14:paraId="550A7F98" w14:textId="7BFD44D3"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De este artículo igualmente se derivan para las IES obligaciones de contribuir al progreso cultural, social, científico y tecnológico, económico y sustentable de las regiones y del país. </w:t>
      </w:r>
      <w:r>
        <w:rPr>
          <w:rFonts w:asciiTheme="majorHAnsi" w:hAnsiTheme="majorHAnsi" w:cstheme="majorHAnsi"/>
          <w:sz w:val="24"/>
          <w:szCs w:val="24"/>
        </w:rPr>
        <w:lastRenderedPageBreak/>
        <w:t xml:space="preserve">Si bien es cierto, estos objetivos son del todo relevantes, exceden con creces el ámbito de la regulación legal e imponen a las instituciones obligaciones </w:t>
      </w:r>
      <w:r w:rsidR="00B94D6B">
        <w:rPr>
          <w:rFonts w:asciiTheme="majorHAnsi" w:hAnsiTheme="majorHAnsi" w:cstheme="majorHAnsi"/>
          <w:sz w:val="24"/>
          <w:szCs w:val="24"/>
        </w:rPr>
        <w:t>que,</w:t>
      </w:r>
      <w:r>
        <w:rPr>
          <w:rFonts w:asciiTheme="majorHAnsi" w:hAnsiTheme="majorHAnsi" w:cstheme="majorHAnsi"/>
          <w:sz w:val="24"/>
          <w:szCs w:val="24"/>
        </w:rPr>
        <w:t xml:space="preserve"> en muchos casos, van más allá de sus propias capacidades.  </w:t>
      </w:r>
    </w:p>
    <w:p w14:paraId="08F54D75" w14:textId="7AB70B89" w:rsidR="00FA6077" w:rsidRDefault="00FA6077" w:rsidP="00FA6077">
      <w:pPr>
        <w:spacing w:line="276" w:lineRule="auto"/>
        <w:jc w:val="both"/>
        <w:rPr>
          <w:rFonts w:asciiTheme="majorHAnsi" w:hAnsiTheme="majorHAnsi" w:cstheme="majorHAnsi"/>
          <w:b/>
          <w:sz w:val="24"/>
          <w:szCs w:val="24"/>
        </w:rPr>
      </w:pPr>
    </w:p>
    <w:p w14:paraId="45A941A4" w14:textId="77777777" w:rsidR="00FA6077" w:rsidRDefault="00FA6077" w:rsidP="00FA6077">
      <w:pPr>
        <w:spacing w:line="276" w:lineRule="auto"/>
        <w:jc w:val="both"/>
        <w:rPr>
          <w:rFonts w:asciiTheme="majorHAnsi" w:hAnsiTheme="majorHAnsi" w:cstheme="majorHAnsi"/>
          <w:b/>
          <w:sz w:val="24"/>
          <w:szCs w:val="24"/>
        </w:rPr>
      </w:pPr>
      <w:r>
        <w:rPr>
          <w:rFonts w:asciiTheme="majorHAnsi" w:hAnsiTheme="majorHAnsi" w:cstheme="majorHAnsi"/>
          <w:b/>
          <w:sz w:val="24"/>
          <w:szCs w:val="24"/>
        </w:rPr>
        <w:t>Artículo 5: El Consejo de Rectores (CRUCH)</w:t>
      </w:r>
    </w:p>
    <w:p w14:paraId="09481D01" w14:textId="77777777" w:rsidR="00FA6077" w:rsidRPr="00F41C41" w:rsidRDefault="00FA6077" w:rsidP="00FA6077">
      <w:pPr>
        <w:spacing w:line="276" w:lineRule="auto"/>
        <w:jc w:val="both"/>
        <w:rPr>
          <w:rFonts w:asciiTheme="majorHAnsi" w:hAnsiTheme="majorHAnsi" w:cstheme="majorHAnsi"/>
          <w:sz w:val="24"/>
          <w:szCs w:val="24"/>
        </w:rPr>
      </w:pPr>
    </w:p>
    <w:p w14:paraId="2E8D5C79" w14:textId="77777777" w:rsidR="00FA6077" w:rsidRPr="00F41C41" w:rsidRDefault="00FA6077" w:rsidP="00FA6077">
      <w:pPr>
        <w:spacing w:line="276" w:lineRule="auto"/>
        <w:jc w:val="both"/>
        <w:rPr>
          <w:rFonts w:asciiTheme="majorHAnsi" w:hAnsiTheme="majorHAnsi" w:cstheme="majorHAnsi"/>
          <w:sz w:val="24"/>
          <w:szCs w:val="24"/>
        </w:rPr>
      </w:pPr>
      <w:r w:rsidRPr="00F41C41">
        <w:rPr>
          <w:rFonts w:asciiTheme="majorHAnsi" w:hAnsiTheme="majorHAnsi" w:cstheme="majorHAnsi"/>
          <w:sz w:val="24"/>
          <w:szCs w:val="24"/>
        </w:rPr>
        <w:t>Este artículo señala que es el Consejo de Rectores el único ente encargado de asesorar y formular propuesta en políticas públicas en materias de educación superior al Gobierno, en circunstancias que agrupa a no más del 27% de la matrícula.</w:t>
      </w:r>
    </w:p>
    <w:p w14:paraId="00214EC6" w14:textId="77777777" w:rsidR="00FA6077" w:rsidRPr="00B7047D" w:rsidRDefault="00FA6077" w:rsidP="00FA6077">
      <w:pPr>
        <w:spacing w:line="276" w:lineRule="auto"/>
        <w:jc w:val="both"/>
        <w:rPr>
          <w:rFonts w:asciiTheme="majorHAnsi" w:hAnsiTheme="majorHAnsi" w:cstheme="majorHAnsi"/>
          <w:b/>
          <w:sz w:val="24"/>
          <w:szCs w:val="24"/>
        </w:rPr>
      </w:pPr>
    </w:p>
    <w:p w14:paraId="18D7B9FB" w14:textId="77777777" w:rsidR="00FA6077" w:rsidRPr="00B7047D" w:rsidRDefault="00FA6077" w:rsidP="00FA6077">
      <w:pPr>
        <w:spacing w:line="276" w:lineRule="auto"/>
        <w:jc w:val="both"/>
        <w:rPr>
          <w:rFonts w:asciiTheme="majorHAnsi" w:hAnsiTheme="majorHAnsi" w:cstheme="majorHAnsi"/>
          <w:sz w:val="24"/>
          <w:szCs w:val="24"/>
        </w:rPr>
      </w:pPr>
      <w:r w:rsidRPr="00B7047D">
        <w:rPr>
          <w:rFonts w:asciiTheme="majorHAnsi" w:hAnsiTheme="majorHAnsi" w:cstheme="majorHAnsi"/>
          <w:sz w:val="24"/>
          <w:szCs w:val="24"/>
        </w:rPr>
        <w:t xml:space="preserve">Las exigencias </w:t>
      </w:r>
      <w:r>
        <w:rPr>
          <w:rFonts w:asciiTheme="majorHAnsi" w:hAnsiTheme="majorHAnsi" w:cstheme="majorHAnsi"/>
          <w:sz w:val="24"/>
          <w:szCs w:val="24"/>
        </w:rPr>
        <w:t>de admisión para</w:t>
      </w:r>
      <w:r w:rsidRPr="00B7047D">
        <w:rPr>
          <w:rFonts w:asciiTheme="majorHAnsi" w:hAnsiTheme="majorHAnsi" w:cstheme="majorHAnsi"/>
          <w:sz w:val="24"/>
          <w:szCs w:val="24"/>
        </w:rPr>
        <w:t xml:space="preserve"> las nuevas universidades son excesivas</w:t>
      </w:r>
      <w:r>
        <w:rPr>
          <w:rFonts w:asciiTheme="majorHAnsi" w:hAnsiTheme="majorHAnsi" w:cstheme="majorHAnsi"/>
          <w:sz w:val="24"/>
          <w:szCs w:val="24"/>
        </w:rPr>
        <w:t xml:space="preserve"> y no solucionan el problema principal de que no existe un espacio donde puedan reunirse las Instituciones de Educación Superior con el Estado. Además, no se entiende que se restrinja aun grupo de instituciones por razones históricas.</w:t>
      </w:r>
      <w:r w:rsidRPr="00B7047D">
        <w:rPr>
          <w:rFonts w:asciiTheme="majorHAnsi" w:hAnsiTheme="majorHAnsi" w:cstheme="majorHAnsi"/>
          <w:sz w:val="24"/>
          <w:szCs w:val="24"/>
        </w:rPr>
        <w:t xml:space="preserve"> </w:t>
      </w:r>
    </w:p>
    <w:p w14:paraId="27068091" w14:textId="77777777" w:rsidR="00FA6077" w:rsidRDefault="00FA6077" w:rsidP="00FA6077">
      <w:pPr>
        <w:spacing w:line="276" w:lineRule="auto"/>
        <w:jc w:val="both"/>
        <w:rPr>
          <w:rFonts w:asciiTheme="majorHAnsi" w:hAnsiTheme="majorHAnsi" w:cstheme="majorHAnsi"/>
          <w:sz w:val="24"/>
          <w:szCs w:val="24"/>
        </w:rPr>
      </w:pPr>
    </w:p>
    <w:p w14:paraId="3F7F0D3A" w14:textId="77777777" w:rsidR="00FA6077" w:rsidRPr="00DA7855" w:rsidRDefault="00FA6077" w:rsidP="00FA6077">
      <w:pPr>
        <w:spacing w:line="276" w:lineRule="auto"/>
        <w:jc w:val="both"/>
        <w:rPr>
          <w:rFonts w:asciiTheme="majorHAnsi" w:hAnsiTheme="majorHAnsi" w:cstheme="majorHAnsi"/>
          <w:sz w:val="24"/>
          <w:szCs w:val="24"/>
        </w:rPr>
      </w:pPr>
      <w:r w:rsidRPr="00E85885">
        <w:rPr>
          <w:rFonts w:asciiTheme="majorHAnsi" w:hAnsiTheme="majorHAnsi" w:cstheme="majorHAnsi"/>
          <w:b/>
          <w:sz w:val="24"/>
          <w:szCs w:val="24"/>
        </w:rPr>
        <w:t xml:space="preserve">Artículo </w:t>
      </w:r>
      <w:r w:rsidRPr="00DA7855">
        <w:rPr>
          <w:rFonts w:asciiTheme="majorHAnsi" w:hAnsiTheme="majorHAnsi" w:cstheme="majorHAnsi"/>
          <w:b/>
          <w:sz w:val="24"/>
          <w:szCs w:val="24"/>
        </w:rPr>
        <w:t>7: Subsecretaría de Educación</w:t>
      </w:r>
    </w:p>
    <w:p w14:paraId="082B5239" w14:textId="77777777"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Sobre la base que la Subsecretaría de Educación Superior es el órgano rector del sistema, acá se indica que le corresponde a la misma proponer al Ministerio de Educación una estrategia para el desarrollo de la educación superior, la que deberá abordar, con un horizonte de largo plazo, los desafíos del sistema de educación superior. Esta estrategia limita la autonomía de las instituciones de educación superior, ya que no sólo se pretende imponer a las universidades estatales, sino también a las privadas.</w:t>
      </w:r>
    </w:p>
    <w:p w14:paraId="00FE1A9F" w14:textId="77777777" w:rsidR="00FA6077" w:rsidRPr="00B7047D" w:rsidRDefault="00FA6077" w:rsidP="00FA6077">
      <w:pPr>
        <w:spacing w:line="276" w:lineRule="auto"/>
        <w:jc w:val="both"/>
        <w:rPr>
          <w:rFonts w:asciiTheme="majorHAnsi" w:hAnsiTheme="majorHAnsi" w:cstheme="majorHAnsi"/>
          <w:sz w:val="24"/>
          <w:szCs w:val="24"/>
        </w:rPr>
      </w:pPr>
    </w:p>
    <w:p w14:paraId="2F4FE4EF" w14:textId="77777777" w:rsidR="00FA6077" w:rsidRPr="00B7047D" w:rsidRDefault="00FA6077" w:rsidP="00FA6077">
      <w:pPr>
        <w:spacing w:line="276" w:lineRule="auto"/>
        <w:jc w:val="both"/>
        <w:rPr>
          <w:rFonts w:asciiTheme="majorHAnsi" w:hAnsiTheme="majorHAnsi" w:cstheme="majorHAnsi"/>
          <w:b/>
          <w:sz w:val="24"/>
          <w:szCs w:val="24"/>
        </w:rPr>
      </w:pPr>
      <w:r>
        <w:rPr>
          <w:rFonts w:asciiTheme="majorHAnsi" w:hAnsiTheme="majorHAnsi" w:cstheme="majorHAnsi"/>
          <w:b/>
          <w:sz w:val="24"/>
          <w:szCs w:val="24"/>
        </w:rPr>
        <w:t>Artículo 10: Sistema de A</w:t>
      </w:r>
      <w:r w:rsidRPr="00B7047D">
        <w:rPr>
          <w:rFonts w:asciiTheme="majorHAnsi" w:hAnsiTheme="majorHAnsi" w:cstheme="majorHAnsi"/>
          <w:b/>
          <w:sz w:val="24"/>
          <w:szCs w:val="24"/>
        </w:rPr>
        <w:t>cceso.</w:t>
      </w:r>
    </w:p>
    <w:p w14:paraId="270E6DE2" w14:textId="63AFCDE8"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Cuando se habla de sistemas de acceso se está asumiendo que es necesario seleccionar a los postulantes. Sin embargo, la realidad de hoy en el país nos muestra que en muchas carreras tenemos más vacantes que alumnos y, </w:t>
      </w:r>
      <w:r w:rsidR="00B94D6B">
        <w:rPr>
          <w:rFonts w:asciiTheme="majorHAnsi" w:hAnsiTheme="majorHAnsi" w:cstheme="majorHAnsi"/>
          <w:sz w:val="24"/>
          <w:szCs w:val="24"/>
        </w:rPr>
        <w:t>que,</w:t>
      </w:r>
      <w:r>
        <w:rPr>
          <w:rFonts w:asciiTheme="majorHAnsi" w:hAnsiTheme="majorHAnsi" w:cstheme="majorHAnsi"/>
          <w:sz w:val="24"/>
          <w:szCs w:val="24"/>
        </w:rPr>
        <w:t xml:space="preserve"> por tanto, la selectividad solo existe en ciertas instituciones y en ciertas carreras, por lo que no parece necesario tener un sistema único y público de selección, a menos que se pretenda limitar el </w:t>
      </w:r>
      <w:r w:rsidR="00B94D6B">
        <w:rPr>
          <w:rFonts w:asciiTheme="majorHAnsi" w:hAnsiTheme="majorHAnsi" w:cstheme="majorHAnsi"/>
          <w:sz w:val="24"/>
          <w:szCs w:val="24"/>
        </w:rPr>
        <w:t>acceso al</w:t>
      </w:r>
      <w:r>
        <w:rPr>
          <w:rFonts w:asciiTheme="majorHAnsi" w:hAnsiTheme="majorHAnsi" w:cstheme="majorHAnsi"/>
          <w:sz w:val="24"/>
          <w:szCs w:val="24"/>
        </w:rPr>
        <w:t xml:space="preserve"> sistema de educación superior en función de los recursos disponibles para financiar la gratuidad.</w:t>
      </w:r>
    </w:p>
    <w:p w14:paraId="6F9A39E6" w14:textId="77777777" w:rsidR="00FA6077" w:rsidRDefault="00FA6077" w:rsidP="00FA6077">
      <w:pPr>
        <w:spacing w:line="276" w:lineRule="auto"/>
        <w:jc w:val="both"/>
        <w:rPr>
          <w:rFonts w:asciiTheme="majorHAnsi" w:hAnsiTheme="majorHAnsi" w:cstheme="majorHAnsi"/>
          <w:sz w:val="24"/>
          <w:szCs w:val="24"/>
        </w:rPr>
      </w:pPr>
    </w:p>
    <w:p w14:paraId="0AAC16FE" w14:textId="2712CE6F"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Quisiera </w:t>
      </w:r>
      <w:r w:rsidR="00B94D6B">
        <w:rPr>
          <w:rFonts w:asciiTheme="majorHAnsi" w:hAnsiTheme="majorHAnsi" w:cstheme="majorHAnsi"/>
          <w:sz w:val="24"/>
          <w:szCs w:val="24"/>
        </w:rPr>
        <w:t>señalar,</w:t>
      </w:r>
      <w:r>
        <w:rPr>
          <w:rFonts w:asciiTheme="majorHAnsi" w:hAnsiTheme="majorHAnsi" w:cstheme="majorHAnsi"/>
          <w:sz w:val="24"/>
          <w:szCs w:val="24"/>
        </w:rPr>
        <w:t xml:space="preserve"> además, que la elaboración y aplicación de pruebas de selección requiere de mucha experiencia y capacidad técnica la que no puede improvisarse y por </w:t>
      </w:r>
      <w:r w:rsidR="00B94D6B">
        <w:rPr>
          <w:rFonts w:asciiTheme="majorHAnsi" w:hAnsiTheme="majorHAnsi" w:cstheme="majorHAnsi"/>
          <w:sz w:val="24"/>
          <w:szCs w:val="24"/>
        </w:rPr>
        <w:t>ello es</w:t>
      </w:r>
      <w:r>
        <w:rPr>
          <w:rFonts w:asciiTheme="majorHAnsi" w:hAnsiTheme="majorHAnsi" w:cstheme="majorHAnsi"/>
          <w:sz w:val="24"/>
          <w:szCs w:val="24"/>
        </w:rPr>
        <w:t xml:space="preserve"> posible existen serias dudas sobre su factibilidad.</w:t>
      </w:r>
    </w:p>
    <w:p w14:paraId="06FAD5D5" w14:textId="77777777" w:rsidR="00FA6077" w:rsidRDefault="00FA6077" w:rsidP="00FA6077">
      <w:pPr>
        <w:spacing w:line="276" w:lineRule="auto"/>
        <w:jc w:val="both"/>
        <w:rPr>
          <w:rFonts w:asciiTheme="majorHAnsi" w:hAnsiTheme="majorHAnsi" w:cstheme="majorHAnsi"/>
          <w:sz w:val="24"/>
          <w:szCs w:val="24"/>
        </w:rPr>
      </w:pPr>
    </w:p>
    <w:p w14:paraId="3F623357" w14:textId="52DE5FEF" w:rsidR="00FA6077" w:rsidRPr="00B94D6B"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En línea con lo que pareciera ser el objetivo de esta política el proyecto establece la facultad del Estado de determinar los cupos del sistema y de regular los aranceles. En </w:t>
      </w:r>
      <w:r>
        <w:rPr>
          <w:rFonts w:asciiTheme="majorHAnsi" w:hAnsiTheme="majorHAnsi" w:cstheme="majorHAnsi"/>
          <w:sz w:val="24"/>
          <w:szCs w:val="24"/>
        </w:rPr>
        <w:lastRenderedPageBreak/>
        <w:t>definitiva, el crecimiento del Sistema de Educación Superior y su operación quedará limitado por</w:t>
      </w:r>
      <w:r w:rsidR="00B94D6B">
        <w:rPr>
          <w:rFonts w:asciiTheme="majorHAnsi" w:hAnsiTheme="majorHAnsi" w:cstheme="majorHAnsi"/>
          <w:sz w:val="24"/>
          <w:szCs w:val="24"/>
        </w:rPr>
        <w:t xml:space="preserve"> </w:t>
      </w:r>
      <w:r>
        <w:rPr>
          <w:rFonts w:asciiTheme="majorHAnsi" w:hAnsiTheme="majorHAnsi" w:cstheme="majorHAnsi"/>
          <w:sz w:val="24"/>
          <w:szCs w:val="24"/>
        </w:rPr>
        <w:t xml:space="preserve">la disponibilidad de recursos públicos para el financiamiento de la gratuidad, con lo cual se pone en riesgo la democratización de la Educación Superior, que hemos conseguido como país restringiendo el ingreso de los sectores vulnerables que normalmente obtienen peores resultados en las pruebas nacionales y en consecuencia se estaría volviendo a una educación selectiva y elitista. </w:t>
      </w:r>
    </w:p>
    <w:p w14:paraId="35585EAF" w14:textId="77777777" w:rsidR="00FA6077" w:rsidRDefault="00FA6077" w:rsidP="00FA6077">
      <w:pPr>
        <w:spacing w:line="276" w:lineRule="auto"/>
        <w:jc w:val="both"/>
        <w:rPr>
          <w:rFonts w:asciiTheme="majorHAnsi" w:hAnsiTheme="majorHAnsi" w:cstheme="majorHAnsi"/>
          <w:b/>
          <w:sz w:val="24"/>
          <w:szCs w:val="24"/>
        </w:rPr>
      </w:pPr>
    </w:p>
    <w:p w14:paraId="1A351D65" w14:textId="77777777" w:rsidR="00FA6077" w:rsidRDefault="00FA6077" w:rsidP="00FA6077">
      <w:pPr>
        <w:spacing w:line="276" w:lineRule="auto"/>
        <w:jc w:val="both"/>
        <w:rPr>
          <w:rFonts w:asciiTheme="majorHAnsi" w:hAnsiTheme="majorHAnsi" w:cstheme="majorHAnsi"/>
          <w:b/>
          <w:sz w:val="24"/>
          <w:szCs w:val="24"/>
        </w:rPr>
      </w:pPr>
      <w:r w:rsidRPr="00B7047D">
        <w:rPr>
          <w:rFonts w:asciiTheme="majorHAnsi" w:hAnsiTheme="majorHAnsi" w:cstheme="majorHAnsi"/>
          <w:b/>
          <w:sz w:val="24"/>
          <w:szCs w:val="24"/>
        </w:rPr>
        <w:t xml:space="preserve">Superintendencia </w:t>
      </w:r>
    </w:p>
    <w:p w14:paraId="02B5598D" w14:textId="77777777" w:rsidR="00FA6077" w:rsidRDefault="00FA6077" w:rsidP="00FA6077">
      <w:pPr>
        <w:spacing w:line="276" w:lineRule="auto"/>
        <w:jc w:val="both"/>
        <w:rPr>
          <w:rFonts w:asciiTheme="majorHAnsi" w:hAnsiTheme="majorHAnsi" w:cstheme="majorHAnsi"/>
          <w:b/>
          <w:sz w:val="24"/>
          <w:szCs w:val="24"/>
        </w:rPr>
      </w:pPr>
    </w:p>
    <w:p w14:paraId="02392FFF" w14:textId="77777777" w:rsidR="00FA6077" w:rsidRPr="00B7047D" w:rsidRDefault="00FA6077" w:rsidP="00FA6077">
      <w:pPr>
        <w:spacing w:line="276" w:lineRule="auto"/>
        <w:jc w:val="both"/>
        <w:rPr>
          <w:rFonts w:asciiTheme="majorHAnsi" w:hAnsiTheme="majorHAnsi" w:cstheme="majorHAnsi"/>
          <w:b/>
          <w:sz w:val="24"/>
          <w:szCs w:val="24"/>
        </w:rPr>
      </w:pPr>
      <w:r w:rsidRPr="00B7047D">
        <w:rPr>
          <w:rFonts w:asciiTheme="majorHAnsi" w:hAnsiTheme="majorHAnsi" w:cstheme="majorHAnsi"/>
          <w:b/>
          <w:sz w:val="24"/>
          <w:szCs w:val="24"/>
        </w:rPr>
        <w:t xml:space="preserve">Artículo 19: </w:t>
      </w:r>
    </w:p>
    <w:p w14:paraId="66F2FED6" w14:textId="62801B88"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Si bien, valoramos la existencia de una Superintendencia de E</w:t>
      </w:r>
      <w:r w:rsidR="00B94D6B">
        <w:rPr>
          <w:rFonts w:asciiTheme="majorHAnsi" w:hAnsiTheme="majorHAnsi" w:cstheme="majorHAnsi"/>
          <w:sz w:val="24"/>
          <w:szCs w:val="24"/>
        </w:rPr>
        <w:t xml:space="preserve">ducación </w:t>
      </w:r>
      <w:r>
        <w:rPr>
          <w:rFonts w:asciiTheme="majorHAnsi" w:hAnsiTheme="majorHAnsi" w:cstheme="majorHAnsi"/>
          <w:sz w:val="24"/>
          <w:szCs w:val="24"/>
        </w:rPr>
        <w:t>S</w:t>
      </w:r>
      <w:r w:rsidR="00B94D6B">
        <w:rPr>
          <w:rFonts w:asciiTheme="majorHAnsi" w:hAnsiTheme="majorHAnsi" w:cstheme="majorHAnsi"/>
          <w:sz w:val="24"/>
          <w:szCs w:val="24"/>
        </w:rPr>
        <w:t xml:space="preserve">uperior, </w:t>
      </w:r>
      <w:r>
        <w:rPr>
          <w:rFonts w:asciiTheme="majorHAnsi" w:hAnsiTheme="majorHAnsi" w:cstheme="majorHAnsi"/>
          <w:sz w:val="24"/>
          <w:szCs w:val="24"/>
        </w:rPr>
        <w:t>nos preocupa el exceso y la de atribuciones que se le atribuyen la falta de precisión de las mismas: Fiscaliza, sanciona y</w:t>
      </w:r>
      <w:r w:rsidRPr="00B7047D">
        <w:rPr>
          <w:rFonts w:asciiTheme="majorHAnsi" w:hAnsiTheme="majorHAnsi" w:cstheme="majorHAnsi"/>
          <w:sz w:val="24"/>
          <w:szCs w:val="24"/>
        </w:rPr>
        <w:t xml:space="preserve"> hace recomendaciones financieras. </w:t>
      </w:r>
    </w:p>
    <w:p w14:paraId="1327473C" w14:textId="03E02094"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Creemos que la Superintendencia debiera estar acompañada de una Comisión plural con funciones normativas y de definición de sanciones. Mantener solamente la Superintendencia permitiría una mayor captura por parte de algunas instituciones y con ello</w:t>
      </w:r>
      <w:r w:rsidR="00B94D6B">
        <w:rPr>
          <w:rFonts w:asciiTheme="majorHAnsi" w:hAnsiTheme="majorHAnsi" w:cstheme="majorHAnsi"/>
          <w:sz w:val="24"/>
          <w:szCs w:val="24"/>
        </w:rPr>
        <w:t>,</w:t>
      </w:r>
      <w:r>
        <w:rPr>
          <w:rFonts w:asciiTheme="majorHAnsi" w:hAnsiTheme="majorHAnsi" w:cstheme="majorHAnsi"/>
          <w:sz w:val="24"/>
          <w:szCs w:val="24"/>
        </w:rPr>
        <w:t xml:space="preserve"> de posibles arbitrariedades. </w:t>
      </w:r>
    </w:p>
    <w:p w14:paraId="64E47F6B" w14:textId="77777777" w:rsidR="00FA6077" w:rsidRDefault="00FA6077" w:rsidP="00FA6077">
      <w:pPr>
        <w:spacing w:line="276" w:lineRule="auto"/>
        <w:jc w:val="both"/>
        <w:rPr>
          <w:rFonts w:asciiTheme="majorHAnsi" w:hAnsiTheme="majorHAnsi" w:cstheme="majorHAnsi"/>
          <w:sz w:val="24"/>
          <w:szCs w:val="24"/>
        </w:rPr>
      </w:pPr>
    </w:p>
    <w:p w14:paraId="2CF915AC" w14:textId="77777777" w:rsidR="00FA6077" w:rsidRPr="00D6560F" w:rsidRDefault="00FA6077" w:rsidP="00FA6077">
      <w:pPr>
        <w:spacing w:line="276" w:lineRule="auto"/>
        <w:jc w:val="both"/>
        <w:rPr>
          <w:rFonts w:asciiTheme="majorHAnsi" w:hAnsiTheme="majorHAnsi" w:cstheme="majorHAnsi"/>
          <w:b/>
          <w:sz w:val="24"/>
          <w:szCs w:val="24"/>
        </w:rPr>
      </w:pPr>
      <w:r w:rsidRPr="00D6560F">
        <w:rPr>
          <w:rFonts w:asciiTheme="majorHAnsi" w:hAnsiTheme="majorHAnsi" w:cstheme="majorHAnsi"/>
          <w:b/>
          <w:sz w:val="24"/>
          <w:szCs w:val="24"/>
        </w:rPr>
        <w:t>Artículo 25:</w:t>
      </w:r>
    </w:p>
    <w:p w14:paraId="6AC12D3E" w14:textId="77777777"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Un punto relevante, es la atribución que tendrá este organismo, de determinar sin plazos ni contrapesos, el cierre de sedes, carreras o programas. </w:t>
      </w:r>
    </w:p>
    <w:p w14:paraId="0FF1817D" w14:textId="77777777" w:rsidR="00FA6077" w:rsidRDefault="00FA6077" w:rsidP="00FA6077">
      <w:pPr>
        <w:spacing w:line="276" w:lineRule="auto"/>
        <w:jc w:val="both"/>
        <w:rPr>
          <w:rFonts w:asciiTheme="majorHAnsi" w:hAnsiTheme="majorHAnsi" w:cstheme="majorHAnsi"/>
          <w:sz w:val="24"/>
          <w:szCs w:val="24"/>
        </w:rPr>
      </w:pPr>
    </w:p>
    <w:p w14:paraId="3F014358" w14:textId="77777777" w:rsidR="00FA6077" w:rsidRPr="00D6560F" w:rsidRDefault="00FA6077" w:rsidP="00FA6077">
      <w:pPr>
        <w:spacing w:line="276" w:lineRule="auto"/>
        <w:jc w:val="both"/>
        <w:rPr>
          <w:rFonts w:asciiTheme="majorHAnsi" w:hAnsiTheme="majorHAnsi" w:cstheme="majorHAnsi"/>
          <w:b/>
          <w:sz w:val="24"/>
          <w:szCs w:val="24"/>
        </w:rPr>
      </w:pPr>
      <w:r w:rsidRPr="00D6560F">
        <w:rPr>
          <w:rFonts w:asciiTheme="majorHAnsi" w:hAnsiTheme="majorHAnsi" w:cstheme="majorHAnsi"/>
          <w:b/>
          <w:sz w:val="24"/>
          <w:szCs w:val="24"/>
        </w:rPr>
        <w:t>Art</w:t>
      </w:r>
      <w:r>
        <w:rPr>
          <w:rFonts w:asciiTheme="majorHAnsi" w:hAnsiTheme="majorHAnsi" w:cstheme="majorHAnsi"/>
          <w:b/>
          <w:sz w:val="24"/>
          <w:szCs w:val="24"/>
        </w:rPr>
        <w:t>ículo 40:</w:t>
      </w:r>
    </w:p>
    <w:p w14:paraId="2E8163E2" w14:textId="77777777"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Atentan contra la autonomía de las IES algunas atribuciones fiscalizadoras tales como, ingresar a los establecimientos o dependencias académicas, acceder a cualquier documento, iniciar procedimientos sancionatorios por reclamo o denuncia formulada por una persona o grupo de personas interesadas sin que sea necesario demostrar el fundamento de ese interés.</w:t>
      </w:r>
    </w:p>
    <w:p w14:paraId="34E19192" w14:textId="77777777" w:rsidR="00FA6077" w:rsidRDefault="00FA6077" w:rsidP="00FA6077">
      <w:pPr>
        <w:spacing w:line="276" w:lineRule="auto"/>
        <w:jc w:val="both"/>
        <w:rPr>
          <w:rFonts w:asciiTheme="majorHAnsi" w:hAnsiTheme="majorHAnsi" w:cstheme="majorHAnsi"/>
          <w:sz w:val="24"/>
          <w:szCs w:val="24"/>
        </w:rPr>
      </w:pPr>
    </w:p>
    <w:p w14:paraId="4C9A57EB" w14:textId="77777777" w:rsidR="00FA6077" w:rsidRDefault="00FA6077" w:rsidP="00FA6077">
      <w:pPr>
        <w:spacing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Artículo 71 en adelante: </w:t>
      </w:r>
    </w:p>
    <w:p w14:paraId="582BAFF5" w14:textId="61EB94A0"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Queremos reiterar nuestra opinión reiterada respecto a la necesidad de contar con instrumentos que resguarden y certifiquen el carácter de instituciones sin fin de lucro de las universidades. Por ello estimamos necesaria la existencia de una Superintendencia con funciones y atribuciones bien definidas. Sin embargo, el proyecto de ley contempla</w:t>
      </w:r>
      <w:r w:rsidRPr="002A0936">
        <w:rPr>
          <w:rFonts w:asciiTheme="majorHAnsi" w:hAnsiTheme="majorHAnsi" w:cstheme="majorHAnsi"/>
          <w:sz w:val="24"/>
          <w:szCs w:val="24"/>
        </w:rPr>
        <w:t xml:space="preserve"> normas prohibitivas para las Corporaciones sin fines de lucro</w:t>
      </w:r>
      <w:r>
        <w:rPr>
          <w:rFonts w:asciiTheme="majorHAnsi" w:hAnsiTheme="majorHAnsi" w:cstheme="majorHAnsi"/>
          <w:sz w:val="24"/>
          <w:szCs w:val="24"/>
        </w:rPr>
        <w:t xml:space="preserve"> que pueden poner en riesgo la estabilidad de las instituciones. En ese contexto:</w:t>
      </w:r>
    </w:p>
    <w:p w14:paraId="1F0A1ED3" w14:textId="6CBD26F2" w:rsidR="00FA6077" w:rsidRDefault="00FA6077" w:rsidP="00FA6077">
      <w:pPr>
        <w:pStyle w:val="Prrafodelista"/>
        <w:numPr>
          <w:ilvl w:val="0"/>
          <w:numId w:val="15"/>
        </w:numPr>
        <w:spacing w:line="276"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 E</w:t>
      </w:r>
      <w:r w:rsidRPr="00C97520">
        <w:rPr>
          <w:rFonts w:asciiTheme="majorHAnsi" w:hAnsiTheme="majorHAnsi" w:cstheme="majorHAnsi"/>
          <w:sz w:val="24"/>
          <w:szCs w:val="24"/>
        </w:rPr>
        <w:t xml:space="preserve">l proyecto de ley parte del supuesto que todo emprendimiento sin fines de lucro debe ir acompañado de la disposición de los fundadores de corporaciones o fundaciones de desvincularse de </w:t>
      </w:r>
      <w:r>
        <w:rPr>
          <w:rFonts w:asciiTheme="majorHAnsi" w:hAnsiTheme="majorHAnsi" w:cstheme="majorHAnsi"/>
          <w:sz w:val="24"/>
          <w:szCs w:val="24"/>
        </w:rPr>
        <w:t xml:space="preserve">la </w:t>
      </w:r>
      <w:r w:rsidRPr="00C97520">
        <w:rPr>
          <w:rFonts w:asciiTheme="majorHAnsi" w:hAnsiTheme="majorHAnsi" w:cstheme="majorHAnsi"/>
          <w:sz w:val="24"/>
          <w:szCs w:val="24"/>
        </w:rPr>
        <w:t>iniciativa</w:t>
      </w:r>
      <w:r>
        <w:rPr>
          <w:rFonts w:asciiTheme="majorHAnsi" w:hAnsiTheme="majorHAnsi" w:cstheme="majorHAnsi"/>
          <w:sz w:val="24"/>
          <w:szCs w:val="24"/>
        </w:rPr>
        <w:t xml:space="preserve"> a la que dieron origen</w:t>
      </w:r>
      <w:r w:rsidRPr="00C97520">
        <w:rPr>
          <w:rFonts w:asciiTheme="majorHAnsi" w:hAnsiTheme="majorHAnsi" w:cstheme="majorHAnsi"/>
          <w:sz w:val="24"/>
          <w:szCs w:val="24"/>
        </w:rPr>
        <w:t>. D</w:t>
      </w:r>
      <w:r>
        <w:rPr>
          <w:rFonts w:asciiTheme="majorHAnsi" w:hAnsiTheme="majorHAnsi" w:cstheme="majorHAnsi"/>
          <w:sz w:val="24"/>
          <w:szCs w:val="24"/>
        </w:rPr>
        <w:t>e imponerse esta tesis, decaerá</w:t>
      </w:r>
      <w:r w:rsidRPr="00C97520">
        <w:rPr>
          <w:rFonts w:asciiTheme="majorHAnsi" w:hAnsiTheme="majorHAnsi" w:cstheme="majorHAnsi"/>
          <w:sz w:val="24"/>
          <w:szCs w:val="24"/>
        </w:rPr>
        <w:t xml:space="preserve"> fuertemente </w:t>
      </w:r>
      <w:r>
        <w:rPr>
          <w:rFonts w:asciiTheme="majorHAnsi" w:hAnsiTheme="majorHAnsi" w:cstheme="majorHAnsi"/>
          <w:sz w:val="24"/>
          <w:szCs w:val="24"/>
        </w:rPr>
        <w:t>el compromiso con las instituciones</w:t>
      </w:r>
      <w:r w:rsidRPr="00C97520">
        <w:rPr>
          <w:rFonts w:asciiTheme="majorHAnsi" w:hAnsiTheme="majorHAnsi" w:cstheme="majorHAnsi"/>
          <w:sz w:val="24"/>
          <w:szCs w:val="24"/>
        </w:rPr>
        <w:t>, pues lo que se busca es que los fundadores se desvinculen</w:t>
      </w:r>
      <w:r>
        <w:rPr>
          <w:rFonts w:asciiTheme="majorHAnsi" w:hAnsiTheme="majorHAnsi" w:cstheme="majorHAnsi"/>
          <w:sz w:val="24"/>
          <w:szCs w:val="24"/>
        </w:rPr>
        <w:t xml:space="preserve"> por completo de la institución</w:t>
      </w:r>
      <w:r w:rsidRPr="00C97520">
        <w:rPr>
          <w:rFonts w:asciiTheme="majorHAnsi" w:hAnsiTheme="majorHAnsi" w:cstheme="majorHAnsi"/>
          <w:sz w:val="24"/>
          <w:szCs w:val="24"/>
        </w:rPr>
        <w:t>, tanto en lo personal como en lo económico.</w:t>
      </w:r>
    </w:p>
    <w:p w14:paraId="624D4FCE" w14:textId="77777777" w:rsidR="00FA6077" w:rsidRDefault="00FA6077" w:rsidP="00FA6077">
      <w:pPr>
        <w:pStyle w:val="Prrafodelista"/>
        <w:spacing w:line="276" w:lineRule="auto"/>
        <w:jc w:val="both"/>
        <w:rPr>
          <w:rFonts w:asciiTheme="majorHAnsi" w:hAnsiTheme="majorHAnsi" w:cstheme="majorHAnsi"/>
          <w:sz w:val="24"/>
          <w:szCs w:val="24"/>
        </w:rPr>
      </w:pPr>
      <w:r w:rsidRPr="00C97520">
        <w:rPr>
          <w:rFonts w:asciiTheme="majorHAnsi" w:hAnsiTheme="majorHAnsi" w:cstheme="majorHAnsi"/>
          <w:sz w:val="24"/>
          <w:szCs w:val="24"/>
        </w:rPr>
        <w:t xml:space="preserve">Así, se consagra la prohibición de que los socios fundadores de una IES y sus relacionados por parentesco puedan ejercer cargos directivos en la misma, desde miembros de la junta directiva, rectores, decanos de sede, facultades o campus o directivos de los órganos académicos superiores (art. 72). </w:t>
      </w:r>
    </w:p>
    <w:p w14:paraId="4AFB72CB" w14:textId="01946F09" w:rsidR="00FA6077" w:rsidRDefault="00FA6077" w:rsidP="00FA6077">
      <w:pPr>
        <w:pStyle w:val="Prrafodelista"/>
        <w:spacing w:line="276" w:lineRule="auto"/>
        <w:jc w:val="both"/>
        <w:rPr>
          <w:rFonts w:asciiTheme="majorHAnsi" w:hAnsiTheme="majorHAnsi" w:cstheme="majorHAnsi"/>
          <w:sz w:val="24"/>
          <w:szCs w:val="24"/>
        </w:rPr>
      </w:pPr>
      <w:r>
        <w:rPr>
          <w:rFonts w:asciiTheme="majorHAnsi" w:hAnsiTheme="majorHAnsi" w:cstheme="majorHAnsi"/>
          <w:sz w:val="24"/>
          <w:szCs w:val="24"/>
        </w:rPr>
        <w:t>Esta disposición se hace más gravosa en la medida en que se contempla la facultad de la Superintendencia de establecer, mediante norma de carácter general, que cualquier otra persona natural o jurídica puede tener el carácter de relacionada con la institución de educación superior (art. 71 y sig.).</w:t>
      </w:r>
    </w:p>
    <w:p w14:paraId="2B6FB13C" w14:textId="7273C8FB" w:rsidR="00FA6077" w:rsidRDefault="00FA6077" w:rsidP="00FA6077">
      <w:pPr>
        <w:pStyle w:val="Prrafodelista"/>
        <w:numPr>
          <w:ilvl w:val="0"/>
          <w:numId w:val="15"/>
        </w:numPr>
        <w:spacing w:line="276" w:lineRule="auto"/>
        <w:jc w:val="both"/>
        <w:rPr>
          <w:rFonts w:asciiTheme="majorHAnsi" w:hAnsiTheme="majorHAnsi" w:cstheme="majorHAnsi"/>
          <w:sz w:val="24"/>
          <w:szCs w:val="24"/>
        </w:rPr>
      </w:pPr>
      <w:r>
        <w:rPr>
          <w:rFonts w:asciiTheme="majorHAnsi" w:hAnsiTheme="majorHAnsi" w:cstheme="majorHAnsi"/>
          <w:sz w:val="24"/>
          <w:szCs w:val="24"/>
        </w:rPr>
        <w:t>La ley consagra la obligación de que las Universidades sean sin fines de lucro. Compartimos el interés de que ese objetivo se precise y clarifique, por seguridad y estabilidad del sistema. Para garantizar que este objetivo se cumpla, sugerimos establecer un procedimiento que faculte a la Superintendencia</w:t>
      </w:r>
      <w:r w:rsidR="00B94D6B">
        <w:rPr>
          <w:rFonts w:asciiTheme="majorHAnsi" w:hAnsiTheme="majorHAnsi" w:cstheme="majorHAnsi"/>
          <w:sz w:val="24"/>
          <w:szCs w:val="24"/>
        </w:rPr>
        <w:t xml:space="preserve"> a verificar en forma previa</w:t>
      </w:r>
      <w:r>
        <w:rPr>
          <w:rFonts w:asciiTheme="majorHAnsi" w:hAnsiTheme="majorHAnsi" w:cstheme="majorHAnsi"/>
          <w:sz w:val="24"/>
          <w:szCs w:val="24"/>
        </w:rPr>
        <w:t xml:space="preserve"> a la celebración de actos y contratos con relacionados cuando se considere que puedan realizarse en condiciones diversas a las del mercado.</w:t>
      </w:r>
    </w:p>
    <w:p w14:paraId="76EF1C51" w14:textId="77777777" w:rsidR="00FA6077" w:rsidRDefault="00FA6077" w:rsidP="00FA6077">
      <w:pPr>
        <w:pStyle w:val="Prrafodelista"/>
        <w:spacing w:line="276" w:lineRule="auto"/>
        <w:jc w:val="both"/>
        <w:rPr>
          <w:rFonts w:asciiTheme="majorHAnsi" w:hAnsiTheme="majorHAnsi" w:cstheme="majorHAnsi"/>
          <w:sz w:val="24"/>
          <w:szCs w:val="24"/>
        </w:rPr>
      </w:pPr>
      <w:r>
        <w:rPr>
          <w:rFonts w:asciiTheme="majorHAnsi" w:hAnsiTheme="majorHAnsi" w:cstheme="majorHAnsi"/>
          <w:sz w:val="24"/>
          <w:szCs w:val="24"/>
        </w:rPr>
        <w:t>Sin embargo, parece ser una norma no proporcionada al objetivo a lograr, la prohibición del artículo 73 de celebrar actos, contratos, convenciones u operaciones con las personas consignadas en el artículo 71 (los relacionados), incluso si estos se realizan a valores de mercado y son convenientes para la institución, salvo para desempeñar labores académicas o docentes. Lo conveniente sería asumir una postura normativa similar a la que existe en la ley de sociedades anónimas.</w:t>
      </w:r>
    </w:p>
    <w:p w14:paraId="4E1E413E" w14:textId="77777777" w:rsidR="00FA6077" w:rsidRDefault="00FA6077" w:rsidP="00FA6077">
      <w:pPr>
        <w:spacing w:line="276" w:lineRule="auto"/>
        <w:jc w:val="both"/>
        <w:rPr>
          <w:rFonts w:asciiTheme="majorHAnsi" w:hAnsiTheme="majorHAnsi" w:cstheme="majorHAnsi"/>
          <w:sz w:val="24"/>
          <w:szCs w:val="24"/>
        </w:rPr>
      </w:pPr>
    </w:p>
    <w:p w14:paraId="79B9BE10" w14:textId="77777777" w:rsidR="00FA6077" w:rsidRDefault="00FA6077" w:rsidP="00FA6077">
      <w:pPr>
        <w:pStyle w:val="Prrafodelista"/>
        <w:numPr>
          <w:ilvl w:val="0"/>
          <w:numId w:val="15"/>
        </w:num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La ley establece como norma general, que para implementar los artículos 73 a 80, que son los que establecen las prohibiciones de trabajo para familiares hasta el segundo grado como la prohibición de celebrar contratos, convenciones u operaciones con relacionados un plazo de tres años desde la publicación de la ley.  Ello es entendible, pues se trata tanto de la sustitución de personas como de la renegociación de contratos que pueden implicar cuantiosas obligaciones para las instituciones. </w:t>
      </w:r>
    </w:p>
    <w:p w14:paraId="65BD6425" w14:textId="77777777" w:rsidR="00FA6077" w:rsidRPr="00E830D1" w:rsidRDefault="00FA6077" w:rsidP="00FA6077">
      <w:pPr>
        <w:spacing w:line="276" w:lineRule="auto"/>
        <w:ind w:left="720"/>
        <w:jc w:val="both"/>
        <w:rPr>
          <w:rFonts w:asciiTheme="majorHAnsi" w:hAnsiTheme="majorHAnsi" w:cstheme="majorHAnsi"/>
          <w:sz w:val="24"/>
          <w:szCs w:val="24"/>
        </w:rPr>
      </w:pPr>
      <w:r>
        <w:rPr>
          <w:rFonts w:asciiTheme="majorHAnsi" w:hAnsiTheme="majorHAnsi" w:cstheme="majorHAnsi"/>
          <w:sz w:val="24"/>
          <w:szCs w:val="24"/>
        </w:rPr>
        <w:t>.</w:t>
      </w:r>
    </w:p>
    <w:p w14:paraId="2DB7D4DB" w14:textId="77777777" w:rsidR="00FA6077" w:rsidRDefault="00FA6077" w:rsidP="00FA6077">
      <w:pPr>
        <w:spacing w:line="276" w:lineRule="auto"/>
        <w:jc w:val="both"/>
        <w:rPr>
          <w:rFonts w:asciiTheme="majorHAnsi" w:hAnsiTheme="majorHAnsi" w:cstheme="majorHAnsi"/>
          <w:b/>
          <w:sz w:val="24"/>
          <w:szCs w:val="24"/>
        </w:rPr>
      </w:pPr>
    </w:p>
    <w:p w14:paraId="006DA13E" w14:textId="77777777" w:rsidR="00FA6077" w:rsidRDefault="00FA6077" w:rsidP="00FA6077">
      <w:pPr>
        <w:spacing w:line="276" w:lineRule="auto"/>
        <w:jc w:val="both"/>
        <w:rPr>
          <w:rFonts w:asciiTheme="majorHAnsi" w:hAnsiTheme="majorHAnsi" w:cstheme="majorHAnsi"/>
          <w:b/>
          <w:sz w:val="24"/>
          <w:szCs w:val="24"/>
        </w:rPr>
      </w:pPr>
    </w:p>
    <w:p w14:paraId="08CF662C" w14:textId="77777777" w:rsidR="00FA6077" w:rsidRDefault="00FA6077" w:rsidP="00FA6077">
      <w:pPr>
        <w:spacing w:line="276" w:lineRule="auto"/>
        <w:jc w:val="both"/>
        <w:rPr>
          <w:rFonts w:asciiTheme="majorHAnsi" w:hAnsiTheme="majorHAnsi" w:cstheme="majorHAnsi"/>
          <w:b/>
          <w:sz w:val="24"/>
          <w:szCs w:val="24"/>
        </w:rPr>
      </w:pPr>
    </w:p>
    <w:p w14:paraId="178F64A1" w14:textId="77777777" w:rsidR="00FA6077" w:rsidRDefault="00FA6077" w:rsidP="00FA6077">
      <w:pPr>
        <w:spacing w:line="276" w:lineRule="auto"/>
        <w:jc w:val="both"/>
        <w:rPr>
          <w:rFonts w:asciiTheme="majorHAnsi" w:hAnsiTheme="majorHAnsi" w:cstheme="majorHAnsi"/>
          <w:b/>
          <w:sz w:val="24"/>
          <w:szCs w:val="24"/>
        </w:rPr>
      </w:pPr>
    </w:p>
    <w:p w14:paraId="73142DC5" w14:textId="77777777" w:rsidR="00FA6077" w:rsidRPr="00B7047D" w:rsidRDefault="00FA6077" w:rsidP="00FA6077">
      <w:pPr>
        <w:spacing w:line="276" w:lineRule="auto"/>
        <w:jc w:val="both"/>
        <w:rPr>
          <w:rFonts w:asciiTheme="majorHAnsi" w:hAnsiTheme="majorHAnsi" w:cstheme="majorHAnsi"/>
          <w:sz w:val="24"/>
          <w:szCs w:val="24"/>
        </w:rPr>
      </w:pPr>
      <w:r w:rsidRPr="00B7047D">
        <w:rPr>
          <w:rFonts w:asciiTheme="majorHAnsi" w:hAnsiTheme="majorHAnsi" w:cstheme="majorHAnsi"/>
          <w:b/>
          <w:sz w:val="24"/>
          <w:szCs w:val="24"/>
        </w:rPr>
        <w:t>Calidad: Artículo 81 que Modifica la Ley 20.129</w:t>
      </w:r>
    </w:p>
    <w:p w14:paraId="682CC661" w14:textId="77777777" w:rsidR="00FA6077" w:rsidRPr="00B7047D" w:rsidRDefault="00FA6077" w:rsidP="00FA6077">
      <w:pPr>
        <w:spacing w:line="276" w:lineRule="auto"/>
        <w:jc w:val="both"/>
        <w:rPr>
          <w:rFonts w:asciiTheme="majorHAnsi" w:hAnsiTheme="majorHAnsi" w:cstheme="majorHAnsi"/>
          <w:sz w:val="24"/>
          <w:szCs w:val="24"/>
        </w:rPr>
      </w:pPr>
    </w:p>
    <w:p w14:paraId="18C35760" w14:textId="77777777" w:rsidR="00FA6077" w:rsidRDefault="00FA6077" w:rsidP="00FA6077">
      <w:pPr>
        <w:spacing w:line="276" w:lineRule="auto"/>
        <w:jc w:val="both"/>
        <w:rPr>
          <w:rFonts w:asciiTheme="majorHAnsi" w:hAnsiTheme="majorHAnsi" w:cstheme="majorHAnsi"/>
          <w:sz w:val="24"/>
          <w:szCs w:val="24"/>
        </w:rPr>
      </w:pPr>
      <w:r w:rsidRPr="00B7047D">
        <w:rPr>
          <w:rFonts w:asciiTheme="majorHAnsi" w:hAnsiTheme="majorHAnsi" w:cstheme="majorHAnsi"/>
          <w:b/>
          <w:sz w:val="24"/>
          <w:szCs w:val="24"/>
        </w:rPr>
        <w:t xml:space="preserve">Artículo 8, letra B: </w:t>
      </w:r>
      <w:r w:rsidRPr="00B7047D">
        <w:rPr>
          <w:rFonts w:asciiTheme="majorHAnsi" w:hAnsiTheme="majorHAnsi" w:cstheme="majorHAnsi"/>
          <w:sz w:val="24"/>
          <w:szCs w:val="24"/>
        </w:rPr>
        <w:t xml:space="preserve">La acreditación basada en estándares es atendible, </w:t>
      </w:r>
      <w:r>
        <w:rPr>
          <w:rFonts w:asciiTheme="majorHAnsi" w:hAnsiTheme="majorHAnsi" w:cstheme="majorHAnsi"/>
          <w:sz w:val="24"/>
          <w:szCs w:val="24"/>
        </w:rPr>
        <w:t>pero es imprescindible tener mayor objetividad y transparencia en los indicadores que se tomarán en cuenta. (Párrafo 50 de las transiciones de los procedimientos de acreditación, artículo vigésimo primero). Además, hay que considerar que esto puede llevar a la</w:t>
      </w:r>
      <w:r w:rsidRPr="00B7047D">
        <w:rPr>
          <w:rFonts w:asciiTheme="majorHAnsi" w:hAnsiTheme="majorHAnsi" w:cstheme="majorHAnsi"/>
          <w:sz w:val="24"/>
          <w:szCs w:val="24"/>
        </w:rPr>
        <w:t xml:space="preserve"> uniformidad del sistema</w:t>
      </w:r>
      <w:r>
        <w:rPr>
          <w:rFonts w:asciiTheme="majorHAnsi" w:hAnsiTheme="majorHAnsi" w:cstheme="majorHAnsi"/>
          <w:sz w:val="24"/>
          <w:szCs w:val="24"/>
        </w:rPr>
        <w:t>, atentando</w:t>
      </w:r>
      <w:r w:rsidRPr="00B7047D">
        <w:rPr>
          <w:rFonts w:asciiTheme="majorHAnsi" w:hAnsiTheme="majorHAnsi" w:cstheme="majorHAnsi"/>
          <w:sz w:val="24"/>
          <w:szCs w:val="24"/>
        </w:rPr>
        <w:t xml:space="preserve"> contra</w:t>
      </w:r>
      <w:r>
        <w:rPr>
          <w:rFonts w:asciiTheme="majorHAnsi" w:hAnsiTheme="majorHAnsi" w:cstheme="majorHAnsi"/>
          <w:sz w:val="24"/>
          <w:szCs w:val="24"/>
        </w:rPr>
        <w:t xml:space="preserve"> los proyectos institucionales y en contra de la tendencia mundial hacia la diversidad y hacia la especialización de muchas instituciones de educación en el extranjero.</w:t>
      </w:r>
    </w:p>
    <w:p w14:paraId="18FBB314" w14:textId="77777777" w:rsidR="00FA6077" w:rsidRPr="00B7047D" w:rsidRDefault="00FA6077" w:rsidP="00FA6077">
      <w:pPr>
        <w:spacing w:line="276" w:lineRule="auto"/>
        <w:jc w:val="both"/>
        <w:rPr>
          <w:rFonts w:asciiTheme="majorHAnsi" w:hAnsiTheme="majorHAnsi" w:cstheme="majorHAnsi"/>
          <w:b/>
          <w:sz w:val="24"/>
          <w:szCs w:val="24"/>
        </w:rPr>
      </w:pPr>
    </w:p>
    <w:p w14:paraId="0B11B865" w14:textId="77777777" w:rsidR="00FA6077" w:rsidRDefault="00FA6077" w:rsidP="00FA6077">
      <w:pPr>
        <w:spacing w:line="276" w:lineRule="auto"/>
        <w:jc w:val="both"/>
        <w:rPr>
          <w:rFonts w:asciiTheme="majorHAnsi" w:hAnsiTheme="majorHAnsi" w:cstheme="majorHAnsi"/>
          <w:sz w:val="24"/>
          <w:szCs w:val="24"/>
        </w:rPr>
      </w:pPr>
      <w:r w:rsidRPr="00B7047D">
        <w:rPr>
          <w:rFonts w:asciiTheme="majorHAnsi" w:hAnsiTheme="majorHAnsi" w:cstheme="majorHAnsi"/>
          <w:b/>
          <w:sz w:val="24"/>
          <w:szCs w:val="24"/>
        </w:rPr>
        <w:t>Artículo 8, letra D</w:t>
      </w:r>
      <w:r w:rsidRPr="00B7047D">
        <w:rPr>
          <w:rFonts w:asciiTheme="majorHAnsi" w:hAnsiTheme="majorHAnsi" w:cstheme="majorHAnsi"/>
          <w:sz w:val="24"/>
          <w:szCs w:val="24"/>
        </w:rPr>
        <w:t xml:space="preserve">: </w:t>
      </w:r>
      <w:r>
        <w:rPr>
          <w:rFonts w:asciiTheme="majorHAnsi" w:hAnsiTheme="majorHAnsi" w:cstheme="majorHAnsi"/>
          <w:sz w:val="24"/>
          <w:szCs w:val="24"/>
        </w:rPr>
        <w:t>E</w:t>
      </w:r>
      <w:r w:rsidRPr="00B7047D">
        <w:rPr>
          <w:rFonts w:asciiTheme="majorHAnsi" w:hAnsiTheme="majorHAnsi" w:cstheme="majorHAnsi"/>
          <w:sz w:val="24"/>
          <w:szCs w:val="24"/>
        </w:rPr>
        <w:t>ntrega a la CNA la facultad de resolver la apertura y cierre de sedes, carreras y programas de pregrado pa</w:t>
      </w:r>
      <w:r>
        <w:rPr>
          <w:rFonts w:asciiTheme="majorHAnsi" w:hAnsiTheme="majorHAnsi" w:cstheme="majorHAnsi"/>
          <w:sz w:val="24"/>
          <w:szCs w:val="24"/>
        </w:rPr>
        <w:t>ra instituciones con</w:t>
      </w:r>
      <w:r w:rsidRPr="00B7047D">
        <w:rPr>
          <w:rFonts w:asciiTheme="majorHAnsi" w:hAnsiTheme="majorHAnsi" w:cstheme="majorHAnsi"/>
          <w:sz w:val="24"/>
          <w:szCs w:val="24"/>
        </w:rPr>
        <w:t xml:space="preserve"> 4 años</w:t>
      </w:r>
      <w:r>
        <w:rPr>
          <w:rFonts w:asciiTheme="majorHAnsi" w:hAnsiTheme="majorHAnsi" w:cstheme="majorHAnsi"/>
          <w:sz w:val="24"/>
          <w:szCs w:val="24"/>
        </w:rPr>
        <w:t xml:space="preserve"> o menos</w:t>
      </w:r>
      <w:r w:rsidRPr="00B7047D">
        <w:rPr>
          <w:rFonts w:asciiTheme="majorHAnsi" w:hAnsiTheme="majorHAnsi" w:cstheme="majorHAnsi"/>
          <w:sz w:val="24"/>
          <w:szCs w:val="24"/>
        </w:rPr>
        <w:t>, lo que extralimita las funciones de la entidad.</w:t>
      </w:r>
      <w:r>
        <w:rPr>
          <w:rFonts w:asciiTheme="majorHAnsi" w:hAnsiTheme="majorHAnsi" w:cstheme="majorHAnsi"/>
          <w:sz w:val="24"/>
          <w:szCs w:val="24"/>
        </w:rPr>
        <w:t xml:space="preserve"> En este contexto no se entiende por qué una universidad autónoma y acreditada por 3 años queda sometida a una especie de interdicción pública, lo que en la práctica significa el cierre. Es extraño que una IES sea autónoma solamente cuando tiene más de 4 años de acreditación.</w:t>
      </w:r>
    </w:p>
    <w:p w14:paraId="41DBC206" w14:textId="77777777" w:rsidR="00FA6077" w:rsidRDefault="00FA6077" w:rsidP="00FA6077">
      <w:pPr>
        <w:spacing w:line="276" w:lineRule="auto"/>
        <w:jc w:val="both"/>
        <w:rPr>
          <w:rFonts w:asciiTheme="majorHAnsi" w:hAnsiTheme="majorHAnsi" w:cstheme="majorHAnsi"/>
          <w:sz w:val="24"/>
          <w:szCs w:val="24"/>
        </w:rPr>
      </w:pPr>
    </w:p>
    <w:p w14:paraId="26AF3706" w14:textId="77777777" w:rsidR="00FA6077" w:rsidRPr="000E615B"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Compartimos lo expresado por la misma CNA respecto a que </w:t>
      </w:r>
      <w:r w:rsidRPr="000E615B">
        <w:rPr>
          <w:rFonts w:asciiTheme="majorHAnsi" w:hAnsiTheme="majorHAnsi" w:cstheme="majorHAnsi"/>
          <w:sz w:val="24"/>
          <w:szCs w:val="24"/>
        </w:rPr>
        <w:t>IES con 4 años de acreditación debe</w:t>
      </w:r>
      <w:r>
        <w:rPr>
          <w:rFonts w:asciiTheme="majorHAnsi" w:hAnsiTheme="majorHAnsi" w:cstheme="majorHAnsi"/>
          <w:sz w:val="24"/>
          <w:szCs w:val="24"/>
        </w:rPr>
        <w:t>n</w:t>
      </w:r>
      <w:r w:rsidRPr="000E615B">
        <w:rPr>
          <w:rFonts w:asciiTheme="majorHAnsi" w:hAnsiTheme="majorHAnsi" w:cstheme="majorHAnsi"/>
          <w:sz w:val="24"/>
          <w:szCs w:val="24"/>
        </w:rPr>
        <w:t xml:space="preserve"> expresar su autonomía mediante sus planes de mejora.</w:t>
      </w:r>
      <w:r>
        <w:rPr>
          <w:rFonts w:asciiTheme="majorHAnsi" w:hAnsiTheme="majorHAnsi" w:cstheme="majorHAnsi"/>
          <w:sz w:val="24"/>
          <w:szCs w:val="24"/>
        </w:rPr>
        <w:t xml:space="preserve"> </w:t>
      </w:r>
      <w:r w:rsidRPr="000E615B">
        <w:rPr>
          <w:rFonts w:asciiTheme="majorHAnsi" w:hAnsiTheme="majorHAnsi" w:cstheme="majorHAnsi"/>
          <w:sz w:val="24"/>
          <w:szCs w:val="24"/>
        </w:rPr>
        <w:t xml:space="preserve">Debe posibilitarse </w:t>
      </w:r>
      <w:r>
        <w:rPr>
          <w:rFonts w:asciiTheme="majorHAnsi" w:hAnsiTheme="majorHAnsi" w:cstheme="majorHAnsi"/>
          <w:sz w:val="24"/>
          <w:szCs w:val="24"/>
        </w:rPr>
        <w:t xml:space="preserve">también </w:t>
      </w:r>
      <w:r w:rsidRPr="000E615B">
        <w:rPr>
          <w:rFonts w:asciiTheme="majorHAnsi" w:hAnsiTheme="majorHAnsi" w:cstheme="majorHAnsi"/>
          <w:sz w:val="24"/>
          <w:szCs w:val="24"/>
        </w:rPr>
        <w:t xml:space="preserve">una acreditación de tres años y la institución mostrar avances significativos para un nuevo proceso.  De no lograrlo (acreditar nuevamente por tres años) una autonomía condicionada a una supervisión en el CNED.  </w:t>
      </w:r>
    </w:p>
    <w:p w14:paraId="2ADEA8AA" w14:textId="77777777" w:rsidR="00FA6077" w:rsidRPr="00B7047D" w:rsidRDefault="00FA6077" w:rsidP="00FA6077">
      <w:pPr>
        <w:spacing w:line="276" w:lineRule="auto"/>
        <w:jc w:val="both"/>
        <w:rPr>
          <w:rFonts w:asciiTheme="majorHAnsi" w:hAnsiTheme="majorHAnsi" w:cstheme="majorHAnsi"/>
          <w:sz w:val="24"/>
          <w:szCs w:val="24"/>
        </w:rPr>
      </w:pPr>
    </w:p>
    <w:p w14:paraId="3AF9402C" w14:textId="77777777"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b/>
          <w:sz w:val="24"/>
          <w:szCs w:val="24"/>
        </w:rPr>
        <w:t>Artículo 9</w:t>
      </w:r>
      <w:r w:rsidRPr="00B7047D">
        <w:rPr>
          <w:rFonts w:asciiTheme="majorHAnsi" w:hAnsiTheme="majorHAnsi" w:cstheme="majorHAnsi"/>
          <w:b/>
          <w:sz w:val="24"/>
          <w:szCs w:val="24"/>
        </w:rPr>
        <w:t xml:space="preserve">, letra G: </w:t>
      </w:r>
      <w:r>
        <w:rPr>
          <w:rFonts w:asciiTheme="majorHAnsi" w:hAnsiTheme="majorHAnsi" w:cstheme="majorHAnsi"/>
          <w:sz w:val="24"/>
          <w:szCs w:val="24"/>
        </w:rPr>
        <w:t>E</w:t>
      </w:r>
      <w:r w:rsidRPr="00B7047D">
        <w:rPr>
          <w:rFonts w:asciiTheme="majorHAnsi" w:hAnsiTheme="majorHAnsi" w:cstheme="majorHAnsi"/>
          <w:sz w:val="24"/>
          <w:szCs w:val="24"/>
        </w:rPr>
        <w:t>stablece visitas de seguimiento</w:t>
      </w:r>
      <w:r>
        <w:rPr>
          <w:rFonts w:asciiTheme="majorHAnsi" w:hAnsiTheme="majorHAnsi" w:cstheme="majorHAnsi"/>
          <w:sz w:val="24"/>
          <w:szCs w:val="24"/>
        </w:rPr>
        <w:t xml:space="preserve"> del cumplimiento de estándares. Esto es un atentado contra la autonomía de las Universidades y desvirtúa completamente el objetivo de la acreditación que es acompañar a las instituciones y fomentar procesos de mejora continua y no de convertirse en una “Contraloría” de intervención continua. </w:t>
      </w:r>
    </w:p>
    <w:p w14:paraId="071FBD97" w14:textId="77777777" w:rsidR="00FA6077" w:rsidRDefault="00FA6077" w:rsidP="00FA6077">
      <w:pPr>
        <w:spacing w:line="276" w:lineRule="auto"/>
        <w:jc w:val="both"/>
        <w:rPr>
          <w:rFonts w:asciiTheme="majorHAnsi" w:hAnsiTheme="majorHAnsi" w:cstheme="majorHAnsi"/>
          <w:sz w:val="24"/>
          <w:szCs w:val="24"/>
        </w:rPr>
      </w:pPr>
    </w:p>
    <w:p w14:paraId="67B90905" w14:textId="77777777" w:rsidR="00FA6077" w:rsidRDefault="00FA6077" w:rsidP="00FA6077">
      <w:pPr>
        <w:spacing w:line="276" w:lineRule="auto"/>
        <w:jc w:val="both"/>
        <w:rPr>
          <w:rFonts w:asciiTheme="majorHAnsi" w:hAnsiTheme="majorHAnsi" w:cstheme="majorHAnsi"/>
          <w:sz w:val="24"/>
          <w:szCs w:val="24"/>
        </w:rPr>
      </w:pPr>
      <w:r w:rsidRPr="00783F1A">
        <w:rPr>
          <w:rFonts w:asciiTheme="majorHAnsi" w:hAnsiTheme="majorHAnsi" w:cstheme="majorHAnsi"/>
          <w:b/>
          <w:sz w:val="24"/>
          <w:szCs w:val="24"/>
        </w:rPr>
        <w:t>Artículo 17</w:t>
      </w:r>
      <w:r>
        <w:rPr>
          <w:rFonts w:asciiTheme="majorHAnsi" w:hAnsiTheme="majorHAnsi" w:cstheme="majorHAnsi"/>
          <w:sz w:val="24"/>
          <w:szCs w:val="24"/>
        </w:rPr>
        <w:t xml:space="preserve">: Acreditación obligatoria en las 5 dimensiones: Docencia y resultados del proceso de formación; gestión y recursos institucionales; aseguramiento interno de la calidad; generación de conocimiento, creación y/o innovación y vinculación con el medio. Si bien celebramos la obligatoriedad de la acreditación creemos que ésta sea en las 5 dimensiones restringe las capacidades de las instituciones para desarrollar sus proyectos </w:t>
      </w:r>
      <w:r>
        <w:rPr>
          <w:rFonts w:asciiTheme="majorHAnsi" w:hAnsiTheme="majorHAnsi" w:cstheme="majorHAnsi"/>
          <w:sz w:val="24"/>
          <w:szCs w:val="24"/>
        </w:rPr>
        <w:lastRenderedPageBreak/>
        <w:t>institucionales en función de su misión y visión. Con esto se pone en riesgo la riqueza del actual sistema (texto de columna acreditación).</w:t>
      </w:r>
    </w:p>
    <w:p w14:paraId="409BE360" w14:textId="77777777" w:rsidR="00FA6077" w:rsidRDefault="00FA6077" w:rsidP="00FA6077">
      <w:pPr>
        <w:spacing w:line="276" w:lineRule="auto"/>
        <w:jc w:val="both"/>
        <w:rPr>
          <w:rFonts w:asciiTheme="majorHAnsi" w:hAnsiTheme="majorHAnsi" w:cstheme="majorHAnsi"/>
          <w:sz w:val="24"/>
          <w:szCs w:val="24"/>
        </w:rPr>
      </w:pPr>
    </w:p>
    <w:p w14:paraId="376EBC8E" w14:textId="77777777" w:rsidR="00FA6077" w:rsidRPr="00B7047D"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Es importante destacar la inexistencia de mecanismos específicos para el financiamiento de las nuevas áreas obligatorias, lo que significará un costo económico que podría deteriorar la calidad de las IES. Tampoco se menciona cómo se va a incrementar el exiguo gasto en Ciencia, Tecnología e Innovación. </w:t>
      </w:r>
    </w:p>
    <w:p w14:paraId="2E4475E5" w14:textId="77777777" w:rsidR="00FA6077" w:rsidRPr="00B7047D" w:rsidRDefault="00FA6077" w:rsidP="00FA6077">
      <w:pPr>
        <w:spacing w:line="276" w:lineRule="auto"/>
        <w:jc w:val="both"/>
        <w:rPr>
          <w:rFonts w:asciiTheme="majorHAnsi" w:hAnsiTheme="majorHAnsi" w:cstheme="majorHAnsi"/>
          <w:sz w:val="24"/>
          <w:szCs w:val="24"/>
          <w:lang w:val="es-ES"/>
        </w:rPr>
      </w:pPr>
    </w:p>
    <w:p w14:paraId="136B91A9" w14:textId="10494B60" w:rsidR="00FA6077" w:rsidRPr="00B7047D" w:rsidRDefault="00B94D6B" w:rsidP="00FA6077">
      <w:pPr>
        <w:spacing w:line="276" w:lineRule="auto"/>
        <w:jc w:val="both"/>
        <w:rPr>
          <w:rFonts w:asciiTheme="majorHAnsi" w:hAnsiTheme="majorHAnsi" w:cstheme="majorHAnsi"/>
          <w:sz w:val="24"/>
          <w:szCs w:val="24"/>
          <w:lang w:val="es-ES"/>
        </w:rPr>
      </w:pPr>
      <w:r>
        <w:rPr>
          <w:rFonts w:asciiTheme="majorHAnsi" w:hAnsiTheme="majorHAnsi" w:cstheme="majorHAnsi"/>
          <w:b/>
          <w:sz w:val="24"/>
          <w:szCs w:val="24"/>
        </w:rPr>
        <w:t>Artículo 27:</w:t>
      </w:r>
      <w:r w:rsidR="00FA6077" w:rsidRPr="00B7047D">
        <w:rPr>
          <w:rFonts w:asciiTheme="majorHAnsi" w:hAnsiTheme="majorHAnsi" w:cstheme="majorHAnsi"/>
          <w:sz w:val="24"/>
          <w:szCs w:val="24"/>
          <w:lang w:val="es-ES"/>
        </w:rPr>
        <w:t xml:space="preserve"> </w:t>
      </w:r>
      <w:r w:rsidR="00FA6077">
        <w:rPr>
          <w:rFonts w:asciiTheme="majorHAnsi" w:hAnsiTheme="majorHAnsi" w:cstheme="majorHAnsi"/>
          <w:sz w:val="24"/>
          <w:szCs w:val="24"/>
          <w:lang w:val="es-ES"/>
        </w:rPr>
        <w:t>¿</w:t>
      </w:r>
      <w:r w:rsidR="00FA6077" w:rsidRPr="00B7047D">
        <w:rPr>
          <w:rFonts w:asciiTheme="majorHAnsi" w:hAnsiTheme="majorHAnsi" w:cstheme="majorHAnsi"/>
          <w:sz w:val="24"/>
          <w:szCs w:val="24"/>
          <w:lang w:val="es-ES"/>
        </w:rPr>
        <w:t>Cuál es la justificación para hacer obligatoria la acreditación de 10 carreras de la salud y no otras de disciplinas que tamb</w:t>
      </w:r>
      <w:r w:rsidR="00FA6077">
        <w:rPr>
          <w:rFonts w:asciiTheme="majorHAnsi" w:hAnsiTheme="majorHAnsi" w:cstheme="majorHAnsi"/>
          <w:sz w:val="24"/>
          <w:szCs w:val="24"/>
          <w:lang w:val="es-ES"/>
        </w:rPr>
        <w:t>ién son relevantes para el país?</w:t>
      </w:r>
      <w:r w:rsidR="00FA6077" w:rsidRPr="00B7047D">
        <w:rPr>
          <w:rFonts w:asciiTheme="majorHAnsi" w:hAnsiTheme="majorHAnsi" w:cstheme="majorHAnsi"/>
          <w:sz w:val="24"/>
          <w:szCs w:val="24"/>
          <w:lang w:val="es-ES"/>
        </w:rPr>
        <w:t xml:space="preserve"> </w:t>
      </w:r>
      <w:r w:rsidR="00FA6077">
        <w:rPr>
          <w:rFonts w:asciiTheme="majorHAnsi" w:hAnsiTheme="majorHAnsi" w:cstheme="majorHAnsi"/>
          <w:sz w:val="24"/>
          <w:szCs w:val="24"/>
          <w:lang w:val="es-ES"/>
        </w:rPr>
        <w:t>Este</w:t>
      </w:r>
      <w:r w:rsidR="00FA6077">
        <w:rPr>
          <w:rFonts w:asciiTheme="majorHAnsi" w:hAnsiTheme="majorHAnsi" w:cstheme="majorHAnsi"/>
          <w:sz w:val="24"/>
          <w:szCs w:val="24"/>
        </w:rPr>
        <w:t xml:space="preserve"> argumento podría</w:t>
      </w:r>
      <w:r w:rsidR="00FA6077" w:rsidRPr="003E1BA5">
        <w:rPr>
          <w:rFonts w:asciiTheme="majorHAnsi" w:hAnsiTheme="majorHAnsi" w:cstheme="majorHAnsi"/>
          <w:sz w:val="24"/>
          <w:szCs w:val="24"/>
        </w:rPr>
        <w:t xml:space="preserve"> esgrimir</w:t>
      </w:r>
      <w:r w:rsidR="00FA6077">
        <w:rPr>
          <w:rFonts w:asciiTheme="majorHAnsi" w:hAnsiTheme="majorHAnsi" w:cstheme="majorHAnsi"/>
          <w:sz w:val="24"/>
          <w:szCs w:val="24"/>
        </w:rPr>
        <w:t>se</w:t>
      </w:r>
      <w:r w:rsidR="00FA6077" w:rsidRPr="003E1BA5">
        <w:rPr>
          <w:rFonts w:asciiTheme="majorHAnsi" w:hAnsiTheme="majorHAnsi" w:cstheme="majorHAnsi"/>
          <w:sz w:val="24"/>
          <w:szCs w:val="24"/>
        </w:rPr>
        <w:t xml:space="preserve"> para otras </w:t>
      </w:r>
      <w:r w:rsidR="00FA6077">
        <w:rPr>
          <w:rFonts w:asciiTheme="majorHAnsi" w:hAnsiTheme="majorHAnsi" w:cstheme="majorHAnsi"/>
          <w:sz w:val="24"/>
          <w:szCs w:val="24"/>
        </w:rPr>
        <w:t>carreras</w:t>
      </w:r>
      <w:r w:rsidR="00FA6077" w:rsidRPr="003E1BA5">
        <w:rPr>
          <w:rFonts w:asciiTheme="majorHAnsi" w:hAnsiTheme="majorHAnsi" w:cstheme="majorHAnsi"/>
          <w:sz w:val="24"/>
          <w:szCs w:val="24"/>
        </w:rPr>
        <w:t xml:space="preserve"> fuera del ámbito de la educación y la salud.</w:t>
      </w:r>
      <w:r w:rsidR="00FA6077">
        <w:rPr>
          <w:rFonts w:asciiTheme="majorHAnsi" w:hAnsiTheme="majorHAnsi" w:cstheme="majorHAnsi"/>
          <w:sz w:val="24"/>
          <w:szCs w:val="24"/>
          <w:lang w:val="es-ES"/>
        </w:rPr>
        <w:t xml:space="preserve"> En ese contexto, compartimos con la CNA que </w:t>
      </w:r>
      <w:r w:rsidR="00FA6077" w:rsidRPr="003E1BA5">
        <w:rPr>
          <w:rFonts w:asciiTheme="majorHAnsi" w:hAnsiTheme="majorHAnsi" w:cstheme="majorHAnsi"/>
          <w:sz w:val="24"/>
          <w:szCs w:val="24"/>
        </w:rPr>
        <w:t>se requiere adoptar una posición sobre si la acreditación voluntaria de carreras seguirá existiendo y establecer una fórmula institucional viable para abordar una evaluación de tamaña magnitud</w:t>
      </w:r>
      <w:r w:rsidR="00FA6077">
        <w:rPr>
          <w:rFonts w:asciiTheme="majorHAnsi" w:hAnsiTheme="majorHAnsi" w:cstheme="majorHAnsi"/>
          <w:sz w:val="24"/>
          <w:szCs w:val="24"/>
        </w:rPr>
        <w:t>.</w:t>
      </w:r>
    </w:p>
    <w:p w14:paraId="7486EDA4" w14:textId="5971B6DD" w:rsidR="00FA6077" w:rsidRPr="00B7047D" w:rsidRDefault="00FA6077" w:rsidP="00FA6077">
      <w:pPr>
        <w:spacing w:line="276" w:lineRule="auto"/>
        <w:jc w:val="both"/>
        <w:rPr>
          <w:rFonts w:asciiTheme="majorHAnsi" w:hAnsiTheme="majorHAnsi" w:cstheme="majorHAnsi"/>
          <w:sz w:val="24"/>
          <w:szCs w:val="24"/>
          <w:lang w:val="es-ES"/>
        </w:rPr>
      </w:pPr>
    </w:p>
    <w:p w14:paraId="77579061" w14:textId="77777777" w:rsidR="00FA6077" w:rsidRPr="00B7047D" w:rsidRDefault="00FA6077" w:rsidP="00FA6077">
      <w:pPr>
        <w:spacing w:line="276" w:lineRule="auto"/>
        <w:jc w:val="both"/>
        <w:rPr>
          <w:rFonts w:asciiTheme="majorHAnsi" w:hAnsiTheme="majorHAnsi" w:cstheme="majorHAnsi"/>
          <w:b/>
          <w:sz w:val="24"/>
          <w:szCs w:val="24"/>
          <w:lang w:val="es-ES"/>
        </w:rPr>
      </w:pPr>
      <w:r>
        <w:rPr>
          <w:rFonts w:asciiTheme="majorHAnsi" w:hAnsiTheme="majorHAnsi" w:cstheme="majorHAnsi"/>
          <w:b/>
          <w:sz w:val="24"/>
          <w:szCs w:val="24"/>
          <w:lang w:val="es-ES"/>
        </w:rPr>
        <w:t>Artículo 82</w:t>
      </w:r>
      <w:r w:rsidRPr="00B7047D">
        <w:rPr>
          <w:rFonts w:asciiTheme="majorHAnsi" w:hAnsiTheme="majorHAnsi" w:cstheme="majorHAnsi"/>
          <w:b/>
          <w:sz w:val="24"/>
          <w:szCs w:val="24"/>
          <w:lang w:val="es-ES"/>
        </w:rPr>
        <w:t>: Financiamiento para la gratuidad.</w:t>
      </w:r>
    </w:p>
    <w:p w14:paraId="754AD757" w14:textId="77777777" w:rsidR="00FA6077" w:rsidRDefault="00FA6077" w:rsidP="00FA6077">
      <w:pPr>
        <w:spacing w:line="276" w:lineRule="auto"/>
        <w:jc w:val="both"/>
        <w:rPr>
          <w:rFonts w:asciiTheme="majorHAnsi" w:hAnsiTheme="majorHAnsi" w:cstheme="majorHAnsi"/>
          <w:sz w:val="24"/>
          <w:szCs w:val="24"/>
          <w:lang w:val="es-ES"/>
        </w:rPr>
      </w:pPr>
    </w:p>
    <w:p w14:paraId="5334196B" w14:textId="77777777" w:rsidR="00FA6077" w:rsidRDefault="00FA6077" w:rsidP="00FA6077">
      <w:pPr>
        <w:spacing w:line="276" w:lineRule="auto"/>
        <w:jc w:val="both"/>
        <w:rPr>
          <w:rFonts w:asciiTheme="majorHAnsi" w:hAnsiTheme="majorHAnsi" w:cstheme="majorHAnsi"/>
          <w:sz w:val="24"/>
          <w:szCs w:val="24"/>
          <w:lang w:val="es-ES"/>
        </w:rPr>
      </w:pPr>
      <w:r>
        <w:rPr>
          <w:rFonts w:asciiTheme="majorHAnsi" w:hAnsiTheme="majorHAnsi" w:cstheme="majorHAnsi"/>
          <w:sz w:val="24"/>
          <w:szCs w:val="24"/>
          <w:lang w:val="es-ES"/>
        </w:rPr>
        <w:t xml:space="preserve">El modelo de financiamiento debe ser pertinente a la realidad nacional y a la diversidad institucional. La gratuidad universal es una política regresiva. </w:t>
      </w:r>
    </w:p>
    <w:p w14:paraId="10BFFE9B" w14:textId="77777777" w:rsidR="00FA6077" w:rsidRDefault="00FA6077" w:rsidP="00FA6077">
      <w:pPr>
        <w:spacing w:line="276" w:lineRule="auto"/>
        <w:jc w:val="both"/>
        <w:rPr>
          <w:rFonts w:asciiTheme="majorHAnsi" w:hAnsiTheme="majorHAnsi" w:cstheme="majorHAnsi"/>
          <w:sz w:val="24"/>
          <w:szCs w:val="24"/>
          <w:lang w:val="es-ES"/>
        </w:rPr>
      </w:pPr>
    </w:p>
    <w:p w14:paraId="309746E4" w14:textId="77777777" w:rsidR="00FA6077" w:rsidRDefault="00FA6077" w:rsidP="00FA6077">
      <w:pPr>
        <w:spacing w:line="276" w:lineRule="auto"/>
        <w:jc w:val="both"/>
        <w:rPr>
          <w:rFonts w:asciiTheme="majorHAnsi" w:hAnsiTheme="majorHAnsi" w:cstheme="majorHAnsi"/>
          <w:sz w:val="24"/>
          <w:szCs w:val="24"/>
          <w:lang w:val="es-ES"/>
        </w:rPr>
      </w:pPr>
      <w:r>
        <w:rPr>
          <w:rFonts w:asciiTheme="majorHAnsi" w:hAnsiTheme="majorHAnsi" w:cstheme="majorHAnsi"/>
          <w:sz w:val="24"/>
          <w:szCs w:val="24"/>
          <w:lang w:val="es-ES"/>
        </w:rPr>
        <w:t xml:space="preserve">En la lógica del proyecto de ley, la colaboración de las instituciones privadas para con el Estado para implementar la gratuidad conlleva una visión del “todo o nada” que conduce finalmente a buscar subordinar a las instituciones colaboradoras con el Estado. </w:t>
      </w:r>
    </w:p>
    <w:p w14:paraId="368776B7" w14:textId="77777777" w:rsidR="00FA6077" w:rsidRDefault="00FA6077" w:rsidP="00FA6077">
      <w:pPr>
        <w:spacing w:line="276" w:lineRule="auto"/>
        <w:jc w:val="both"/>
        <w:rPr>
          <w:rFonts w:asciiTheme="majorHAnsi" w:hAnsiTheme="majorHAnsi" w:cstheme="majorHAnsi"/>
          <w:sz w:val="24"/>
          <w:szCs w:val="24"/>
          <w:lang w:val="es-ES"/>
        </w:rPr>
      </w:pPr>
    </w:p>
    <w:p w14:paraId="05E214D0" w14:textId="77777777" w:rsidR="00FA6077" w:rsidRDefault="00FA6077" w:rsidP="00FA6077">
      <w:pPr>
        <w:spacing w:line="276" w:lineRule="auto"/>
        <w:jc w:val="both"/>
        <w:rPr>
          <w:rFonts w:asciiTheme="majorHAnsi" w:hAnsiTheme="majorHAnsi" w:cstheme="majorHAnsi"/>
          <w:sz w:val="24"/>
          <w:szCs w:val="24"/>
          <w:lang w:val="es-ES"/>
        </w:rPr>
      </w:pPr>
      <w:r>
        <w:rPr>
          <w:rFonts w:asciiTheme="majorHAnsi" w:hAnsiTheme="majorHAnsi" w:cstheme="majorHAnsi"/>
          <w:sz w:val="24"/>
          <w:szCs w:val="24"/>
          <w:lang w:val="es-ES"/>
        </w:rPr>
        <w:t>Sin embargo, creemos que el Estado no puede, a través de los fondos públicos, establecer condiciones y requisitos que violen principios constitucionales. Con la excusa de regular el financiamiento de la gratuidad, el Estado pasa a:</w:t>
      </w:r>
    </w:p>
    <w:p w14:paraId="4D452A3B" w14:textId="77777777" w:rsidR="00FA6077" w:rsidRDefault="00FA6077" w:rsidP="00FA6077">
      <w:pPr>
        <w:spacing w:line="276" w:lineRule="auto"/>
        <w:jc w:val="both"/>
        <w:rPr>
          <w:rFonts w:asciiTheme="majorHAnsi" w:hAnsiTheme="majorHAnsi" w:cstheme="majorHAnsi"/>
          <w:sz w:val="24"/>
          <w:szCs w:val="24"/>
          <w:lang w:val="es-ES"/>
        </w:rPr>
      </w:pPr>
    </w:p>
    <w:p w14:paraId="7171FBE3" w14:textId="77777777" w:rsidR="00FA6077" w:rsidRPr="00537022" w:rsidRDefault="00FA6077" w:rsidP="00FA6077">
      <w:pPr>
        <w:pStyle w:val="Prrafodelista"/>
        <w:numPr>
          <w:ilvl w:val="0"/>
          <w:numId w:val="8"/>
        </w:numPr>
        <w:spacing w:line="276" w:lineRule="auto"/>
        <w:jc w:val="both"/>
        <w:rPr>
          <w:rFonts w:asciiTheme="majorHAnsi" w:hAnsiTheme="majorHAnsi" w:cstheme="majorHAnsi"/>
          <w:sz w:val="24"/>
          <w:szCs w:val="24"/>
        </w:rPr>
      </w:pPr>
      <w:r>
        <w:rPr>
          <w:rFonts w:asciiTheme="majorHAnsi" w:hAnsiTheme="majorHAnsi" w:cstheme="majorHAnsi"/>
          <w:sz w:val="24"/>
          <w:szCs w:val="24"/>
          <w:lang w:val="es-ES"/>
        </w:rPr>
        <w:t>Regular todas las vacantes de las instituciones privadas de educación superior. Lo lógico sería que regulase las vacantes de gratuidad, pero no las otras que la Universidad tiene per se. Las instituciones sometidas a la gratuidad no pueden crecer más que un 2,7% anual. El artículo 101 de la Ley establece que la Subsecretaría determinará las vacantes máximas de estudiantes de primer año para instituciones de educación superior que reciban financiamiento institucional para la gratuidad.</w:t>
      </w:r>
    </w:p>
    <w:p w14:paraId="3CD9273B" w14:textId="07AC0762" w:rsidR="00FA6077" w:rsidRDefault="00FA6077" w:rsidP="00FA6077">
      <w:pPr>
        <w:pStyle w:val="Prrafodelista"/>
        <w:numPr>
          <w:ilvl w:val="0"/>
          <w:numId w:val="8"/>
        </w:numPr>
        <w:spacing w:line="276" w:lineRule="auto"/>
        <w:jc w:val="both"/>
        <w:rPr>
          <w:rFonts w:asciiTheme="majorHAnsi" w:hAnsiTheme="majorHAnsi" w:cstheme="majorHAnsi"/>
          <w:sz w:val="24"/>
          <w:szCs w:val="24"/>
        </w:rPr>
      </w:pPr>
      <w:r>
        <w:rPr>
          <w:rFonts w:asciiTheme="majorHAnsi" w:hAnsiTheme="majorHAnsi" w:cstheme="majorHAnsi"/>
          <w:sz w:val="24"/>
          <w:szCs w:val="24"/>
          <w:lang w:val="es-ES"/>
        </w:rPr>
        <w:t xml:space="preserve"> Establece un arancel regulado para dichas vacantes, pero considera también regulaciones estrictas para fijar aranceles y matrículas al resto de los estudiantes </w:t>
      </w:r>
      <w:r>
        <w:rPr>
          <w:rFonts w:asciiTheme="majorHAnsi" w:hAnsiTheme="majorHAnsi" w:cstheme="majorHAnsi"/>
          <w:sz w:val="24"/>
          <w:szCs w:val="24"/>
          <w:lang w:val="es-ES"/>
        </w:rPr>
        <w:lastRenderedPageBreak/>
        <w:t xml:space="preserve">que pagan, salvo el último </w:t>
      </w:r>
      <w:proofErr w:type="spellStart"/>
      <w:r>
        <w:rPr>
          <w:rFonts w:asciiTheme="majorHAnsi" w:hAnsiTheme="majorHAnsi" w:cstheme="majorHAnsi"/>
          <w:sz w:val="24"/>
          <w:szCs w:val="24"/>
          <w:lang w:val="es-ES"/>
        </w:rPr>
        <w:t>decil</w:t>
      </w:r>
      <w:proofErr w:type="spellEnd"/>
      <w:r>
        <w:rPr>
          <w:rFonts w:asciiTheme="majorHAnsi" w:hAnsiTheme="majorHAnsi" w:cstheme="majorHAnsi"/>
          <w:sz w:val="24"/>
          <w:szCs w:val="24"/>
          <w:lang w:val="es-ES"/>
        </w:rPr>
        <w:t xml:space="preserve"> y a los extranjeros. Esto </w:t>
      </w:r>
      <w:r w:rsidRPr="00D318A5">
        <w:rPr>
          <w:rFonts w:asciiTheme="majorHAnsi" w:hAnsiTheme="majorHAnsi" w:cstheme="majorHAnsi"/>
          <w:sz w:val="24"/>
          <w:szCs w:val="24"/>
          <w:lang w:val="es-ES"/>
        </w:rPr>
        <w:t>ha llevado a un déficit financiero en gran parte de las instituciones qu</w:t>
      </w:r>
      <w:r>
        <w:rPr>
          <w:rFonts w:asciiTheme="majorHAnsi" w:hAnsiTheme="majorHAnsi" w:cstheme="majorHAnsi"/>
          <w:sz w:val="24"/>
          <w:szCs w:val="24"/>
          <w:lang w:val="es-ES"/>
        </w:rPr>
        <w:t xml:space="preserve">e se han adherido a la </w:t>
      </w:r>
      <w:r w:rsidR="00B94D6B">
        <w:rPr>
          <w:rFonts w:asciiTheme="majorHAnsi" w:hAnsiTheme="majorHAnsi" w:cstheme="majorHAnsi"/>
          <w:sz w:val="24"/>
          <w:szCs w:val="24"/>
          <w:lang w:val="es-ES"/>
        </w:rPr>
        <w:t>gratuidad</w:t>
      </w:r>
      <w:r w:rsidRPr="00D318A5">
        <w:rPr>
          <w:rFonts w:asciiTheme="majorHAnsi" w:hAnsiTheme="majorHAnsi" w:cstheme="majorHAnsi"/>
          <w:sz w:val="24"/>
          <w:szCs w:val="24"/>
          <w:lang w:val="es-ES"/>
        </w:rPr>
        <w:t xml:space="preserve">).  </w:t>
      </w:r>
      <w:r w:rsidRPr="00D318A5">
        <w:rPr>
          <w:rFonts w:asciiTheme="majorHAnsi" w:hAnsiTheme="majorHAnsi" w:cstheme="majorHAnsi"/>
          <w:sz w:val="24"/>
          <w:szCs w:val="24"/>
        </w:rPr>
        <w:t>De acuerdo a un estudio realizado por Acción Educ</w:t>
      </w:r>
      <w:r>
        <w:rPr>
          <w:rFonts w:asciiTheme="majorHAnsi" w:hAnsiTheme="majorHAnsi" w:cstheme="majorHAnsi"/>
          <w:sz w:val="24"/>
          <w:szCs w:val="24"/>
        </w:rPr>
        <w:t>ar y que fue dado a conocer hace una semana</w:t>
      </w:r>
      <w:r w:rsidRPr="00D318A5">
        <w:rPr>
          <w:rFonts w:asciiTheme="majorHAnsi" w:hAnsiTheme="majorHAnsi" w:cstheme="majorHAnsi"/>
          <w:sz w:val="24"/>
          <w:szCs w:val="24"/>
        </w:rPr>
        <w:t>, las instituciones adscritas a la gratuidad presentaron este año un déficit total de cerca de</w:t>
      </w:r>
      <w:r w:rsidRPr="00D318A5">
        <w:rPr>
          <w:rFonts w:asciiTheme="majorHAnsi" w:hAnsiTheme="majorHAnsi" w:cstheme="majorHAnsi"/>
          <w:b/>
          <w:bCs/>
          <w:sz w:val="24"/>
          <w:szCs w:val="24"/>
        </w:rPr>
        <w:t> $17.000 millones</w:t>
      </w:r>
      <w:r w:rsidRPr="00D318A5">
        <w:rPr>
          <w:rFonts w:asciiTheme="majorHAnsi" w:hAnsiTheme="majorHAnsi" w:cstheme="majorHAnsi"/>
          <w:sz w:val="24"/>
          <w:szCs w:val="24"/>
        </w:rPr>
        <w:t>.</w:t>
      </w:r>
    </w:p>
    <w:p w14:paraId="71C2CE55" w14:textId="77777777" w:rsidR="00FA6077" w:rsidRDefault="00FA6077" w:rsidP="00FA6077">
      <w:pPr>
        <w:pStyle w:val="Prrafodelista"/>
        <w:spacing w:line="276" w:lineRule="auto"/>
        <w:jc w:val="both"/>
        <w:rPr>
          <w:rFonts w:asciiTheme="majorHAnsi" w:hAnsiTheme="majorHAnsi" w:cstheme="majorHAnsi"/>
          <w:sz w:val="24"/>
          <w:szCs w:val="24"/>
        </w:rPr>
      </w:pPr>
    </w:p>
    <w:p w14:paraId="59729328" w14:textId="77777777" w:rsidR="00FA6077" w:rsidRPr="00D318A5" w:rsidRDefault="00FA6077" w:rsidP="00FA6077">
      <w:pPr>
        <w:pStyle w:val="Prrafodelista"/>
        <w:spacing w:line="276" w:lineRule="auto"/>
        <w:jc w:val="both"/>
        <w:rPr>
          <w:rFonts w:asciiTheme="majorHAnsi" w:hAnsiTheme="majorHAnsi" w:cstheme="majorHAnsi"/>
          <w:sz w:val="24"/>
          <w:szCs w:val="24"/>
        </w:rPr>
      </w:pPr>
      <w:r w:rsidRPr="00D318A5">
        <w:rPr>
          <w:rFonts w:asciiTheme="majorHAnsi" w:hAnsiTheme="majorHAnsi" w:cstheme="majorHAnsi"/>
          <w:sz w:val="24"/>
          <w:szCs w:val="24"/>
        </w:rPr>
        <w:t>La brecha sería producto de la diferencia entre sus aranceles reales y los aranceles regulados fijados por el gobierno.</w:t>
      </w:r>
    </w:p>
    <w:p w14:paraId="1B843E2D" w14:textId="77777777" w:rsidR="00FA6077" w:rsidRDefault="00FA6077" w:rsidP="00FA6077">
      <w:pPr>
        <w:pStyle w:val="Prrafodelista"/>
        <w:spacing w:line="276" w:lineRule="auto"/>
        <w:jc w:val="both"/>
        <w:rPr>
          <w:rFonts w:asciiTheme="majorHAnsi" w:hAnsiTheme="majorHAnsi" w:cstheme="majorHAnsi"/>
          <w:sz w:val="24"/>
          <w:szCs w:val="24"/>
        </w:rPr>
      </w:pPr>
    </w:p>
    <w:p w14:paraId="3B51F341" w14:textId="77777777" w:rsidR="00FA6077" w:rsidRPr="006A50E9" w:rsidRDefault="00FA6077" w:rsidP="00FA6077">
      <w:pPr>
        <w:pStyle w:val="Prrafodelista"/>
        <w:spacing w:line="276" w:lineRule="auto"/>
        <w:jc w:val="both"/>
        <w:rPr>
          <w:rFonts w:asciiTheme="majorHAnsi" w:hAnsiTheme="majorHAnsi" w:cstheme="majorHAnsi"/>
          <w:sz w:val="24"/>
          <w:szCs w:val="24"/>
        </w:rPr>
      </w:pPr>
      <w:r>
        <w:rPr>
          <w:noProof/>
          <w:lang w:eastAsia="es-CL"/>
        </w:rPr>
        <w:drawing>
          <wp:inline distT="0" distB="0" distL="0" distR="0" wp14:anchorId="54FD11A5" wp14:editId="0B9AD35E">
            <wp:extent cx="4467225" cy="289687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160" t="16307" r="34148" b="18313"/>
                    <a:stretch/>
                  </pic:blipFill>
                  <pic:spPr bwMode="auto">
                    <a:xfrm>
                      <a:off x="0" y="0"/>
                      <a:ext cx="4487181" cy="2909811"/>
                    </a:xfrm>
                    <a:prstGeom prst="rect">
                      <a:avLst/>
                    </a:prstGeom>
                    <a:ln>
                      <a:noFill/>
                    </a:ln>
                    <a:extLst>
                      <a:ext uri="{53640926-AAD7-44D8-BBD7-CCE9431645EC}">
                        <a14:shadowObscured xmlns:a14="http://schemas.microsoft.com/office/drawing/2010/main"/>
                      </a:ext>
                    </a:extLst>
                  </pic:spPr>
                </pic:pic>
              </a:graphicData>
            </a:graphic>
          </wp:inline>
        </w:drawing>
      </w:r>
    </w:p>
    <w:p w14:paraId="51EDD336" w14:textId="77777777" w:rsidR="00FA6077" w:rsidRPr="006A50E9" w:rsidRDefault="00FA6077" w:rsidP="00FA6077">
      <w:pPr>
        <w:pStyle w:val="Prrafodelista"/>
        <w:spacing w:line="276" w:lineRule="auto"/>
        <w:jc w:val="both"/>
        <w:rPr>
          <w:rFonts w:asciiTheme="majorHAnsi" w:hAnsiTheme="majorHAnsi" w:cstheme="majorHAnsi"/>
          <w:sz w:val="24"/>
          <w:szCs w:val="24"/>
          <w:lang w:val="es-ES"/>
        </w:rPr>
      </w:pPr>
    </w:p>
    <w:p w14:paraId="2BCCAD37" w14:textId="77777777" w:rsidR="00FA6077" w:rsidRPr="006A50E9" w:rsidRDefault="00FA6077" w:rsidP="00FA6077">
      <w:pPr>
        <w:pStyle w:val="Prrafodelista"/>
        <w:numPr>
          <w:ilvl w:val="0"/>
          <w:numId w:val="8"/>
        </w:numPr>
        <w:spacing w:line="276" w:lineRule="auto"/>
        <w:jc w:val="both"/>
        <w:rPr>
          <w:rFonts w:asciiTheme="majorHAnsi" w:hAnsiTheme="majorHAnsi" w:cstheme="majorHAnsi"/>
          <w:sz w:val="24"/>
          <w:szCs w:val="24"/>
          <w:lang w:val="es-ES"/>
        </w:rPr>
      </w:pPr>
      <w:r w:rsidRPr="006A50E9">
        <w:rPr>
          <w:rFonts w:asciiTheme="majorHAnsi" w:hAnsiTheme="majorHAnsi" w:cstheme="majorHAnsi"/>
          <w:sz w:val="24"/>
          <w:szCs w:val="24"/>
          <w:lang w:val="es-ES"/>
        </w:rPr>
        <w:t xml:space="preserve">La fijación de precios genera estandarización, limitando el desarrollo y crecimiento del sistema. Para las instituciones en pleno desarrollo implica una limitación incompatible con la calidad y la inclusión. </w:t>
      </w:r>
      <w:r w:rsidRPr="006A50E9">
        <w:rPr>
          <w:rFonts w:asciiTheme="majorHAnsi" w:hAnsiTheme="majorHAnsi" w:cstheme="majorHAnsi"/>
          <w:sz w:val="24"/>
          <w:szCs w:val="24"/>
        </w:rPr>
        <w:t xml:space="preserve">Si </w:t>
      </w:r>
      <w:r>
        <w:rPr>
          <w:rFonts w:asciiTheme="majorHAnsi" w:hAnsiTheme="majorHAnsi" w:cstheme="majorHAnsi"/>
          <w:sz w:val="24"/>
          <w:szCs w:val="24"/>
        </w:rPr>
        <w:t xml:space="preserve">además </w:t>
      </w:r>
      <w:r w:rsidRPr="006A50E9">
        <w:rPr>
          <w:rFonts w:asciiTheme="majorHAnsi" w:hAnsiTheme="majorHAnsi" w:cstheme="majorHAnsi"/>
          <w:sz w:val="24"/>
          <w:szCs w:val="24"/>
        </w:rPr>
        <w:t>se establecen requisitos de calidad de las instituciones (4 años) y puntajes de corte más altos</w:t>
      </w:r>
      <w:r>
        <w:rPr>
          <w:rFonts w:asciiTheme="majorHAnsi" w:hAnsiTheme="majorHAnsi" w:cstheme="majorHAnsi"/>
          <w:sz w:val="24"/>
          <w:szCs w:val="24"/>
        </w:rPr>
        <w:t>,</w:t>
      </w:r>
      <w:r w:rsidRPr="006A50E9">
        <w:rPr>
          <w:rFonts w:asciiTheme="majorHAnsi" w:hAnsiTheme="majorHAnsi" w:cstheme="majorHAnsi"/>
          <w:sz w:val="24"/>
          <w:szCs w:val="24"/>
        </w:rPr>
        <w:t xml:space="preserve"> se están estableciendo limitaciones a la inclusión porque los alumnos más vulnerables que acceden a estas universidades en general pertenecen mayoritariamente a jóvenes de ingresos medios y altos</w:t>
      </w:r>
      <w:r>
        <w:rPr>
          <w:rFonts w:asciiTheme="majorHAnsi" w:hAnsiTheme="majorHAnsi" w:cstheme="majorHAnsi"/>
          <w:sz w:val="24"/>
          <w:szCs w:val="24"/>
        </w:rPr>
        <w:t>,</w:t>
      </w:r>
      <w:r w:rsidRPr="006A50E9">
        <w:rPr>
          <w:rFonts w:asciiTheme="majorHAnsi" w:hAnsiTheme="majorHAnsi" w:cstheme="majorHAnsi"/>
          <w:sz w:val="24"/>
          <w:szCs w:val="24"/>
        </w:rPr>
        <w:t xml:space="preserve"> </w:t>
      </w:r>
      <w:r>
        <w:rPr>
          <w:rFonts w:asciiTheme="majorHAnsi" w:hAnsiTheme="majorHAnsi" w:cstheme="majorHAnsi"/>
          <w:sz w:val="24"/>
          <w:szCs w:val="24"/>
        </w:rPr>
        <w:t xml:space="preserve">llevando a que </w:t>
      </w:r>
      <w:r w:rsidRPr="006A50E9">
        <w:rPr>
          <w:rFonts w:asciiTheme="majorHAnsi" w:hAnsiTheme="majorHAnsi" w:cstheme="majorHAnsi"/>
          <w:sz w:val="24"/>
          <w:szCs w:val="24"/>
        </w:rPr>
        <w:t xml:space="preserve">lo que </w:t>
      </w:r>
      <w:r>
        <w:rPr>
          <w:rFonts w:asciiTheme="majorHAnsi" w:hAnsiTheme="majorHAnsi" w:cstheme="majorHAnsi"/>
          <w:sz w:val="24"/>
          <w:szCs w:val="24"/>
        </w:rPr>
        <w:t>en un principio a</w:t>
      </w:r>
      <w:r w:rsidRPr="006A50E9">
        <w:rPr>
          <w:rFonts w:asciiTheme="majorHAnsi" w:hAnsiTheme="majorHAnsi" w:cstheme="majorHAnsi"/>
          <w:sz w:val="24"/>
          <w:szCs w:val="24"/>
        </w:rPr>
        <w:t>parece como un avance en la inclusión termina siendo una limitante.</w:t>
      </w:r>
    </w:p>
    <w:p w14:paraId="661DCE5A" w14:textId="77777777" w:rsidR="00FA6077" w:rsidRDefault="00FA6077" w:rsidP="00FA6077">
      <w:pPr>
        <w:pStyle w:val="Prrafodelista"/>
        <w:spacing w:line="276" w:lineRule="auto"/>
        <w:jc w:val="both"/>
        <w:rPr>
          <w:rFonts w:asciiTheme="majorHAnsi" w:hAnsiTheme="majorHAnsi" w:cstheme="majorHAnsi"/>
          <w:sz w:val="24"/>
          <w:szCs w:val="24"/>
          <w:lang w:val="es-ES"/>
        </w:rPr>
      </w:pPr>
    </w:p>
    <w:p w14:paraId="20823574" w14:textId="77777777" w:rsidR="00FA6077" w:rsidRDefault="00FA6077" w:rsidP="00FA6077">
      <w:pPr>
        <w:pStyle w:val="Prrafodelista"/>
        <w:numPr>
          <w:ilvl w:val="0"/>
          <w:numId w:val="8"/>
        </w:numPr>
        <w:spacing w:line="276" w:lineRule="auto"/>
        <w:jc w:val="both"/>
        <w:rPr>
          <w:rFonts w:asciiTheme="majorHAnsi" w:hAnsiTheme="majorHAnsi" w:cstheme="majorHAnsi"/>
          <w:sz w:val="24"/>
          <w:szCs w:val="24"/>
          <w:lang w:val="es-ES"/>
        </w:rPr>
      </w:pPr>
      <w:r>
        <w:rPr>
          <w:rFonts w:asciiTheme="majorHAnsi" w:hAnsiTheme="majorHAnsi" w:cstheme="majorHAnsi"/>
          <w:sz w:val="24"/>
          <w:szCs w:val="24"/>
          <w:lang w:val="es-ES"/>
        </w:rPr>
        <w:t>IES que no se adhieren se ven discriminadas. Por ejemplo: Acceso al CRUCH, y asignación de campos clínicos. Esto puede profundizar las discriminaciones entre instituciones.</w:t>
      </w:r>
    </w:p>
    <w:p w14:paraId="3E49660D" w14:textId="77777777" w:rsidR="00FA6077" w:rsidRPr="0036094C" w:rsidRDefault="00FA6077" w:rsidP="00FA6077">
      <w:pPr>
        <w:pStyle w:val="Prrafodelista"/>
        <w:rPr>
          <w:rFonts w:asciiTheme="majorHAnsi" w:hAnsiTheme="majorHAnsi" w:cstheme="majorHAnsi"/>
          <w:sz w:val="24"/>
          <w:szCs w:val="24"/>
          <w:lang w:val="es-ES"/>
        </w:rPr>
      </w:pPr>
    </w:p>
    <w:p w14:paraId="20DCE26E" w14:textId="77777777" w:rsidR="00FA6077" w:rsidRDefault="00FA6077" w:rsidP="00FA6077">
      <w:pPr>
        <w:pStyle w:val="Prrafodelista"/>
        <w:numPr>
          <w:ilvl w:val="0"/>
          <w:numId w:val="8"/>
        </w:numPr>
        <w:spacing w:line="276" w:lineRule="auto"/>
        <w:jc w:val="both"/>
        <w:rPr>
          <w:rFonts w:asciiTheme="majorHAnsi" w:hAnsiTheme="majorHAnsi" w:cstheme="majorHAnsi"/>
          <w:sz w:val="24"/>
          <w:szCs w:val="24"/>
          <w:lang w:val="es-ES"/>
        </w:rPr>
      </w:pPr>
      <w:r>
        <w:rPr>
          <w:rFonts w:asciiTheme="majorHAnsi" w:hAnsiTheme="majorHAnsi" w:cstheme="majorHAnsi"/>
          <w:sz w:val="24"/>
          <w:szCs w:val="24"/>
          <w:lang w:val="es-ES"/>
        </w:rPr>
        <w:lastRenderedPageBreak/>
        <w:t>También con la excusa de regular el financiamiento de la gratuidad, el Estado restringe la opción de las instituciones que opten por retirarse de la gratuidad, imponiéndoles una prohibición de reingreso de 5 años, para forzarlas a mantenerse al interior de ésta.</w:t>
      </w:r>
    </w:p>
    <w:p w14:paraId="54E76A67" w14:textId="77777777" w:rsidR="00FA6077" w:rsidRPr="00E24176" w:rsidRDefault="00FA6077" w:rsidP="00FA6077">
      <w:pPr>
        <w:pStyle w:val="Prrafodelista"/>
        <w:rPr>
          <w:rFonts w:asciiTheme="majorHAnsi" w:hAnsiTheme="majorHAnsi" w:cstheme="majorHAnsi"/>
          <w:sz w:val="24"/>
          <w:szCs w:val="24"/>
          <w:lang w:val="es-ES"/>
        </w:rPr>
      </w:pPr>
    </w:p>
    <w:p w14:paraId="4CE9E675" w14:textId="77777777" w:rsidR="00FA6077" w:rsidRPr="00E24176" w:rsidRDefault="00FA6077" w:rsidP="00FA6077">
      <w:pPr>
        <w:pStyle w:val="Prrafodelista"/>
        <w:numPr>
          <w:ilvl w:val="0"/>
          <w:numId w:val="8"/>
        </w:numPr>
        <w:spacing w:line="276" w:lineRule="auto"/>
        <w:jc w:val="both"/>
        <w:rPr>
          <w:rFonts w:asciiTheme="majorHAnsi" w:hAnsiTheme="majorHAnsi" w:cstheme="majorHAnsi"/>
          <w:sz w:val="24"/>
          <w:szCs w:val="24"/>
          <w:lang w:val="es-ES"/>
        </w:rPr>
      </w:pPr>
      <w:r>
        <w:rPr>
          <w:rFonts w:asciiTheme="majorHAnsi" w:hAnsiTheme="majorHAnsi" w:cstheme="majorHAnsi"/>
          <w:sz w:val="24"/>
          <w:szCs w:val="24"/>
          <w:lang w:val="es-ES"/>
        </w:rPr>
        <w:t>Cabe señalar que, s</w:t>
      </w:r>
      <w:r w:rsidRPr="00E24176">
        <w:rPr>
          <w:rFonts w:asciiTheme="majorHAnsi" w:hAnsiTheme="majorHAnsi" w:cstheme="majorHAnsi"/>
          <w:sz w:val="24"/>
          <w:szCs w:val="24"/>
          <w:lang w:val="es-ES"/>
        </w:rPr>
        <w:t>i el eje es la gratuidad y la calidad, no se entiende que existan universidades estatales que son gratuitas y que no cumplen con los mismos estándares que se fijaron para el sector privado.</w:t>
      </w:r>
    </w:p>
    <w:p w14:paraId="228B0402" w14:textId="31B26CE9" w:rsidR="00FA6077" w:rsidRDefault="00FA6077" w:rsidP="00FA6077">
      <w:pPr>
        <w:spacing w:line="276" w:lineRule="auto"/>
        <w:jc w:val="both"/>
        <w:rPr>
          <w:rFonts w:asciiTheme="majorHAnsi" w:hAnsiTheme="majorHAnsi" w:cstheme="majorHAnsi"/>
          <w:b/>
          <w:sz w:val="24"/>
          <w:szCs w:val="24"/>
        </w:rPr>
      </w:pPr>
    </w:p>
    <w:p w14:paraId="4A257D7E" w14:textId="77777777" w:rsidR="00FA6077" w:rsidRDefault="00FA6077" w:rsidP="00FA6077">
      <w:pPr>
        <w:spacing w:line="276" w:lineRule="auto"/>
        <w:jc w:val="both"/>
        <w:rPr>
          <w:rFonts w:asciiTheme="majorHAnsi" w:hAnsiTheme="majorHAnsi" w:cstheme="majorHAnsi"/>
          <w:b/>
          <w:sz w:val="24"/>
          <w:szCs w:val="24"/>
        </w:rPr>
      </w:pPr>
      <w:r w:rsidRPr="009B1C80">
        <w:rPr>
          <w:rFonts w:asciiTheme="majorHAnsi" w:hAnsiTheme="majorHAnsi" w:cstheme="majorHAnsi"/>
          <w:b/>
          <w:sz w:val="24"/>
          <w:szCs w:val="24"/>
        </w:rPr>
        <w:t>A</w:t>
      </w:r>
      <w:r>
        <w:rPr>
          <w:rFonts w:asciiTheme="majorHAnsi" w:hAnsiTheme="majorHAnsi" w:cstheme="majorHAnsi"/>
          <w:b/>
          <w:sz w:val="24"/>
          <w:szCs w:val="24"/>
        </w:rPr>
        <w:t xml:space="preserve">lgunas consideraciones sobre el artículo que indica la sustitución del </w:t>
      </w:r>
      <w:r w:rsidRPr="009B1C80">
        <w:rPr>
          <w:rFonts w:asciiTheme="majorHAnsi" w:hAnsiTheme="majorHAnsi" w:cstheme="majorHAnsi"/>
          <w:b/>
          <w:sz w:val="24"/>
          <w:szCs w:val="24"/>
        </w:rPr>
        <w:t>Crédito con Aval del Estado</w:t>
      </w:r>
      <w:r>
        <w:rPr>
          <w:rFonts w:asciiTheme="majorHAnsi" w:hAnsiTheme="majorHAnsi" w:cstheme="majorHAnsi"/>
          <w:b/>
          <w:sz w:val="24"/>
          <w:szCs w:val="24"/>
        </w:rPr>
        <w:t>, CAE:</w:t>
      </w:r>
    </w:p>
    <w:p w14:paraId="1B4C3087" w14:textId="77777777" w:rsidR="00FA6077" w:rsidRPr="009B1C80" w:rsidRDefault="00FA6077" w:rsidP="00FA6077">
      <w:pPr>
        <w:spacing w:line="276" w:lineRule="auto"/>
        <w:jc w:val="both"/>
        <w:rPr>
          <w:rFonts w:asciiTheme="majorHAnsi" w:hAnsiTheme="majorHAnsi" w:cstheme="majorHAnsi"/>
          <w:b/>
          <w:sz w:val="24"/>
          <w:szCs w:val="24"/>
        </w:rPr>
      </w:pPr>
    </w:p>
    <w:p w14:paraId="54EE7825" w14:textId="77777777" w:rsidR="00FA6077" w:rsidRDefault="00FA6077" w:rsidP="00FA6077">
      <w:pPr>
        <w:spacing w:line="276" w:lineRule="auto"/>
        <w:jc w:val="both"/>
        <w:rPr>
          <w:rFonts w:asciiTheme="majorHAnsi" w:hAnsiTheme="majorHAnsi" w:cstheme="majorHAnsi"/>
          <w:sz w:val="24"/>
          <w:szCs w:val="24"/>
        </w:rPr>
      </w:pPr>
      <w:r w:rsidRPr="009B1C80">
        <w:rPr>
          <w:rFonts w:asciiTheme="majorHAnsi" w:hAnsiTheme="majorHAnsi" w:cstheme="majorHAnsi"/>
          <w:sz w:val="24"/>
          <w:szCs w:val="24"/>
        </w:rPr>
        <w:t>Como instrumento el CAE puede seguir mejorando, pero sigue siendo un instrumento muy importante para los estudiantes que no ingresan a universidades del CRUCH y también para los estudiantes del CRUCH que no califican para el Crédito Solidario y que no tienen acceso a otros instrumentos de financiamiento.</w:t>
      </w:r>
    </w:p>
    <w:p w14:paraId="5B83F9C2" w14:textId="77777777" w:rsidR="00FA6077" w:rsidRPr="009B1C80" w:rsidRDefault="00FA6077" w:rsidP="00FA6077">
      <w:pPr>
        <w:spacing w:line="276" w:lineRule="auto"/>
        <w:jc w:val="both"/>
        <w:rPr>
          <w:rFonts w:asciiTheme="majorHAnsi" w:hAnsiTheme="majorHAnsi" w:cstheme="majorHAnsi"/>
          <w:sz w:val="24"/>
          <w:szCs w:val="24"/>
        </w:rPr>
      </w:pPr>
    </w:p>
    <w:p w14:paraId="71116AE7" w14:textId="77777777" w:rsidR="00FA6077" w:rsidRDefault="00FA6077" w:rsidP="00FA6077">
      <w:pPr>
        <w:spacing w:line="276" w:lineRule="auto"/>
        <w:jc w:val="both"/>
        <w:rPr>
          <w:rFonts w:asciiTheme="majorHAnsi" w:hAnsiTheme="majorHAnsi" w:cstheme="majorHAnsi"/>
          <w:sz w:val="24"/>
          <w:szCs w:val="24"/>
          <w:lang w:val="es-ES"/>
        </w:rPr>
      </w:pPr>
      <w:r w:rsidRPr="009B1C80">
        <w:rPr>
          <w:rFonts w:asciiTheme="majorHAnsi" w:hAnsiTheme="majorHAnsi" w:cstheme="majorHAnsi"/>
          <w:sz w:val="24"/>
          <w:szCs w:val="24"/>
        </w:rPr>
        <w:t xml:space="preserve">Si bien el proyecto que modificará el crédito con aval del Estado no está presente en estas Indicaciones, </w:t>
      </w:r>
      <w:r>
        <w:rPr>
          <w:rFonts w:asciiTheme="majorHAnsi" w:hAnsiTheme="majorHAnsi" w:cstheme="majorHAnsi"/>
          <w:sz w:val="24"/>
          <w:szCs w:val="24"/>
        </w:rPr>
        <w:t xml:space="preserve">parece ilógico </w:t>
      </w:r>
      <w:r w:rsidRPr="009B1BD3">
        <w:rPr>
          <w:rFonts w:asciiTheme="majorHAnsi" w:hAnsiTheme="majorHAnsi" w:cstheme="majorHAnsi"/>
          <w:sz w:val="24"/>
          <w:szCs w:val="24"/>
          <w:lang w:val="es-ES"/>
        </w:rPr>
        <w:t>dejar abierto este tema y vinculado a</w:t>
      </w:r>
      <w:r>
        <w:rPr>
          <w:rFonts w:asciiTheme="majorHAnsi" w:hAnsiTheme="majorHAnsi" w:cstheme="majorHAnsi"/>
          <w:sz w:val="24"/>
          <w:szCs w:val="24"/>
          <w:lang w:val="es-ES"/>
        </w:rPr>
        <w:t xml:space="preserve"> la existencia de otro proyecto que aún no se conoce.</w:t>
      </w:r>
    </w:p>
    <w:p w14:paraId="443F218B" w14:textId="77777777" w:rsidR="00FA6077" w:rsidRDefault="00FA6077" w:rsidP="00FA6077">
      <w:pPr>
        <w:spacing w:line="276" w:lineRule="auto"/>
        <w:jc w:val="both"/>
        <w:rPr>
          <w:rFonts w:asciiTheme="majorHAnsi" w:hAnsiTheme="majorHAnsi" w:cstheme="majorHAnsi"/>
          <w:sz w:val="24"/>
          <w:szCs w:val="24"/>
          <w:lang w:val="es-ES"/>
        </w:rPr>
      </w:pPr>
    </w:p>
    <w:p w14:paraId="44F6B4A0" w14:textId="77777777" w:rsidR="00FA6077" w:rsidRDefault="00FA6077" w:rsidP="00FA6077">
      <w:pPr>
        <w:spacing w:line="276" w:lineRule="auto"/>
        <w:jc w:val="both"/>
        <w:rPr>
          <w:rFonts w:asciiTheme="majorHAnsi" w:hAnsiTheme="majorHAnsi" w:cstheme="majorHAnsi"/>
          <w:sz w:val="24"/>
          <w:szCs w:val="24"/>
        </w:rPr>
      </w:pPr>
      <w:r>
        <w:rPr>
          <w:rFonts w:asciiTheme="majorHAnsi" w:hAnsiTheme="majorHAnsi" w:cstheme="majorHAnsi"/>
          <w:sz w:val="24"/>
          <w:szCs w:val="24"/>
        </w:rPr>
        <w:t>Sin embargo, q</w:t>
      </w:r>
      <w:r w:rsidRPr="009B1C80">
        <w:rPr>
          <w:rFonts w:asciiTheme="majorHAnsi" w:hAnsiTheme="majorHAnsi" w:cstheme="majorHAnsi"/>
          <w:sz w:val="24"/>
          <w:szCs w:val="24"/>
        </w:rPr>
        <w:t>ueremos plantear que concordamos en la necesidad de sacar el mecanismo de</w:t>
      </w:r>
      <w:r>
        <w:rPr>
          <w:rFonts w:asciiTheme="majorHAnsi" w:hAnsiTheme="majorHAnsi" w:cstheme="majorHAnsi"/>
          <w:sz w:val="24"/>
          <w:szCs w:val="24"/>
        </w:rPr>
        <w:t xml:space="preserve"> créditos de la banca comercial, sin que ello implique restringir el acceso al crédito que es lo que ha hecho posible la ampliación de la cobertura.</w:t>
      </w:r>
      <w:r w:rsidRPr="009B1C80">
        <w:rPr>
          <w:rFonts w:asciiTheme="majorHAnsi" w:hAnsiTheme="majorHAnsi" w:cstheme="majorHAnsi"/>
          <w:sz w:val="24"/>
          <w:szCs w:val="24"/>
        </w:rPr>
        <w:t xml:space="preserve"> </w:t>
      </w:r>
      <w:r>
        <w:rPr>
          <w:rFonts w:asciiTheme="majorHAnsi" w:hAnsiTheme="majorHAnsi" w:cstheme="majorHAnsi"/>
          <w:sz w:val="24"/>
          <w:szCs w:val="24"/>
        </w:rPr>
        <w:t>P</w:t>
      </w:r>
      <w:r w:rsidRPr="009B1C80">
        <w:rPr>
          <w:rFonts w:asciiTheme="majorHAnsi" w:hAnsiTheme="majorHAnsi" w:cstheme="majorHAnsi"/>
          <w:sz w:val="24"/>
          <w:szCs w:val="24"/>
        </w:rPr>
        <w:t>roponemos un sistema de cobro con incentivos para que los deudores cumplan sus obligaciones, explicitando que los recursos obtenidos del pago irían a financiar el fondo de créditos.</w:t>
      </w:r>
    </w:p>
    <w:p w14:paraId="477C43E1" w14:textId="77777777" w:rsidR="00FA6077" w:rsidRDefault="00FA6077" w:rsidP="00FA6077">
      <w:pPr>
        <w:spacing w:line="276" w:lineRule="auto"/>
        <w:jc w:val="both"/>
        <w:rPr>
          <w:rFonts w:asciiTheme="majorHAnsi" w:hAnsiTheme="majorHAnsi" w:cstheme="majorHAnsi"/>
          <w:b/>
          <w:sz w:val="24"/>
          <w:szCs w:val="24"/>
        </w:rPr>
      </w:pPr>
    </w:p>
    <w:p w14:paraId="3DB29D6C" w14:textId="1C5BCE27" w:rsidR="00FA6077" w:rsidRPr="00B94D6B" w:rsidRDefault="00FA6077" w:rsidP="00FA6077">
      <w:pPr>
        <w:spacing w:line="276" w:lineRule="auto"/>
        <w:jc w:val="both"/>
        <w:rPr>
          <w:rFonts w:asciiTheme="majorHAnsi" w:hAnsiTheme="majorHAnsi" w:cstheme="majorHAnsi"/>
          <w:sz w:val="24"/>
          <w:szCs w:val="24"/>
        </w:rPr>
      </w:pPr>
      <w:r w:rsidRPr="009B1C80">
        <w:rPr>
          <w:rFonts w:asciiTheme="majorHAnsi" w:hAnsiTheme="majorHAnsi" w:cstheme="majorHAnsi"/>
          <w:sz w:val="24"/>
          <w:szCs w:val="24"/>
        </w:rPr>
        <w:t>Finalmente, concordamos en que es necesario buscar un mecanismo para que la deuda del Fondo Solidario y CAE actual no sea considerada deuda bancaria, porque limita a quienes utilizaron este mecanismo de financiamiento, como ocurre en la obtención de un crédito hipotecario.</w:t>
      </w:r>
    </w:p>
    <w:p w14:paraId="084E1BAB" w14:textId="77777777" w:rsidR="00FA6077" w:rsidRDefault="00FA6077" w:rsidP="00FA6077">
      <w:pPr>
        <w:spacing w:line="276" w:lineRule="auto"/>
        <w:rPr>
          <w:rFonts w:asciiTheme="majorHAnsi" w:hAnsiTheme="majorHAnsi" w:cstheme="majorHAnsi"/>
          <w:sz w:val="24"/>
          <w:szCs w:val="24"/>
          <w:lang w:val="es-ES"/>
        </w:rPr>
      </w:pPr>
    </w:p>
    <w:p w14:paraId="37882405" w14:textId="77777777" w:rsidR="00FA6077" w:rsidRPr="004B7537" w:rsidRDefault="00FA6077" w:rsidP="00FA6077">
      <w:pPr>
        <w:spacing w:line="276" w:lineRule="auto"/>
        <w:rPr>
          <w:rFonts w:asciiTheme="majorHAnsi" w:hAnsiTheme="majorHAnsi" w:cstheme="majorHAnsi"/>
          <w:b/>
          <w:sz w:val="24"/>
          <w:szCs w:val="24"/>
          <w:lang w:val="es-ES"/>
        </w:rPr>
      </w:pPr>
      <w:r w:rsidRPr="004B7537">
        <w:rPr>
          <w:rFonts w:asciiTheme="majorHAnsi" w:hAnsiTheme="majorHAnsi" w:cstheme="majorHAnsi"/>
          <w:b/>
          <w:sz w:val="24"/>
          <w:szCs w:val="24"/>
          <w:lang w:val="es-ES"/>
        </w:rPr>
        <w:t>Consideraciones finales</w:t>
      </w:r>
    </w:p>
    <w:p w14:paraId="7CDAB6CB" w14:textId="77777777" w:rsidR="00FA6077" w:rsidRDefault="00FA6077" w:rsidP="00FA6077">
      <w:pPr>
        <w:spacing w:line="276" w:lineRule="auto"/>
        <w:rPr>
          <w:rFonts w:asciiTheme="majorHAnsi" w:hAnsiTheme="majorHAnsi" w:cstheme="majorHAnsi"/>
          <w:sz w:val="24"/>
          <w:szCs w:val="24"/>
        </w:rPr>
      </w:pPr>
    </w:p>
    <w:p w14:paraId="6DA387EC" w14:textId="77777777" w:rsidR="00FA6077" w:rsidRPr="00D01842" w:rsidRDefault="00FA6077" w:rsidP="00FA6077">
      <w:pPr>
        <w:pStyle w:val="Prrafodelista"/>
        <w:numPr>
          <w:ilvl w:val="0"/>
          <w:numId w:val="11"/>
        </w:numPr>
        <w:spacing w:line="276" w:lineRule="auto"/>
        <w:rPr>
          <w:rFonts w:asciiTheme="majorHAnsi" w:hAnsiTheme="majorHAnsi" w:cstheme="majorHAnsi"/>
          <w:sz w:val="24"/>
          <w:szCs w:val="24"/>
          <w:lang w:val="es-ES"/>
        </w:rPr>
      </w:pPr>
      <w:r>
        <w:rPr>
          <w:rFonts w:asciiTheme="majorHAnsi" w:hAnsiTheme="majorHAnsi" w:cstheme="majorHAnsi"/>
          <w:sz w:val="24"/>
          <w:szCs w:val="24"/>
        </w:rPr>
        <w:t>E</w:t>
      </w:r>
      <w:r w:rsidRPr="004B7537">
        <w:rPr>
          <w:rFonts w:asciiTheme="majorHAnsi" w:hAnsiTheme="majorHAnsi" w:cstheme="majorHAnsi"/>
          <w:sz w:val="24"/>
          <w:szCs w:val="24"/>
        </w:rPr>
        <w:t xml:space="preserve">ste proyecto, marcado por posiciones ideológicas, está atentando contra nuestras instituciones por el solo hecho de ser privadas. Es imprescindible que se respeten los principios de autonomía, diversidad, calidad, libertad de enseñanza, derecho a la </w:t>
      </w:r>
      <w:r w:rsidRPr="004B7537">
        <w:rPr>
          <w:rFonts w:asciiTheme="majorHAnsi" w:hAnsiTheme="majorHAnsi" w:cstheme="majorHAnsi"/>
          <w:sz w:val="24"/>
          <w:szCs w:val="24"/>
        </w:rPr>
        <w:lastRenderedPageBreak/>
        <w:t>educación y pluralidad de proyectos educativos, teniendo como objetivo principal la formación de nuestros alumnos</w:t>
      </w:r>
      <w:r>
        <w:rPr>
          <w:rFonts w:asciiTheme="majorHAnsi" w:hAnsiTheme="majorHAnsi" w:cstheme="majorHAnsi"/>
          <w:sz w:val="24"/>
          <w:szCs w:val="24"/>
        </w:rPr>
        <w:t>.</w:t>
      </w:r>
    </w:p>
    <w:p w14:paraId="35A26471" w14:textId="77777777" w:rsidR="00FA6077" w:rsidRPr="00D01842" w:rsidRDefault="00FA6077" w:rsidP="00FA6077">
      <w:pPr>
        <w:pStyle w:val="Prrafodelista"/>
        <w:rPr>
          <w:rFonts w:asciiTheme="majorHAnsi" w:hAnsiTheme="majorHAnsi" w:cstheme="majorHAnsi"/>
          <w:sz w:val="24"/>
          <w:szCs w:val="24"/>
        </w:rPr>
      </w:pPr>
    </w:p>
    <w:p w14:paraId="31F418B2" w14:textId="77777777" w:rsidR="00FA6077" w:rsidRPr="00BC33F9" w:rsidRDefault="00FA6077" w:rsidP="00FA6077">
      <w:pPr>
        <w:pStyle w:val="Prrafodelista"/>
        <w:numPr>
          <w:ilvl w:val="0"/>
          <w:numId w:val="11"/>
        </w:numPr>
        <w:spacing w:line="276" w:lineRule="auto"/>
        <w:rPr>
          <w:rFonts w:asciiTheme="majorHAnsi" w:hAnsiTheme="majorHAnsi" w:cstheme="majorHAnsi"/>
          <w:sz w:val="24"/>
          <w:szCs w:val="24"/>
          <w:lang w:val="es-ES"/>
        </w:rPr>
      </w:pPr>
      <w:r w:rsidRPr="00D01842">
        <w:rPr>
          <w:rFonts w:asciiTheme="majorHAnsi" w:hAnsiTheme="majorHAnsi" w:cstheme="majorHAnsi"/>
          <w:sz w:val="24"/>
          <w:szCs w:val="24"/>
        </w:rPr>
        <w:t xml:space="preserve">El cambio es una certeza; hacia dónde va ese cambio no es posible identificarlo con precisión, pero si podemos influir sobre sus tendencias y el impacto en nuestro país.  Para eso, las universidades son indispensables, en la medida que puedan trabajar en esa dirección, con miradas de largo plazo. </w:t>
      </w:r>
    </w:p>
    <w:p w14:paraId="7C642FBD" w14:textId="77777777" w:rsidR="00FA6077" w:rsidRPr="00BC33F9" w:rsidRDefault="00FA6077" w:rsidP="00FA6077">
      <w:pPr>
        <w:pStyle w:val="Prrafodelista"/>
        <w:rPr>
          <w:rFonts w:asciiTheme="majorHAnsi" w:hAnsiTheme="majorHAnsi" w:cstheme="majorHAnsi"/>
          <w:sz w:val="24"/>
          <w:szCs w:val="24"/>
          <w:lang w:val="es-ES"/>
        </w:rPr>
      </w:pPr>
    </w:p>
    <w:p w14:paraId="2A886604" w14:textId="77777777" w:rsidR="00FA6077" w:rsidRPr="00BC33F9" w:rsidRDefault="00FA6077" w:rsidP="00FA6077">
      <w:pPr>
        <w:pStyle w:val="Prrafodelista"/>
        <w:numPr>
          <w:ilvl w:val="0"/>
          <w:numId w:val="11"/>
        </w:numPr>
        <w:spacing w:line="276" w:lineRule="auto"/>
        <w:rPr>
          <w:rFonts w:asciiTheme="majorHAnsi" w:hAnsiTheme="majorHAnsi" w:cstheme="majorHAnsi"/>
          <w:sz w:val="24"/>
          <w:szCs w:val="24"/>
          <w:lang w:val="es-ES"/>
        </w:rPr>
      </w:pPr>
      <w:r w:rsidRPr="00BC33F9">
        <w:rPr>
          <w:rFonts w:asciiTheme="majorHAnsi" w:hAnsiTheme="majorHAnsi" w:cstheme="majorHAnsi"/>
          <w:sz w:val="24"/>
          <w:szCs w:val="24"/>
          <w:lang w:val="es-ES"/>
        </w:rPr>
        <w:t xml:space="preserve">En ese contexto, </w:t>
      </w:r>
      <w:r w:rsidRPr="00BC33F9">
        <w:rPr>
          <w:rFonts w:asciiTheme="majorHAnsi" w:hAnsiTheme="majorHAnsi" w:cstheme="majorHAnsi"/>
          <w:sz w:val="24"/>
          <w:szCs w:val="24"/>
        </w:rPr>
        <w:t xml:space="preserve">parece ilógico que este proyecto no converse con el que actualmente se encuentra en plena tramitación y que dará vida al nuevo Ministerio de Ciencia y Tecnología. </w:t>
      </w:r>
    </w:p>
    <w:p w14:paraId="4DBE60C6" w14:textId="77777777" w:rsidR="00FA6077" w:rsidRPr="00BC33F9" w:rsidRDefault="00FA6077" w:rsidP="00FA6077">
      <w:pPr>
        <w:pStyle w:val="Prrafodelista"/>
        <w:rPr>
          <w:rFonts w:asciiTheme="majorHAnsi" w:hAnsiTheme="majorHAnsi" w:cstheme="majorHAnsi"/>
          <w:sz w:val="24"/>
          <w:szCs w:val="24"/>
        </w:rPr>
      </w:pPr>
    </w:p>
    <w:p w14:paraId="1B93640C" w14:textId="77777777" w:rsidR="00FA6077" w:rsidRPr="00BC33F9" w:rsidRDefault="00FA6077" w:rsidP="00FA6077">
      <w:pPr>
        <w:pStyle w:val="Prrafodelista"/>
        <w:numPr>
          <w:ilvl w:val="0"/>
          <w:numId w:val="11"/>
        </w:numPr>
        <w:spacing w:line="276" w:lineRule="auto"/>
        <w:rPr>
          <w:rFonts w:asciiTheme="majorHAnsi" w:hAnsiTheme="majorHAnsi" w:cstheme="majorHAnsi"/>
          <w:sz w:val="24"/>
          <w:szCs w:val="24"/>
          <w:lang w:val="es-ES"/>
        </w:rPr>
      </w:pPr>
      <w:r w:rsidRPr="00BC33F9">
        <w:rPr>
          <w:rFonts w:asciiTheme="majorHAnsi" w:hAnsiTheme="majorHAnsi" w:cstheme="majorHAnsi"/>
          <w:sz w:val="24"/>
          <w:szCs w:val="24"/>
        </w:rPr>
        <w:t xml:space="preserve">Este proyecto de ley focaliza nuestros esfuerzos en lo que ocurrirá en 3 meses más, cuando deberíamos estar mirando un horizonte mayor que contemple por lo menos las próximas 3 décadas.   </w:t>
      </w:r>
    </w:p>
    <w:p w14:paraId="2AE362E2" w14:textId="77777777" w:rsidR="00F41BE5" w:rsidRPr="00B7047D" w:rsidRDefault="00F41BE5" w:rsidP="00F41BE5">
      <w:pPr>
        <w:spacing w:line="276" w:lineRule="auto"/>
        <w:jc w:val="both"/>
        <w:rPr>
          <w:rFonts w:asciiTheme="majorHAnsi" w:hAnsiTheme="majorHAnsi" w:cstheme="majorHAnsi"/>
          <w:sz w:val="24"/>
          <w:szCs w:val="24"/>
        </w:rPr>
      </w:pPr>
    </w:p>
    <w:sectPr w:rsidR="00F41BE5" w:rsidRPr="00B7047D" w:rsidSect="00B44CB3">
      <w:headerReference w:type="default" r:id="rId12"/>
      <w:footerReference w:type="default" r:id="rId13"/>
      <w:pgSz w:w="12240" w:h="15840"/>
      <w:pgMar w:top="1417" w:right="1701" w:bottom="1417" w:left="1701" w:header="708" w:footer="708" w:gutter="0"/>
      <w:pgBorders w:offsetFrom="page">
        <w:top w:val="dotted" w:sz="4" w:space="24" w:color="1481AB" w:themeColor="accent1" w:themeShade="BF"/>
        <w:left w:val="dotted" w:sz="4" w:space="24" w:color="1481AB" w:themeColor="accent1" w:themeShade="BF"/>
        <w:bottom w:val="dotted" w:sz="4" w:space="24" w:color="1481AB" w:themeColor="accent1" w:themeShade="BF"/>
        <w:right w:val="dotted" w:sz="4" w:space="24" w:color="1481AB"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B0406" w14:textId="77777777" w:rsidR="00316F5F" w:rsidRDefault="00316F5F" w:rsidP="00CE47F0">
      <w:r>
        <w:separator/>
      </w:r>
    </w:p>
  </w:endnote>
  <w:endnote w:type="continuationSeparator" w:id="0">
    <w:p w14:paraId="53477465" w14:textId="77777777" w:rsidR="00316F5F" w:rsidRDefault="00316F5F" w:rsidP="00CE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6584"/>
      <w:docPartObj>
        <w:docPartGallery w:val="Page Numbers (Bottom of Page)"/>
        <w:docPartUnique/>
      </w:docPartObj>
    </w:sdtPr>
    <w:sdtEndPr/>
    <w:sdtContent>
      <w:p w14:paraId="51106F17" w14:textId="1D749095" w:rsidR="007914B1" w:rsidRDefault="007914B1">
        <w:pPr>
          <w:pStyle w:val="Piedepgina"/>
          <w:jc w:val="right"/>
        </w:pPr>
        <w:r>
          <w:fldChar w:fldCharType="begin"/>
        </w:r>
        <w:r>
          <w:instrText>PAGE   \* MERGEFORMAT</w:instrText>
        </w:r>
        <w:r>
          <w:fldChar w:fldCharType="separate"/>
        </w:r>
        <w:r w:rsidR="00936E22" w:rsidRPr="00936E22">
          <w:rPr>
            <w:noProof/>
            <w:lang w:val="es-ES"/>
          </w:rPr>
          <w:t>2</w:t>
        </w:r>
        <w:r>
          <w:fldChar w:fldCharType="end"/>
        </w:r>
      </w:p>
    </w:sdtContent>
  </w:sdt>
  <w:p w14:paraId="2D1F2E6E" w14:textId="77777777" w:rsidR="00795B89" w:rsidRDefault="00795B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BAD63" w14:textId="77777777" w:rsidR="00316F5F" w:rsidRDefault="00316F5F" w:rsidP="00CE47F0">
      <w:r>
        <w:separator/>
      </w:r>
    </w:p>
  </w:footnote>
  <w:footnote w:type="continuationSeparator" w:id="0">
    <w:p w14:paraId="6996EE29" w14:textId="77777777" w:rsidR="00316F5F" w:rsidRDefault="00316F5F" w:rsidP="00CE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E992" w14:textId="5B7515FF" w:rsidR="004318F0" w:rsidRDefault="004318F0" w:rsidP="004318F0">
    <w:pPr>
      <w:pStyle w:val="Encabezado"/>
      <w:jc w:val="right"/>
    </w:pPr>
    <w:r>
      <w:rPr>
        <w:noProof/>
        <w:lang w:eastAsia="es-CL"/>
      </w:rPr>
      <w:drawing>
        <wp:inline distT="0" distB="0" distL="0" distR="0" wp14:anchorId="17E0DBEA" wp14:editId="01D6E6D1">
          <wp:extent cx="1495425" cy="584507"/>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logo-03.png"/>
                  <pic:cNvPicPr/>
                </pic:nvPicPr>
                <pic:blipFill>
                  <a:blip r:embed="rId1">
                    <a:extLst>
                      <a:ext uri="{28A0092B-C50C-407E-A947-70E740481C1C}">
                        <a14:useLocalDpi xmlns:a14="http://schemas.microsoft.com/office/drawing/2010/main" val="0"/>
                      </a:ext>
                    </a:extLst>
                  </a:blip>
                  <a:stretch>
                    <a:fillRect/>
                  </a:stretch>
                </pic:blipFill>
                <pic:spPr>
                  <a:xfrm>
                    <a:off x="0" y="0"/>
                    <a:ext cx="1518750" cy="593624"/>
                  </a:xfrm>
                  <a:prstGeom prst="rect">
                    <a:avLst/>
                  </a:prstGeom>
                </pic:spPr>
              </pic:pic>
            </a:graphicData>
          </a:graphic>
        </wp:inline>
      </w:drawing>
    </w:r>
  </w:p>
  <w:p w14:paraId="35D9B97E" w14:textId="77777777" w:rsidR="004318F0" w:rsidRDefault="004318F0" w:rsidP="004318F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EE7"/>
    <w:multiLevelType w:val="hybridMultilevel"/>
    <w:tmpl w:val="163412D0"/>
    <w:lvl w:ilvl="0" w:tplc="3824099C">
      <w:start w:val="1"/>
      <w:numFmt w:val="bullet"/>
      <w:lvlText w:val="•"/>
      <w:lvlJc w:val="left"/>
      <w:pPr>
        <w:tabs>
          <w:tab w:val="num" w:pos="720"/>
        </w:tabs>
        <w:ind w:left="720" w:hanging="360"/>
      </w:pPr>
      <w:rPr>
        <w:rFonts w:ascii="Arial" w:hAnsi="Arial" w:hint="default"/>
      </w:rPr>
    </w:lvl>
    <w:lvl w:ilvl="1" w:tplc="EC44B544" w:tentative="1">
      <w:start w:val="1"/>
      <w:numFmt w:val="bullet"/>
      <w:lvlText w:val="•"/>
      <w:lvlJc w:val="left"/>
      <w:pPr>
        <w:tabs>
          <w:tab w:val="num" w:pos="1440"/>
        </w:tabs>
        <w:ind w:left="1440" w:hanging="360"/>
      </w:pPr>
      <w:rPr>
        <w:rFonts w:ascii="Arial" w:hAnsi="Arial" w:hint="default"/>
      </w:rPr>
    </w:lvl>
    <w:lvl w:ilvl="2" w:tplc="90AC87A4" w:tentative="1">
      <w:start w:val="1"/>
      <w:numFmt w:val="bullet"/>
      <w:lvlText w:val="•"/>
      <w:lvlJc w:val="left"/>
      <w:pPr>
        <w:tabs>
          <w:tab w:val="num" w:pos="2160"/>
        </w:tabs>
        <w:ind w:left="2160" w:hanging="360"/>
      </w:pPr>
      <w:rPr>
        <w:rFonts w:ascii="Arial" w:hAnsi="Arial" w:hint="default"/>
      </w:rPr>
    </w:lvl>
    <w:lvl w:ilvl="3" w:tplc="47B0B594" w:tentative="1">
      <w:start w:val="1"/>
      <w:numFmt w:val="bullet"/>
      <w:lvlText w:val="•"/>
      <w:lvlJc w:val="left"/>
      <w:pPr>
        <w:tabs>
          <w:tab w:val="num" w:pos="2880"/>
        </w:tabs>
        <w:ind w:left="2880" w:hanging="360"/>
      </w:pPr>
      <w:rPr>
        <w:rFonts w:ascii="Arial" w:hAnsi="Arial" w:hint="default"/>
      </w:rPr>
    </w:lvl>
    <w:lvl w:ilvl="4" w:tplc="8B34C822" w:tentative="1">
      <w:start w:val="1"/>
      <w:numFmt w:val="bullet"/>
      <w:lvlText w:val="•"/>
      <w:lvlJc w:val="left"/>
      <w:pPr>
        <w:tabs>
          <w:tab w:val="num" w:pos="3600"/>
        </w:tabs>
        <w:ind w:left="3600" w:hanging="360"/>
      </w:pPr>
      <w:rPr>
        <w:rFonts w:ascii="Arial" w:hAnsi="Arial" w:hint="default"/>
      </w:rPr>
    </w:lvl>
    <w:lvl w:ilvl="5" w:tplc="3D985042" w:tentative="1">
      <w:start w:val="1"/>
      <w:numFmt w:val="bullet"/>
      <w:lvlText w:val="•"/>
      <w:lvlJc w:val="left"/>
      <w:pPr>
        <w:tabs>
          <w:tab w:val="num" w:pos="4320"/>
        </w:tabs>
        <w:ind w:left="4320" w:hanging="360"/>
      </w:pPr>
      <w:rPr>
        <w:rFonts w:ascii="Arial" w:hAnsi="Arial" w:hint="default"/>
      </w:rPr>
    </w:lvl>
    <w:lvl w:ilvl="6" w:tplc="8A6E4192" w:tentative="1">
      <w:start w:val="1"/>
      <w:numFmt w:val="bullet"/>
      <w:lvlText w:val="•"/>
      <w:lvlJc w:val="left"/>
      <w:pPr>
        <w:tabs>
          <w:tab w:val="num" w:pos="5040"/>
        </w:tabs>
        <w:ind w:left="5040" w:hanging="360"/>
      </w:pPr>
      <w:rPr>
        <w:rFonts w:ascii="Arial" w:hAnsi="Arial" w:hint="default"/>
      </w:rPr>
    </w:lvl>
    <w:lvl w:ilvl="7" w:tplc="E9C6D420" w:tentative="1">
      <w:start w:val="1"/>
      <w:numFmt w:val="bullet"/>
      <w:lvlText w:val="•"/>
      <w:lvlJc w:val="left"/>
      <w:pPr>
        <w:tabs>
          <w:tab w:val="num" w:pos="5760"/>
        </w:tabs>
        <w:ind w:left="5760" w:hanging="360"/>
      </w:pPr>
      <w:rPr>
        <w:rFonts w:ascii="Arial" w:hAnsi="Arial" w:hint="default"/>
      </w:rPr>
    </w:lvl>
    <w:lvl w:ilvl="8" w:tplc="4C5CC400" w:tentative="1">
      <w:start w:val="1"/>
      <w:numFmt w:val="bullet"/>
      <w:lvlText w:val="•"/>
      <w:lvlJc w:val="left"/>
      <w:pPr>
        <w:tabs>
          <w:tab w:val="num" w:pos="6480"/>
        </w:tabs>
        <w:ind w:left="6480" w:hanging="360"/>
      </w:pPr>
      <w:rPr>
        <w:rFonts w:ascii="Arial" w:hAnsi="Arial" w:hint="default"/>
      </w:rPr>
    </w:lvl>
  </w:abstractNum>
  <w:abstractNum w:abstractNumId="1">
    <w:nsid w:val="1446696E"/>
    <w:multiLevelType w:val="hybridMultilevel"/>
    <w:tmpl w:val="CB96DD9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B7914E4"/>
    <w:multiLevelType w:val="hybridMultilevel"/>
    <w:tmpl w:val="DE225F1C"/>
    <w:lvl w:ilvl="0" w:tplc="16F2B63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40928D9"/>
    <w:multiLevelType w:val="hybridMultilevel"/>
    <w:tmpl w:val="A50A0524"/>
    <w:lvl w:ilvl="0" w:tplc="8E969CE0">
      <w:start w:val="2"/>
      <w:numFmt w:val="decimal"/>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7F644FA"/>
    <w:multiLevelType w:val="hybridMultilevel"/>
    <w:tmpl w:val="0450E0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ACA5254"/>
    <w:multiLevelType w:val="hybridMultilevel"/>
    <w:tmpl w:val="52AE4CD6"/>
    <w:lvl w:ilvl="0" w:tplc="257C8974">
      <w:start w:val="1"/>
      <w:numFmt w:val="bullet"/>
      <w:lvlText w:val="•"/>
      <w:lvlJc w:val="left"/>
      <w:pPr>
        <w:tabs>
          <w:tab w:val="num" w:pos="720"/>
        </w:tabs>
        <w:ind w:left="720" w:hanging="360"/>
      </w:pPr>
      <w:rPr>
        <w:rFonts w:ascii="Arial" w:hAnsi="Arial" w:hint="default"/>
      </w:rPr>
    </w:lvl>
    <w:lvl w:ilvl="1" w:tplc="884A0536" w:tentative="1">
      <w:start w:val="1"/>
      <w:numFmt w:val="bullet"/>
      <w:lvlText w:val="•"/>
      <w:lvlJc w:val="left"/>
      <w:pPr>
        <w:tabs>
          <w:tab w:val="num" w:pos="1440"/>
        </w:tabs>
        <w:ind w:left="1440" w:hanging="360"/>
      </w:pPr>
      <w:rPr>
        <w:rFonts w:ascii="Arial" w:hAnsi="Arial" w:hint="default"/>
      </w:rPr>
    </w:lvl>
    <w:lvl w:ilvl="2" w:tplc="5DEC9BC0" w:tentative="1">
      <w:start w:val="1"/>
      <w:numFmt w:val="bullet"/>
      <w:lvlText w:val="•"/>
      <w:lvlJc w:val="left"/>
      <w:pPr>
        <w:tabs>
          <w:tab w:val="num" w:pos="2160"/>
        </w:tabs>
        <w:ind w:left="2160" w:hanging="360"/>
      </w:pPr>
      <w:rPr>
        <w:rFonts w:ascii="Arial" w:hAnsi="Arial" w:hint="default"/>
      </w:rPr>
    </w:lvl>
    <w:lvl w:ilvl="3" w:tplc="8F8A3E34" w:tentative="1">
      <w:start w:val="1"/>
      <w:numFmt w:val="bullet"/>
      <w:lvlText w:val="•"/>
      <w:lvlJc w:val="left"/>
      <w:pPr>
        <w:tabs>
          <w:tab w:val="num" w:pos="2880"/>
        </w:tabs>
        <w:ind w:left="2880" w:hanging="360"/>
      </w:pPr>
      <w:rPr>
        <w:rFonts w:ascii="Arial" w:hAnsi="Arial" w:hint="default"/>
      </w:rPr>
    </w:lvl>
    <w:lvl w:ilvl="4" w:tplc="BE461980" w:tentative="1">
      <w:start w:val="1"/>
      <w:numFmt w:val="bullet"/>
      <w:lvlText w:val="•"/>
      <w:lvlJc w:val="left"/>
      <w:pPr>
        <w:tabs>
          <w:tab w:val="num" w:pos="3600"/>
        </w:tabs>
        <w:ind w:left="3600" w:hanging="360"/>
      </w:pPr>
      <w:rPr>
        <w:rFonts w:ascii="Arial" w:hAnsi="Arial" w:hint="default"/>
      </w:rPr>
    </w:lvl>
    <w:lvl w:ilvl="5" w:tplc="9B0EE9A8" w:tentative="1">
      <w:start w:val="1"/>
      <w:numFmt w:val="bullet"/>
      <w:lvlText w:val="•"/>
      <w:lvlJc w:val="left"/>
      <w:pPr>
        <w:tabs>
          <w:tab w:val="num" w:pos="4320"/>
        </w:tabs>
        <w:ind w:left="4320" w:hanging="360"/>
      </w:pPr>
      <w:rPr>
        <w:rFonts w:ascii="Arial" w:hAnsi="Arial" w:hint="default"/>
      </w:rPr>
    </w:lvl>
    <w:lvl w:ilvl="6" w:tplc="5AD87778" w:tentative="1">
      <w:start w:val="1"/>
      <w:numFmt w:val="bullet"/>
      <w:lvlText w:val="•"/>
      <w:lvlJc w:val="left"/>
      <w:pPr>
        <w:tabs>
          <w:tab w:val="num" w:pos="5040"/>
        </w:tabs>
        <w:ind w:left="5040" w:hanging="360"/>
      </w:pPr>
      <w:rPr>
        <w:rFonts w:ascii="Arial" w:hAnsi="Arial" w:hint="default"/>
      </w:rPr>
    </w:lvl>
    <w:lvl w:ilvl="7" w:tplc="BB66D4C4" w:tentative="1">
      <w:start w:val="1"/>
      <w:numFmt w:val="bullet"/>
      <w:lvlText w:val="•"/>
      <w:lvlJc w:val="left"/>
      <w:pPr>
        <w:tabs>
          <w:tab w:val="num" w:pos="5760"/>
        </w:tabs>
        <w:ind w:left="5760" w:hanging="360"/>
      </w:pPr>
      <w:rPr>
        <w:rFonts w:ascii="Arial" w:hAnsi="Arial" w:hint="default"/>
      </w:rPr>
    </w:lvl>
    <w:lvl w:ilvl="8" w:tplc="1FC40788" w:tentative="1">
      <w:start w:val="1"/>
      <w:numFmt w:val="bullet"/>
      <w:lvlText w:val="•"/>
      <w:lvlJc w:val="left"/>
      <w:pPr>
        <w:tabs>
          <w:tab w:val="num" w:pos="6480"/>
        </w:tabs>
        <w:ind w:left="6480" w:hanging="360"/>
      </w:pPr>
      <w:rPr>
        <w:rFonts w:ascii="Arial" w:hAnsi="Arial" w:hint="default"/>
      </w:rPr>
    </w:lvl>
  </w:abstractNum>
  <w:abstractNum w:abstractNumId="6">
    <w:nsid w:val="2B61630C"/>
    <w:multiLevelType w:val="hybridMultilevel"/>
    <w:tmpl w:val="A5FE84C0"/>
    <w:lvl w:ilvl="0" w:tplc="F3A21D70">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E541A27"/>
    <w:multiLevelType w:val="hybridMultilevel"/>
    <w:tmpl w:val="CB96DD9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EC12A7D"/>
    <w:multiLevelType w:val="hybridMultilevel"/>
    <w:tmpl w:val="B1DE2BCE"/>
    <w:lvl w:ilvl="0" w:tplc="5994DCD0">
      <w:start w:val="1"/>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2C23C26"/>
    <w:multiLevelType w:val="hybridMultilevel"/>
    <w:tmpl w:val="22D24892"/>
    <w:lvl w:ilvl="0" w:tplc="30F4600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6B37149"/>
    <w:multiLevelType w:val="hybridMultilevel"/>
    <w:tmpl w:val="56A8D9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CE77C35"/>
    <w:multiLevelType w:val="hybridMultilevel"/>
    <w:tmpl w:val="A956B626"/>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DAB4EF5"/>
    <w:multiLevelType w:val="hybridMultilevel"/>
    <w:tmpl w:val="3BA8E66A"/>
    <w:lvl w:ilvl="0" w:tplc="4A2E283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BE77376"/>
    <w:multiLevelType w:val="hybridMultilevel"/>
    <w:tmpl w:val="B0CAA48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2D3110D"/>
    <w:multiLevelType w:val="hybridMultilevel"/>
    <w:tmpl w:val="ACA230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12"/>
  </w:num>
  <w:num w:numId="5">
    <w:abstractNumId w:val="3"/>
  </w:num>
  <w:num w:numId="6">
    <w:abstractNumId w:val="14"/>
  </w:num>
  <w:num w:numId="7">
    <w:abstractNumId w:val="6"/>
  </w:num>
  <w:num w:numId="8">
    <w:abstractNumId w:val="10"/>
  </w:num>
  <w:num w:numId="9">
    <w:abstractNumId w:val="8"/>
  </w:num>
  <w:num w:numId="10">
    <w:abstractNumId w:val="2"/>
  </w:num>
  <w:num w:numId="11">
    <w:abstractNumId w:val="1"/>
  </w:num>
  <w:num w:numId="12">
    <w:abstractNumId w:val="7"/>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FB"/>
    <w:rsid w:val="00021CFB"/>
    <w:rsid w:val="00022337"/>
    <w:rsid w:val="000234B5"/>
    <w:rsid w:val="00036CFF"/>
    <w:rsid w:val="00092AE8"/>
    <w:rsid w:val="000A043F"/>
    <w:rsid w:val="000A5A3C"/>
    <w:rsid w:val="000A79F6"/>
    <w:rsid w:val="000B0E37"/>
    <w:rsid w:val="000B392F"/>
    <w:rsid w:val="000C06E6"/>
    <w:rsid w:val="000E3704"/>
    <w:rsid w:val="000E38B2"/>
    <w:rsid w:val="000E51BC"/>
    <w:rsid w:val="000E615B"/>
    <w:rsid w:val="000F6082"/>
    <w:rsid w:val="001013C7"/>
    <w:rsid w:val="00101EDD"/>
    <w:rsid w:val="00133013"/>
    <w:rsid w:val="00140051"/>
    <w:rsid w:val="00152E8A"/>
    <w:rsid w:val="001748D2"/>
    <w:rsid w:val="00185E8E"/>
    <w:rsid w:val="001A64BB"/>
    <w:rsid w:val="001B2D1A"/>
    <w:rsid w:val="001B508A"/>
    <w:rsid w:val="001C02FC"/>
    <w:rsid w:val="001C6C18"/>
    <w:rsid w:val="001D104B"/>
    <w:rsid w:val="001E66D9"/>
    <w:rsid w:val="001F7A45"/>
    <w:rsid w:val="00202BB8"/>
    <w:rsid w:val="00215151"/>
    <w:rsid w:val="002316D3"/>
    <w:rsid w:val="00244CF7"/>
    <w:rsid w:val="00246665"/>
    <w:rsid w:val="002802E6"/>
    <w:rsid w:val="00286D84"/>
    <w:rsid w:val="00295B87"/>
    <w:rsid w:val="002A0936"/>
    <w:rsid w:val="002A6E7F"/>
    <w:rsid w:val="002B2358"/>
    <w:rsid w:val="002B3D5C"/>
    <w:rsid w:val="002B7E51"/>
    <w:rsid w:val="002D382B"/>
    <w:rsid w:val="002D7984"/>
    <w:rsid w:val="002E4D4E"/>
    <w:rsid w:val="002E5D14"/>
    <w:rsid w:val="002F437A"/>
    <w:rsid w:val="002F5EAB"/>
    <w:rsid w:val="00305DAB"/>
    <w:rsid w:val="00314342"/>
    <w:rsid w:val="00315804"/>
    <w:rsid w:val="00316F5F"/>
    <w:rsid w:val="0031777E"/>
    <w:rsid w:val="003325D1"/>
    <w:rsid w:val="003417DA"/>
    <w:rsid w:val="00350E6E"/>
    <w:rsid w:val="0035368B"/>
    <w:rsid w:val="0036094C"/>
    <w:rsid w:val="00366FDB"/>
    <w:rsid w:val="003901FD"/>
    <w:rsid w:val="003B4481"/>
    <w:rsid w:val="003D11DF"/>
    <w:rsid w:val="003D7E6A"/>
    <w:rsid w:val="003E1BA5"/>
    <w:rsid w:val="00410434"/>
    <w:rsid w:val="00423B82"/>
    <w:rsid w:val="004318F0"/>
    <w:rsid w:val="00432305"/>
    <w:rsid w:val="004448B9"/>
    <w:rsid w:val="00454D5B"/>
    <w:rsid w:val="00461437"/>
    <w:rsid w:val="00472DE9"/>
    <w:rsid w:val="00476E94"/>
    <w:rsid w:val="00495168"/>
    <w:rsid w:val="004A3351"/>
    <w:rsid w:val="004B2FEF"/>
    <w:rsid w:val="004B65AF"/>
    <w:rsid w:val="004B7537"/>
    <w:rsid w:val="004E7E9C"/>
    <w:rsid w:val="004F5764"/>
    <w:rsid w:val="00517F66"/>
    <w:rsid w:val="005230BC"/>
    <w:rsid w:val="00537022"/>
    <w:rsid w:val="005838B8"/>
    <w:rsid w:val="0058613D"/>
    <w:rsid w:val="0059155D"/>
    <w:rsid w:val="00592EEF"/>
    <w:rsid w:val="005A2507"/>
    <w:rsid w:val="005B2F39"/>
    <w:rsid w:val="005D3BDE"/>
    <w:rsid w:val="005E296D"/>
    <w:rsid w:val="005E5607"/>
    <w:rsid w:val="005E720C"/>
    <w:rsid w:val="005F273E"/>
    <w:rsid w:val="005F3A0F"/>
    <w:rsid w:val="005F4FB8"/>
    <w:rsid w:val="00610963"/>
    <w:rsid w:val="0061299A"/>
    <w:rsid w:val="006213DF"/>
    <w:rsid w:val="00623532"/>
    <w:rsid w:val="00627E5D"/>
    <w:rsid w:val="00633D4D"/>
    <w:rsid w:val="00643E73"/>
    <w:rsid w:val="00660F25"/>
    <w:rsid w:val="00662170"/>
    <w:rsid w:val="006740C9"/>
    <w:rsid w:val="006744A0"/>
    <w:rsid w:val="006A2163"/>
    <w:rsid w:val="006A50E9"/>
    <w:rsid w:val="006B0591"/>
    <w:rsid w:val="006D576F"/>
    <w:rsid w:val="006F017E"/>
    <w:rsid w:val="006F2B9A"/>
    <w:rsid w:val="006F4B9A"/>
    <w:rsid w:val="00710B56"/>
    <w:rsid w:val="00717F39"/>
    <w:rsid w:val="00734083"/>
    <w:rsid w:val="007348B1"/>
    <w:rsid w:val="00742DEA"/>
    <w:rsid w:val="00753E2C"/>
    <w:rsid w:val="00783F1A"/>
    <w:rsid w:val="007914B1"/>
    <w:rsid w:val="00795B89"/>
    <w:rsid w:val="007A27D3"/>
    <w:rsid w:val="007A41AF"/>
    <w:rsid w:val="007B0451"/>
    <w:rsid w:val="007B37B7"/>
    <w:rsid w:val="007D24D8"/>
    <w:rsid w:val="007E0EFF"/>
    <w:rsid w:val="007E21F8"/>
    <w:rsid w:val="007E54BF"/>
    <w:rsid w:val="007E5C42"/>
    <w:rsid w:val="007F74C8"/>
    <w:rsid w:val="008026FF"/>
    <w:rsid w:val="0081281D"/>
    <w:rsid w:val="0084528B"/>
    <w:rsid w:val="008458B7"/>
    <w:rsid w:val="00855754"/>
    <w:rsid w:val="00855EE2"/>
    <w:rsid w:val="008A34D5"/>
    <w:rsid w:val="008B2925"/>
    <w:rsid w:val="008B5EB0"/>
    <w:rsid w:val="008C59B9"/>
    <w:rsid w:val="008C77FF"/>
    <w:rsid w:val="008D2E81"/>
    <w:rsid w:val="008D39E5"/>
    <w:rsid w:val="008E0FB1"/>
    <w:rsid w:val="008E5A54"/>
    <w:rsid w:val="008F5BAA"/>
    <w:rsid w:val="00905CA3"/>
    <w:rsid w:val="009063A7"/>
    <w:rsid w:val="00910518"/>
    <w:rsid w:val="009301ED"/>
    <w:rsid w:val="00936E22"/>
    <w:rsid w:val="009372A3"/>
    <w:rsid w:val="00942F5A"/>
    <w:rsid w:val="00951851"/>
    <w:rsid w:val="00957F81"/>
    <w:rsid w:val="00971737"/>
    <w:rsid w:val="00980D03"/>
    <w:rsid w:val="0098416C"/>
    <w:rsid w:val="00992989"/>
    <w:rsid w:val="009B1BD3"/>
    <w:rsid w:val="009B25F4"/>
    <w:rsid w:val="009D2B40"/>
    <w:rsid w:val="009D7169"/>
    <w:rsid w:val="009F05FE"/>
    <w:rsid w:val="00A021A6"/>
    <w:rsid w:val="00A157BC"/>
    <w:rsid w:val="00A22102"/>
    <w:rsid w:val="00A24085"/>
    <w:rsid w:val="00A25FC3"/>
    <w:rsid w:val="00A27622"/>
    <w:rsid w:val="00A47C5D"/>
    <w:rsid w:val="00A522C8"/>
    <w:rsid w:val="00A60D58"/>
    <w:rsid w:val="00AD71AA"/>
    <w:rsid w:val="00AD7DA4"/>
    <w:rsid w:val="00AF26C1"/>
    <w:rsid w:val="00AF5023"/>
    <w:rsid w:val="00B27200"/>
    <w:rsid w:val="00B32AA2"/>
    <w:rsid w:val="00B33773"/>
    <w:rsid w:val="00B44CB3"/>
    <w:rsid w:val="00B54055"/>
    <w:rsid w:val="00B7047D"/>
    <w:rsid w:val="00B773DA"/>
    <w:rsid w:val="00B85A38"/>
    <w:rsid w:val="00B94D6B"/>
    <w:rsid w:val="00B974AA"/>
    <w:rsid w:val="00BA1EF5"/>
    <w:rsid w:val="00BB2AB7"/>
    <w:rsid w:val="00BC33F9"/>
    <w:rsid w:val="00BD36A9"/>
    <w:rsid w:val="00BD7648"/>
    <w:rsid w:val="00BE074A"/>
    <w:rsid w:val="00BF56D9"/>
    <w:rsid w:val="00C50EB9"/>
    <w:rsid w:val="00C514B7"/>
    <w:rsid w:val="00C6453F"/>
    <w:rsid w:val="00C64DD0"/>
    <w:rsid w:val="00C661DA"/>
    <w:rsid w:val="00C91FB1"/>
    <w:rsid w:val="00C9349E"/>
    <w:rsid w:val="00C97520"/>
    <w:rsid w:val="00CA246E"/>
    <w:rsid w:val="00CA69B1"/>
    <w:rsid w:val="00CA76D2"/>
    <w:rsid w:val="00CB394C"/>
    <w:rsid w:val="00CC53BA"/>
    <w:rsid w:val="00CD184C"/>
    <w:rsid w:val="00CE47F0"/>
    <w:rsid w:val="00CF6A4D"/>
    <w:rsid w:val="00D01842"/>
    <w:rsid w:val="00D1591D"/>
    <w:rsid w:val="00D318A5"/>
    <w:rsid w:val="00D3288E"/>
    <w:rsid w:val="00D4056E"/>
    <w:rsid w:val="00D413D0"/>
    <w:rsid w:val="00D46695"/>
    <w:rsid w:val="00D55E77"/>
    <w:rsid w:val="00D6560F"/>
    <w:rsid w:val="00D80DCD"/>
    <w:rsid w:val="00D9411D"/>
    <w:rsid w:val="00D968CD"/>
    <w:rsid w:val="00DA7855"/>
    <w:rsid w:val="00DB48BB"/>
    <w:rsid w:val="00DC2F27"/>
    <w:rsid w:val="00DC607B"/>
    <w:rsid w:val="00DE0DD2"/>
    <w:rsid w:val="00DE2676"/>
    <w:rsid w:val="00DE27D2"/>
    <w:rsid w:val="00DF57F1"/>
    <w:rsid w:val="00E02611"/>
    <w:rsid w:val="00E24176"/>
    <w:rsid w:val="00E303DE"/>
    <w:rsid w:val="00E33042"/>
    <w:rsid w:val="00E332B8"/>
    <w:rsid w:val="00E3413C"/>
    <w:rsid w:val="00E35C74"/>
    <w:rsid w:val="00E450CF"/>
    <w:rsid w:val="00E45A0F"/>
    <w:rsid w:val="00E61657"/>
    <w:rsid w:val="00E633B5"/>
    <w:rsid w:val="00E66BCB"/>
    <w:rsid w:val="00E71789"/>
    <w:rsid w:val="00E71FB8"/>
    <w:rsid w:val="00E74050"/>
    <w:rsid w:val="00E80435"/>
    <w:rsid w:val="00E830D1"/>
    <w:rsid w:val="00E85885"/>
    <w:rsid w:val="00E85977"/>
    <w:rsid w:val="00EA7E0A"/>
    <w:rsid w:val="00EB1D1C"/>
    <w:rsid w:val="00EE4A22"/>
    <w:rsid w:val="00F04520"/>
    <w:rsid w:val="00F106E3"/>
    <w:rsid w:val="00F41BE5"/>
    <w:rsid w:val="00F41C41"/>
    <w:rsid w:val="00F47DF9"/>
    <w:rsid w:val="00F56B5C"/>
    <w:rsid w:val="00F56F5E"/>
    <w:rsid w:val="00F62BC9"/>
    <w:rsid w:val="00F67736"/>
    <w:rsid w:val="00F815B5"/>
    <w:rsid w:val="00F94712"/>
    <w:rsid w:val="00F96F27"/>
    <w:rsid w:val="00FA6077"/>
    <w:rsid w:val="00FB0B87"/>
    <w:rsid w:val="00FB2B40"/>
    <w:rsid w:val="00FB4AC8"/>
    <w:rsid w:val="00FC60EB"/>
    <w:rsid w:val="00FD3D98"/>
    <w:rsid w:val="00FF51AC"/>
    <w:rsid w:val="00FF674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4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FB"/>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34B5"/>
    <w:rPr>
      <w:sz w:val="16"/>
      <w:szCs w:val="16"/>
    </w:rPr>
  </w:style>
  <w:style w:type="paragraph" w:styleId="Textocomentario">
    <w:name w:val="annotation text"/>
    <w:basedOn w:val="Normal"/>
    <w:link w:val="TextocomentarioCar"/>
    <w:uiPriority w:val="99"/>
    <w:semiHidden/>
    <w:unhideWhenUsed/>
    <w:rsid w:val="000234B5"/>
    <w:rPr>
      <w:sz w:val="20"/>
      <w:szCs w:val="20"/>
    </w:rPr>
  </w:style>
  <w:style w:type="character" w:customStyle="1" w:styleId="TextocomentarioCar">
    <w:name w:val="Texto comentario Car"/>
    <w:basedOn w:val="Fuentedeprrafopredeter"/>
    <w:link w:val="Textocomentario"/>
    <w:uiPriority w:val="99"/>
    <w:semiHidden/>
    <w:rsid w:val="000234B5"/>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234B5"/>
    <w:rPr>
      <w:b/>
      <w:bCs/>
    </w:rPr>
  </w:style>
  <w:style w:type="character" w:customStyle="1" w:styleId="AsuntodelcomentarioCar">
    <w:name w:val="Asunto del comentario Car"/>
    <w:basedOn w:val="TextocomentarioCar"/>
    <w:link w:val="Asuntodelcomentario"/>
    <w:uiPriority w:val="99"/>
    <w:semiHidden/>
    <w:rsid w:val="000234B5"/>
    <w:rPr>
      <w:rFonts w:ascii="Calibri" w:hAnsi="Calibri" w:cs="Calibri"/>
      <w:b/>
      <w:bCs/>
      <w:sz w:val="20"/>
      <w:szCs w:val="20"/>
    </w:rPr>
  </w:style>
  <w:style w:type="paragraph" w:styleId="Textodeglobo">
    <w:name w:val="Balloon Text"/>
    <w:basedOn w:val="Normal"/>
    <w:link w:val="TextodegloboCar"/>
    <w:uiPriority w:val="99"/>
    <w:semiHidden/>
    <w:unhideWhenUsed/>
    <w:rsid w:val="000234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4B5"/>
    <w:rPr>
      <w:rFonts w:ascii="Segoe UI" w:hAnsi="Segoe UI" w:cs="Segoe UI"/>
      <w:sz w:val="18"/>
      <w:szCs w:val="18"/>
    </w:rPr>
  </w:style>
  <w:style w:type="paragraph" w:styleId="NormalWeb">
    <w:name w:val="Normal (Web)"/>
    <w:basedOn w:val="Normal"/>
    <w:uiPriority w:val="99"/>
    <w:semiHidden/>
    <w:unhideWhenUsed/>
    <w:rsid w:val="006B0591"/>
    <w:pPr>
      <w:spacing w:before="100" w:beforeAutospacing="1" w:after="100" w:afterAutospacing="1"/>
    </w:pPr>
    <w:rPr>
      <w:rFonts w:ascii="Times New Roman" w:eastAsiaTheme="minorEastAsia" w:hAnsi="Times New Roman" w:cs="Times New Roman"/>
      <w:sz w:val="24"/>
      <w:szCs w:val="24"/>
      <w:lang w:eastAsia="es-CL"/>
    </w:rPr>
  </w:style>
  <w:style w:type="paragraph" w:styleId="Encabezado">
    <w:name w:val="header"/>
    <w:basedOn w:val="Normal"/>
    <w:link w:val="EncabezadoCar"/>
    <w:uiPriority w:val="99"/>
    <w:unhideWhenUsed/>
    <w:rsid w:val="00CE47F0"/>
    <w:pPr>
      <w:tabs>
        <w:tab w:val="center" w:pos="4419"/>
        <w:tab w:val="right" w:pos="8838"/>
      </w:tabs>
    </w:pPr>
  </w:style>
  <w:style w:type="character" w:customStyle="1" w:styleId="EncabezadoCar">
    <w:name w:val="Encabezado Car"/>
    <w:basedOn w:val="Fuentedeprrafopredeter"/>
    <w:link w:val="Encabezado"/>
    <w:uiPriority w:val="99"/>
    <w:rsid w:val="00CE47F0"/>
    <w:rPr>
      <w:rFonts w:ascii="Calibri" w:hAnsi="Calibri" w:cs="Calibri"/>
    </w:rPr>
  </w:style>
  <w:style w:type="paragraph" w:styleId="Piedepgina">
    <w:name w:val="footer"/>
    <w:basedOn w:val="Normal"/>
    <w:link w:val="PiedepginaCar"/>
    <w:uiPriority w:val="99"/>
    <w:unhideWhenUsed/>
    <w:rsid w:val="00CE47F0"/>
    <w:pPr>
      <w:tabs>
        <w:tab w:val="center" w:pos="4419"/>
        <w:tab w:val="right" w:pos="8838"/>
      </w:tabs>
    </w:pPr>
  </w:style>
  <w:style w:type="character" w:customStyle="1" w:styleId="PiedepginaCar">
    <w:name w:val="Pie de página Car"/>
    <w:basedOn w:val="Fuentedeprrafopredeter"/>
    <w:link w:val="Piedepgina"/>
    <w:uiPriority w:val="99"/>
    <w:rsid w:val="00CE47F0"/>
    <w:rPr>
      <w:rFonts w:ascii="Calibri" w:hAnsi="Calibri" w:cs="Calibri"/>
    </w:rPr>
  </w:style>
  <w:style w:type="paragraph" w:styleId="Prrafodelista">
    <w:name w:val="List Paragraph"/>
    <w:basedOn w:val="Normal"/>
    <w:uiPriority w:val="34"/>
    <w:qFormat/>
    <w:rsid w:val="00215151"/>
    <w:pPr>
      <w:ind w:left="720"/>
      <w:contextualSpacing/>
    </w:pPr>
  </w:style>
  <w:style w:type="paragraph" w:customStyle="1" w:styleId="Cuerpo">
    <w:name w:val="Cuerpo"/>
    <w:rsid w:val="00D9411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character" w:styleId="Hipervnculo">
    <w:name w:val="Hyperlink"/>
    <w:basedOn w:val="Fuentedeprrafopredeter"/>
    <w:uiPriority w:val="99"/>
    <w:unhideWhenUsed/>
    <w:rsid w:val="0031777E"/>
    <w:rPr>
      <w:color w:val="6EAC1C" w:themeColor="hyperlink"/>
      <w:u w:val="single"/>
    </w:rPr>
  </w:style>
  <w:style w:type="table" w:customStyle="1" w:styleId="Tabladecuadrcula5oscura-nfasis11">
    <w:name w:val="Tabla de cuadrícula 5 oscura - Énfasis 11"/>
    <w:basedOn w:val="Tablanormal"/>
    <w:uiPriority w:val="50"/>
    <w:rsid w:val="00B974A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Tabladelista1clara-nfasis11">
    <w:name w:val="Tabla de lista 1 clara - Énfasis 11"/>
    <w:basedOn w:val="Tablanormal"/>
    <w:uiPriority w:val="46"/>
    <w:rsid w:val="00B974A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Tabladecuadrcula2-nfasis11">
    <w:name w:val="Tabla de cuadrícula 2 - Énfasis 11"/>
    <w:basedOn w:val="Tablanormal"/>
    <w:uiPriority w:val="47"/>
    <w:rsid w:val="00B974AA"/>
    <w:pPr>
      <w:spacing w:after="0" w:line="240" w:lineRule="auto"/>
    </w:pPr>
    <w:tblPr>
      <w:tblStyleRowBandSize w:val="1"/>
      <w:tblStyleColBandSize w:val="1"/>
      <w:tblInd w:w="0" w:type="dxa"/>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CellMar>
        <w:top w:w="0" w:type="dxa"/>
        <w:left w:w="108" w:type="dxa"/>
        <w:bottom w:w="0" w:type="dxa"/>
        <w:right w:w="108" w:type="dxa"/>
      </w:tblCellMar>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FB"/>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34B5"/>
    <w:rPr>
      <w:sz w:val="16"/>
      <w:szCs w:val="16"/>
    </w:rPr>
  </w:style>
  <w:style w:type="paragraph" w:styleId="Textocomentario">
    <w:name w:val="annotation text"/>
    <w:basedOn w:val="Normal"/>
    <w:link w:val="TextocomentarioCar"/>
    <w:uiPriority w:val="99"/>
    <w:semiHidden/>
    <w:unhideWhenUsed/>
    <w:rsid w:val="000234B5"/>
    <w:rPr>
      <w:sz w:val="20"/>
      <w:szCs w:val="20"/>
    </w:rPr>
  </w:style>
  <w:style w:type="character" w:customStyle="1" w:styleId="TextocomentarioCar">
    <w:name w:val="Texto comentario Car"/>
    <w:basedOn w:val="Fuentedeprrafopredeter"/>
    <w:link w:val="Textocomentario"/>
    <w:uiPriority w:val="99"/>
    <w:semiHidden/>
    <w:rsid w:val="000234B5"/>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234B5"/>
    <w:rPr>
      <w:b/>
      <w:bCs/>
    </w:rPr>
  </w:style>
  <w:style w:type="character" w:customStyle="1" w:styleId="AsuntodelcomentarioCar">
    <w:name w:val="Asunto del comentario Car"/>
    <w:basedOn w:val="TextocomentarioCar"/>
    <w:link w:val="Asuntodelcomentario"/>
    <w:uiPriority w:val="99"/>
    <w:semiHidden/>
    <w:rsid w:val="000234B5"/>
    <w:rPr>
      <w:rFonts w:ascii="Calibri" w:hAnsi="Calibri" w:cs="Calibri"/>
      <w:b/>
      <w:bCs/>
      <w:sz w:val="20"/>
      <w:szCs w:val="20"/>
    </w:rPr>
  </w:style>
  <w:style w:type="paragraph" w:styleId="Textodeglobo">
    <w:name w:val="Balloon Text"/>
    <w:basedOn w:val="Normal"/>
    <w:link w:val="TextodegloboCar"/>
    <w:uiPriority w:val="99"/>
    <w:semiHidden/>
    <w:unhideWhenUsed/>
    <w:rsid w:val="000234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4B5"/>
    <w:rPr>
      <w:rFonts w:ascii="Segoe UI" w:hAnsi="Segoe UI" w:cs="Segoe UI"/>
      <w:sz w:val="18"/>
      <w:szCs w:val="18"/>
    </w:rPr>
  </w:style>
  <w:style w:type="paragraph" w:styleId="NormalWeb">
    <w:name w:val="Normal (Web)"/>
    <w:basedOn w:val="Normal"/>
    <w:uiPriority w:val="99"/>
    <w:semiHidden/>
    <w:unhideWhenUsed/>
    <w:rsid w:val="006B0591"/>
    <w:pPr>
      <w:spacing w:before="100" w:beforeAutospacing="1" w:after="100" w:afterAutospacing="1"/>
    </w:pPr>
    <w:rPr>
      <w:rFonts w:ascii="Times New Roman" w:eastAsiaTheme="minorEastAsia" w:hAnsi="Times New Roman" w:cs="Times New Roman"/>
      <w:sz w:val="24"/>
      <w:szCs w:val="24"/>
      <w:lang w:eastAsia="es-CL"/>
    </w:rPr>
  </w:style>
  <w:style w:type="paragraph" w:styleId="Encabezado">
    <w:name w:val="header"/>
    <w:basedOn w:val="Normal"/>
    <w:link w:val="EncabezadoCar"/>
    <w:uiPriority w:val="99"/>
    <w:unhideWhenUsed/>
    <w:rsid w:val="00CE47F0"/>
    <w:pPr>
      <w:tabs>
        <w:tab w:val="center" w:pos="4419"/>
        <w:tab w:val="right" w:pos="8838"/>
      </w:tabs>
    </w:pPr>
  </w:style>
  <w:style w:type="character" w:customStyle="1" w:styleId="EncabezadoCar">
    <w:name w:val="Encabezado Car"/>
    <w:basedOn w:val="Fuentedeprrafopredeter"/>
    <w:link w:val="Encabezado"/>
    <w:uiPriority w:val="99"/>
    <w:rsid w:val="00CE47F0"/>
    <w:rPr>
      <w:rFonts w:ascii="Calibri" w:hAnsi="Calibri" w:cs="Calibri"/>
    </w:rPr>
  </w:style>
  <w:style w:type="paragraph" w:styleId="Piedepgina">
    <w:name w:val="footer"/>
    <w:basedOn w:val="Normal"/>
    <w:link w:val="PiedepginaCar"/>
    <w:uiPriority w:val="99"/>
    <w:unhideWhenUsed/>
    <w:rsid w:val="00CE47F0"/>
    <w:pPr>
      <w:tabs>
        <w:tab w:val="center" w:pos="4419"/>
        <w:tab w:val="right" w:pos="8838"/>
      </w:tabs>
    </w:pPr>
  </w:style>
  <w:style w:type="character" w:customStyle="1" w:styleId="PiedepginaCar">
    <w:name w:val="Pie de página Car"/>
    <w:basedOn w:val="Fuentedeprrafopredeter"/>
    <w:link w:val="Piedepgina"/>
    <w:uiPriority w:val="99"/>
    <w:rsid w:val="00CE47F0"/>
    <w:rPr>
      <w:rFonts w:ascii="Calibri" w:hAnsi="Calibri" w:cs="Calibri"/>
    </w:rPr>
  </w:style>
  <w:style w:type="paragraph" w:styleId="Prrafodelista">
    <w:name w:val="List Paragraph"/>
    <w:basedOn w:val="Normal"/>
    <w:uiPriority w:val="34"/>
    <w:qFormat/>
    <w:rsid w:val="00215151"/>
    <w:pPr>
      <w:ind w:left="720"/>
      <w:contextualSpacing/>
    </w:pPr>
  </w:style>
  <w:style w:type="paragraph" w:customStyle="1" w:styleId="Cuerpo">
    <w:name w:val="Cuerpo"/>
    <w:rsid w:val="00D9411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character" w:styleId="Hipervnculo">
    <w:name w:val="Hyperlink"/>
    <w:basedOn w:val="Fuentedeprrafopredeter"/>
    <w:uiPriority w:val="99"/>
    <w:unhideWhenUsed/>
    <w:rsid w:val="0031777E"/>
    <w:rPr>
      <w:color w:val="6EAC1C" w:themeColor="hyperlink"/>
      <w:u w:val="single"/>
    </w:rPr>
  </w:style>
  <w:style w:type="table" w:customStyle="1" w:styleId="Tabladecuadrcula5oscura-nfasis11">
    <w:name w:val="Tabla de cuadrícula 5 oscura - Énfasis 11"/>
    <w:basedOn w:val="Tablanormal"/>
    <w:uiPriority w:val="50"/>
    <w:rsid w:val="00B974A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Tabladelista1clara-nfasis11">
    <w:name w:val="Tabla de lista 1 clara - Énfasis 11"/>
    <w:basedOn w:val="Tablanormal"/>
    <w:uiPriority w:val="46"/>
    <w:rsid w:val="00B974A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Tabladecuadrcula2-nfasis11">
    <w:name w:val="Tabla de cuadrícula 2 - Énfasis 11"/>
    <w:basedOn w:val="Tablanormal"/>
    <w:uiPriority w:val="47"/>
    <w:rsid w:val="00B974AA"/>
    <w:pPr>
      <w:spacing w:after="0" w:line="240" w:lineRule="auto"/>
    </w:pPr>
    <w:tblPr>
      <w:tblStyleRowBandSize w:val="1"/>
      <w:tblStyleColBandSize w:val="1"/>
      <w:tblInd w:w="0" w:type="dxa"/>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CellMar>
        <w:top w:w="0" w:type="dxa"/>
        <w:left w:w="108" w:type="dxa"/>
        <w:bottom w:w="0" w:type="dxa"/>
        <w:right w:w="108" w:type="dxa"/>
      </w:tblCellMar>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5378">
      <w:bodyDiv w:val="1"/>
      <w:marLeft w:val="0"/>
      <w:marRight w:val="0"/>
      <w:marTop w:val="0"/>
      <w:marBottom w:val="0"/>
      <w:divBdr>
        <w:top w:val="none" w:sz="0" w:space="0" w:color="auto"/>
        <w:left w:val="none" w:sz="0" w:space="0" w:color="auto"/>
        <w:bottom w:val="none" w:sz="0" w:space="0" w:color="auto"/>
        <w:right w:val="none" w:sz="0" w:space="0" w:color="auto"/>
      </w:divBdr>
    </w:div>
    <w:div w:id="143863958">
      <w:bodyDiv w:val="1"/>
      <w:marLeft w:val="0"/>
      <w:marRight w:val="0"/>
      <w:marTop w:val="0"/>
      <w:marBottom w:val="0"/>
      <w:divBdr>
        <w:top w:val="none" w:sz="0" w:space="0" w:color="auto"/>
        <w:left w:val="none" w:sz="0" w:space="0" w:color="auto"/>
        <w:bottom w:val="none" w:sz="0" w:space="0" w:color="auto"/>
        <w:right w:val="none" w:sz="0" w:space="0" w:color="auto"/>
      </w:divBdr>
    </w:div>
    <w:div w:id="589314528">
      <w:bodyDiv w:val="1"/>
      <w:marLeft w:val="0"/>
      <w:marRight w:val="0"/>
      <w:marTop w:val="0"/>
      <w:marBottom w:val="0"/>
      <w:divBdr>
        <w:top w:val="none" w:sz="0" w:space="0" w:color="auto"/>
        <w:left w:val="none" w:sz="0" w:space="0" w:color="auto"/>
        <w:bottom w:val="none" w:sz="0" w:space="0" w:color="auto"/>
        <w:right w:val="none" w:sz="0" w:space="0" w:color="auto"/>
      </w:divBdr>
    </w:div>
    <w:div w:id="1428036903">
      <w:bodyDiv w:val="1"/>
      <w:marLeft w:val="0"/>
      <w:marRight w:val="0"/>
      <w:marTop w:val="0"/>
      <w:marBottom w:val="0"/>
      <w:divBdr>
        <w:top w:val="none" w:sz="0" w:space="0" w:color="auto"/>
        <w:left w:val="none" w:sz="0" w:space="0" w:color="auto"/>
        <w:bottom w:val="none" w:sz="0" w:space="0" w:color="auto"/>
        <w:right w:val="none" w:sz="0" w:space="0" w:color="auto"/>
      </w:divBdr>
      <w:divsChild>
        <w:div w:id="315692735">
          <w:marLeft w:val="547"/>
          <w:marRight w:val="0"/>
          <w:marTop w:val="0"/>
          <w:marBottom w:val="120"/>
          <w:divBdr>
            <w:top w:val="none" w:sz="0" w:space="0" w:color="auto"/>
            <w:left w:val="none" w:sz="0" w:space="0" w:color="auto"/>
            <w:bottom w:val="none" w:sz="0" w:space="0" w:color="auto"/>
            <w:right w:val="none" w:sz="0" w:space="0" w:color="auto"/>
          </w:divBdr>
        </w:div>
        <w:div w:id="1095709635">
          <w:marLeft w:val="547"/>
          <w:marRight w:val="0"/>
          <w:marTop w:val="0"/>
          <w:marBottom w:val="120"/>
          <w:divBdr>
            <w:top w:val="none" w:sz="0" w:space="0" w:color="auto"/>
            <w:left w:val="none" w:sz="0" w:space="0" w:color="auto"/>
            <w:bottom w:val="none" w:sz="0" w:space="0" w:color="auto"/>
            <w:right w:val="none" w:sz="0" w:space="0" w:color="auto"/>
          </w:divBdr>
        </w:div>
        <w:div w:id="1833569693">
          <w:marLeft w:val="547"/>
          <w:marRight w:val="0"/>
          <w:marTop w:val="0"/>
          <w:marBottom w:val="120"/>
          <w:divBdr>
            <w:top w:val="none" w:sz="0" w:space="0" w:color="auto"/>
            <w:left w:val="none" w:sz="0" w:space="0" w:color="auto"/>
            <w:bottom w:val="none" w:sz="0" w:space="0" w:color="auto"/>
            <w:right w:val="none" w:sz="0" w:space="0" w:color="auto"/>
          </w:divBdr>
        </w:div>
      </w:divsChild>
    </w:div>
    <w:div w:id="1790860220">
      <w:bodyDiv w:val="1"/>
      <w:marLeft w:val="0"/>
      <w:marRight w:val="0"/>
      <w:marTop w:val="0"/>
      <w:marBottom w:val="0"/>
      <w:divBdr>
        <w:top w:val="none" w:sz="0" w:space="0" w:color="auto"/>
        <w:left w:val="none" w:sz="0" w:space="0" w:color="auto"/>
        <w:bottom w:val="none" w:sz="0" w:space="0" w:color="auto"/>
        <w:right w:val="none" w:sz="0" w:space="0" w:color="auto"/>
      </w:divBdr>
    </w:div>
    <w:div w:id="1827865292">
      <w:bodyDiv w:val="1"/>
      <w:marLeft w:val="0"/>
      <w:marRight w:val="0"/>
      <w:marTop w:val="0"/>
      <w:marBottom w:val="0"/>
      <w:divBdr>
        <w:top w:val="none" w:sz="0" w:space="0" w:color="auto"/>
        <w:left w:val="none" w:sz="0" w:space="0" w:color="auto"/>
        <w:bottom w:val="none" w:sz="0" w:space="0" w:color="auto"/>
        <w:right w:val="none" w:sz="0" w:space="0" w:color="auto"/>
      </w:divBdr>
      <w:divsChild>
        <w:div w:id="246234820">
          <w:marLeft w:val="547"/>
          <w:marRight w:val="0"/>
          <w:marTop w:val="0"/>
          <w:marBottom w:val="120"/>
          <w:divBdr>
            <w:top w:val="none" w:sz="0" w:space="0" w:color="auto"/>
            <w:left w:val="none" w:sz="0" w:space="0" w:color="auto"/>
            <w:bottom w:val="none" w:sz="0" w:space="0" w:color="auto"/>
            <w:right w:val="none" w:sz="0" w:space="0" w:color="auto"/>
          </w:divBdr>
        </w:div>
      </w:divsChild>
    </w:div>
    <w:div w:id="19897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84F8-69DA-43EA-BB8B-9E2873A2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3006</Words>
  <Characters>16536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Luz Duran</dc:creator>
  <cp:lastModifiedBy>drobles</cp:lastModifiedBy>
  <cp:revision>2</cp:revision>
  <cp:lastPrinted>2017-08-31T11:54:00Z</cp:lastPrinted>
  <dcterms:created xsi:type="dcterms:W3CDTF">2017-09-05T18:25:00Z</dcterms:created>
  <dcterms:modified xsi:type="dcterms:W3CDTF">2017-09-05T18:25:00Z</dcterms:modified>
</cp:coreProperties>
</file>