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C53E0" w14:textId="77777777" w:rsidR="00BE1B19" w:rsidRDefault="0009569D" w:rsidP="003013A3">
      <w:pPr>
        <w:pBdr>
          <w:bottom w:val="single" w:sz="12" w:space="1" w:color="auto"/>
        </w:pBdr>
        <w:spacing w:line="360" w:lineRule="auto"/>
        <w:jc w:val="center"/>
        <w:rPr>
          <w:rFonts w:ascii="Arial" w:hAnsi="Arial" w:cs="Arial"/>
          <w:b/>
          <w:sz w:val="24"/>
          <w:szCs w:val="24"/>
        </w:rPr>
      </w:pPr>
      <w:bookmarkStart w:id="0" w:name="_GoBack"/>
      <w:bookmarkEnd w:id="0"/>
      <w:r w:rsidRPr="005B7F9F">
        <w:rPr>
          <w:rFonts w:ascii="Arial" w:hAnsi="Arial" w:cs="Arial"/>
          <w:b/>
          <w:sz w:val="24"/>
          <w:szCs w:val="24"/>
        </w:rPr>
        <w:t xml:space="preserve">MINUTA </w:t>
      </w:r>
    </w:p>
    <w:p w14:paraId="781C9132" w14:textId="2B0CDB78" w:rsidR="009D419A" w:rsidRPr="005B7F9F" w:rsidRDefault="0009569D" w:rsidP="003013A3">
      <w:pPr>
        <w:pBdr>
          <w:bottom w:val="single" w:sz="12" w:space="1" w:color="auto"/>
        </w:pBdr>
        <w:spacing w:line="360" w:lineRule="auto"/>
        <w:jc w:val="center"/>
        <w:rPr>
          <w:rFonts w:ascii="Arial" w:hAnsi="Arial" w:cs="Arial"/>
          <w:b/>
          <w:sz w:val="24"/>
          <w:szCs w:val="24"/>
        </w:rPr>
      </w:pPr>
      <w:r w:rsidRPr="005B7F9F">
        <w:rPr>
          <w:rFonts w:ascii="Arial" w:hAnsi="Arial" w:cs="Arial"/>
          <w:b/>
          <w:sz w:val="24"/>
          <w:szCs w:val="24"/>
        </w:rPr>
        <w:t>PDL REFORMA A LA EDUCACIÓN SUPERIOR</w:t>
      </w:r>
      <w:r w:rsidR="00D76FC6" w:rsidRPr="005B7F9F">
        <w:rPr>
          <w:rFonts w:ascii="Arial" w:hAnsi="Arial" w:cs="Arial"/>
          <w:b/>
          <w:sz w:val="24"/>
          <w:szCs w:val="24"/>
        </w:rPr>
        <w:t xml:space="preserve"> </w:t>
      </w:r>
    </w:p>
    <w:p w14:paraId="263C682E" w14:textId="118E3246" w:rsidR="001763D8" w:rsidRPr="001763D8" w:rsidRDefault="001763D8" w:rsidP="001763D8">
      <w:pPr>
        <w:spacing w:line="360" w:lineRule="auto"/>
        <w:jc w:val="both"/>
        <w:rPr>
          <w:rFonts w:ascii="Arial" w:hAnsi="Arial" w:cs="Arial"/>
          <w:b/>
          <w:sz w:val="24"/>
          <w:szCs w:val="24"/>
        </w:rPr>
      </w:pPr>
      <w:r w:rsidRPr="001763D8">
        <w:rPr>
          <w:rFonts w:ascii="Arial" w:hAnsi="Arial" w:cs="Arial"/>
          <w:b/>
          <w:sz w:val="24"/>
          <w:szCs w:val="24"/>
        </w:rPr>
        <w:t xml:space="preserve">I. </w:t>
      </w:r>
      <w:r w:rsidRPr="00BE1B19">
        <w:rPr>
          <w:rFonts w:ascii="Arial" w:hAnsi="Arial" w:cs="Arial"/>
          <w:b/>
          <w:sz w:val="24"/>
          <w:szCs w:val="24"/>
          <w:u w:val="single"/>
        </w:rPr>
        <w:t>ANTECEDENTES</w:t>
      </w:r>
      <w:r w:rsidR="00941BFE" w:rsidRPr="00BE1B19">
        <w:rPr>
          <w:rFonts w:ascii="Arial" w:hAnsi="Arial" w:cs="Arial"/>
          <w:b/>
          <w:sz w:val="24"/>
          <w:szCs w:val="24"/>
          <w:u w:val="single"/>
        </w:rPr>
        <w:t>:</w:t>
      </w:r>
    </w:p>
    <w:p w14:paraId="4DE9178F" w14:textId="7749F3BA" w:rsidR="001763D8" w:rsidRDefault="001763D8" w:rsidP="001763D8">
      <w:pPr>
        <w:spacing w:line="360" w:lineRule="auto"/>
        <w:jc w:val="both"/>
        <w:rPr>
          <w:rFonts w:ascii="Arial" w:hAnsi="Arial" w:cs="Arial"/>
          <w:sz w:val="24"/>
          <w:szCs w:val="24"/>
        </w:rPr>
      </w:pPr>
      <w:r>
        <w:rPr>
          <w:rFonts w:ascii="Arial" w:hAnsi="Arial" w:cs="Arial"/>
          <w:sz w:val="24"/>
          <w:szCs w:val="24"/>
        </w:rPr>
        <w:t>El Proyecto de Ley de Reforma a la Educación Superior (Boletín N°10.783-04) actualmente se encuentra en Segundo Trámite Constitucional, en la Comisión de Educación del Senado</w:t>
      </w:r>
      <w:r w:rsidR="00DA0AD6">
        <w:rPr>
          <w:rFonts w:ascii="Arial" w:hAnsi="Arial" w:cs="Arial"/>
          <w:sz w:val="24"/>
          <w:szCs w:val="24"/>
        </w:rPr>
        <w:t xml:space="preserve">. </w:t>
      </w:r>
      <w:r w:rsidR="004A44F8">
        <w:rPr>
          <w:rFonts w:ascii="Arial" w:hAnsi="Arial" w:cs="Arial"/>
          <w:sz w:val="24"/>
          <w:szCs w:val="24"/>
        </w:rPr>
        <w:t xml:space="preserve">Durante </w:t>
      </w:r>
      <w:r w:rsidR="002B00A4">
        <w:rPr>
          <w:rFonts w:ascii="Arial" w:hAnsi="Arial" w:cs="Arial"/>
          <w:sz w:val="24"/>
          <w:szCs w:val="24"/>
        </w:rPr>
        <w:t xml:space="preserve">este </w:t>
      </w:r>
      <w:r w:rsidR="004A44F8">
        <w:rPr>
          <w:rFonts w:ascii="Arial" w:hAnsi="Arial" w:cs="Arial"/>
          <w:sz w:val="24"/>
          <w:szCs w:val="24"/>
        </w:rPr>
        <w:t xml:space="preserve">segundo trámite se celebraron múltiples audiencias en las que </w:t>
      </w:r>
      <w:r w:rsidR="002B00A4">
        <w:rPr>
          <w:rFonts w:ascii="Arial" w:hAnsi="Arial" w:cs="Arial"/>
          <w:sz w:val="24"/>
          <w:szCs w:val="24"/>
        </w:rPr>
        <w:t xml:space="preserve">representantes de las instituciones y de organismos públicos del sector, los estudiantes y diversos expertos en educación superior plantearon </w:t>
      </w:r>
      <w:r w:rsidR="0090305E">
        <w:rPr>
          <w:rFonts w:ascii="Arial" w:hAnsi="Arial" w:cs="Arial"/>
          <w:sz w:val="24"/>
          <w:szCs w:val="24"/>
        </w:rPr>
        <w:t>sus</w:t>
      </w:r>
      <w:r w:rsidR="002B00A4">
        <w:rPr>
          <w:rFonts w:ascii="Arial" w:hAnsi="Arial" w:cs="Arial"/>
          <w:sz w:val="24"/>
          <w:szCs w:val="24"/>
        </w:rPr>
        <w:t xml:space="preserve"> observaciones al proyecto de ley</w:t>
      </w:r>
      <w:r w:rsidR="00B069A3">
        <w:rPr>
          <w:rFonts w:ascii="Arial" w:hAnsi="Arial" w:cs="Arial"/>
          <w:sz w:val="24"/>
          <w:szCs w:val="24"/>
        </w:rPr>
        <w:t xml:space="preserve"> (PDL)</w:t>
      </w:r>
      <w:r w:rsidR="002B00A4">
        <w:rPr>
          <w:rFonts w:ascii="Arial" w:hAnsi="Arial" w:cs="Arial"/>
          <w:sz w:val="24"/>
          <w:szCs w:val="24"/>
        </w:rPr>
        <w:t xml:space="preserve">. </w:t>
      </w:r>
    </w:p>
    <w:p w14:paraId="16197E38" w14:textId="57265FF2" w:rsidR="002B00A4" w:rsidRDefault="002B00A4" w:rsidP="001763D8">
      <w:pPr>
        <w:spacing w:line="360" w:lineRule="auto"/>
        <w:jc w:val="both"/>
        <w:rPr>
          <w:rFonts w:ascii="Arial" w:hAnsi="Arial" w:cs="Arial"/>
          <w:sz w:val="24"/>
          <w:szCs w:val="24"/>
        </w:rPr>
      </w:pPr>
      <w:r>
        <w:rPr>
          <w:rFonts w:ascii="Arial" w:hAnsi="Arial" w:cs="Arial"/>
          <w:sz w:val="24"/>
          <w:szCs w:val="24"/>
        </w:rPr>
        <w:t xml:space="preserve">Después de escuchar las referidas intervenciones, el Ejecutivo se abocó a estudiar posibles modificaciones al </w:t>
      </w:r>
      <w:r w:rsidR="00B069A3">
        <w:rPr>
          <w:rFonts w:ascii="Arial" w:hAnsi="Arial" w:cs="Arial"/>
          <w:sz w:val="24"/>
          <w:szCs w:val="24"/>
        </w:rPr>
        <w:t xml:space="preserve">PDL </w:t>
      </w:r>
      <w:r>
        <w:rPr>
          <w:rFonts w:ascii="Arial" w:hAnsi="Arial" w:cs="Arial"/>
          <w:sz w:val="24"/>
          <w:szCs w:val="24"/>
        </w:rPr>
        <w:t xml:space="preserve">con el objeto de: </w:t>
      </w:r>
    </w:p>
    <w:p w14:paraId="5A4777FB" w14:textId="3393236C" w:rsidR="002B00A4" w:rsidRPr="002B00A4" w:rsidRDefault="002B00A4" w:rsidP="002B00A4">
      <w:pPr>
        <w:pStyle w:val="Prrafodelista"/>
        <w:numPr>
          <w:ilvl w:val="0"/>
          <w:numId w:val="10"/>
        </w:numPr>
        <w:spacing w:line="360" w:lineRule="auto"/>
        <w:jc w:val="both"/>
        <w:rPr>
          <w:rFonts w:ascii="Arial" w:hAnsi="Arial" w:cs="Arial"/>
          <w:sz w:val="24"/>
          <w:szCs w:val="24"/>
        </w:rPr>
      </w:pPr>
      <w:r w:rsidRPr="00BE1B19">
        <w:rPr>
          <w:rFonts w:ascii="Arial" w:hAnsi="Arial" w:cs="Arial"/>
          <w:b/>
          <w:sz w:val="24"/>
          <w:szCs w:val="24"/>
        </w:rPr>
        <w:t>Evitar una sobre regulación del sector</w:t>
      </w:r>
      <w:r w:rsidRPr="002B00A4">
        <w:rPr>
          <w:rFonts w:ascii="Arial" w:hAnsi="Arial" w:cs="Arial"/>
          <w:sz w:val="24"/>
          <w:szCs w:val="24"/>
        </w:rPr>
        <w:t xml:space="preserve">, buscando alternativas regulatorias que sean más eficientes y </w:t>
      </w:r>
      <w:r w:rsidR="0090305E">
        <w:rPr>
          <w:rFonts w:ascii="Arial" w:hAnsi="Arial" w:cs="Arial"/>
          <w:sz w:val="24"/>
          <w:szCs w:val="24"/>
        </w:rPr>
        <w:t xml:space="preserve">permitan una gestión adecuada de </w:t>
      </w:r>
      <w:r w:rsidRPr="002B00A4">
        <w:rPr>
          <w:rFonts w:ascii="Arial" w:hAnsi="Arial" w:cs="Arial"/>
          <w:sz w:val="24"/>
          <w:szCs w:val="24"/>
        </w:rPr>
        <w:t xml:space="preserve">las instituciones </w:t>
      </w:r>
      <w:r w:rsidR="00A72581">
        <w:rPr>
          <w:rFonts w:ascii="Arial" w:hAnsi="Arial" w:cs="Arial"/>
          <w:sz w:val="24"/>
          <w:szCs w:val="24"/>
        </w:rPr>
        <w:t>de educación superior</w:t>
      </w:r>
      <w:r w:rsidRPr="002B00A4">
        <w:rPr>
          <w:rFonts w:ascii="Arial" w:hAnsi="Arial" w:cs="Arial"/>
          <w:sz w:val="24"/>
          <w:szCs w:val="24"/>
        </w:rPr>
        <w:t xml:space="preserve">. </w:t>
      </w:r>
    </w:p>
    <w:p w14:paraId="04AD3122" w14:textId="77777777" w:rsidR="001E6052" w:rsidRDefault="002B00A4" w:rsidP="001E6052">
      <w:pPr>
        <w:pStyle w:val="Prrafodelista"/>
        <w:numPr>
          <w:ilvl w:val="0"/>
          <w:numId w:val="10"/>
        </w:numPr>
        <w:spacing w:line="360" w:lineRule="auto"/>
        <w:jc w:val="both"/>
        <w:rPr>
          <w:rFonts w:ascii="Arial" w:hAnsi="Arial" w:cs="Arial"/>
          <w:sz w:val="24"/>
          <w:szCs w:val="24"/>
        </w:rPr>
      </w:pPr>
      <w:r>
        <w:rPr>
          <w:rFonts w:ascii="Arial" w:hAnsi="Arial" w:cs="Arial"/>
          <w:sz w:val="24"/>
          <w:szCs w:val="24"/>
        </w:rPr>
        <w:t xml:space="preserve">Establecer </w:t>
      </w:r>
      <w:r w:rsidRPr="00BE1B19">
        <w:rPr>
          <w:rFonts w:ascii="Arial" w:hAnsi="Arial" w:cs="Arial"/>
          <w:b/>
          <w:sz w:val="24"/>
          <w:szCs w:val="24"/>
        </w:rPr>
        <w:t xml:space="preserve">contrapesos a las decisiones de la Subsecretaría de Educación </w:t>
      </w:r>
      <w:r>
        <w:rPr>
          <w:rFonts w:ascii="Arial" w:hAnsi="Arial" w:cs="Arial"/>
          <w:sz w:val="24"/>
          <w:szCs w:val="24"/>
        </w:rPr>
        <w:t xml:space="preserve">Superior en aspectos tales como la administración del Sistema de Acceso. De este modo, </w:t>
      </w:r>
      <w:r w:rsidRPr="00BE1B19">
        <w:rPr>
          <w:rFonts w:ascii="Arial" w:hAnsi="Arial" w:cs="Arial"/>
          <w:b/>
          <w:sz w:val="24"/>
          <w:szCs w:val="24"/>
        </w:rPr>
        <w:t>fomentar la participación de otros actores relevantes</w:t>
      </w:r>
      <w:r>
        <w:rPr>
          <w:rFonts w:ascii="Arial" w:hAnsi="Arial" w:cs="Arial"/>
          <w:sz w:val="24"/>
          <w:szCs w:val="24"/>
        </w:rPr>
        <w:t xml:space="preserve"> en la adopción de decisiones estratégicas para el Sistema, enriqueciendo las definiciones en materia de política educativa. </w:t>
      </w:r>
    </w:p>
    <w:p w14:paraId="55FA0B12" w14:textId="2ACDA99C" w:rsidR="00494607" w:rsidRDefault="00494607" w:rsidP="00494607">
      <w:pPr>
        <w:spacing w:line="360" w:lineRule="auto"/>
        <w:jc w:val="both"/>
        <w:rPr>
          <w:rFonts w:ascii="Arial" w:hAnsi="Arial" w:cs="Arial"/>
          <w:sz w:val="24"/>
          <w:szCs w:val="24"/>
        </w:rPr>
      </w:pPr>
      <w:r>
        <w:rPr>
          <w:rFonts w:ascii="Arial" w:hAnsi="Arial" w:cs="Arial"/>
          <w:sz w:val="24"/>
          <w:szCs w:val="24"/>
        </w:rPr>
        <w:t>Por su parte</w:t>
      </w:r>
      <w:r w:rsidRPr="001E6052">
        <w:rPr>
          <w:rFonts w:ascii="Arial" w:hAnsi="Arial" w:cs="Arial"/>
          <w:sz w:val="24"/>
          <w:szCs w:val="24"/>
        </w:rPr>
        <w:t xml:space="preserve">, </w:t>
      </w:r>
      <w:r>
        <w:rPr>
          <w:rFonts w:ascii="Arial" w:hAnsi="Arial" w:cs="Arial"/>
          <w:sz w:val="24"/>
          <w:szCs w:val="24"/>
        </w:rPr>
        <w:t>la presente propuesta de modificaciones al PDL mantiene los siguientes principios sobre los cuales se ha alcanzado un consenso transversal:</w:t>
      </w:r>
    </w:p>
    <w:p w14:paraId="748796C4" w14:textId="1E717530" w:rsidR="00494607" w:rsidRDefault="00494607" w:rsidP="00494607">
      <w:pPr>
        <w:pStyle w:val="Prrafodelista"/>
        <w:numPr>
          <w:ilvl w:val="0"/>
          <w:numId w:val="11"/>
        </w:numPr>
        <w:spacing w:line="360" w:lineRule="auto"/>
        <w:jc w:val="both"/>
        <w:rPr>
          <w:rFonts w:ascii="Arial" w:hAnsi="Arial" w:cs="Arial"/>
          <w:sz w:val="24"/>
          <w:szCs w:val="24"/>
        </w:rPr>
      </w:pPr>
      <w:r>
        <w:rPr>
          <w:rFonts w:ascii="Arial" w:hAnsi="Arial" w:cs="Arial"/>
          <w:sz w:val="24"/>
          <w:szCs w:val="24"/>
        </w:rPr>
        <w:t xml:space="preserve">Una Reforma a la Educación Superior integral, que avance en todos y cada uno de los aspectos esenciales de la educación superior, </w:t>
      </w:r>
      <w:r w:rsidRPr="00016307">
        <w:rPr>
          <w:rFonts w:ascii="Arial" w:hAnsi="Arial" w:cs="Arial"/>
          <w:b/>
          <w:sz w:val="24"/>
          <w:szCs w:val="24"/>
        </w:rPr>
        <w:t>con especial énfasis en el mejoramiento de la calidad de la Educación Superior</w:t>
      </w:r>
      <w:r>
        <w:rPr>
          <w:rFonts w:ascii="Arial" w:hAnsi="Arial" w:cs="Arial"/>
          <w:sz w:val="24"/>
          <w:szCs w:val="24"/>
        </w:rPr>
        <w:t xml:space="preserve">. </w:t>
      </w:r>
    </w:p>
    <w:p w14:paraId="10AFC641" w14:textId="77777777" w:rsidR="00494607" w:rsidRDefault="00494607" w:rsidP="00494607">
      <w:pPr>
        <w:pStyle w:val="Prrafodelista"/>
        <w:numPr>
          <w:ilvl w:val="0"/>
          <w:numId w:val="11"/>
        </w:numPr>
        <w:spacing w:line="360" w:lineRule="auto"/>
        <w:jc w:val="both"/>
        <w:rPr>
          <w:rFonts w:ascii="Arial" w:hAnsi="Arial" w:cs="Arial"/>
          <w:sz w:val="24"/>
          <w:szCs w:val="24"/>
        </w:rPr>
      </w:pPr>
      <w:r>
        <w:rPr>
          <w:rFonts w:ascii="Arial" w:hAnsi="Arial" w:cs="Arial"/>
          <w:sz w:val="24"/>
          <w:szCs w:val="24"/>
        </w:rPr>
        <w:t xml:space="preserve">Ello supone avanzar en materias como el financiamiento institucional de la gratuidad; la implementación de la acreditación obligatoria; y, hacer efectiva la prohibición del lucro en educación superior. </w:t>
      </w:r>
    </w:p>
    <w:p w14:paraId="42557891" w14:textId="77777777" w:rsidR="00494607" w:rsidRPr="0090305E" w:rsidRDefault="00494607" w:rsidP="00494607">
      <w:pPr>
        <w:pStyle w:val="Prrafodelista"/>
        <w:numPr>
          <w:ilvl w:val="0"/>
          <w:numId w:val="11"/>
        </w:numPr>
        <w:spacing w:line="360" w:lineRule="auto"/>
        <w:jc w:val="both"/>
        <w:rPr>
          <w:rFonts w:ascii="Arial" w:hAnsi="Arial" w:cs="Arial"/>
          <w:sz w:val="24"/>
          <w:szCs w:val="24"/>
        </w:rPr>
      </w:pPr>
      <w:r>
        <w:rPr>
          <w:rFonts w:ascii="Arial" w:hAnsi="Arial" w:cs="Arial"/>
          <w:sz w:val="24"/>
          <w:szCs w:val="24"/>
        </w:rPr>
        <w:lastRenderedPageBreak/>
        <w:t>Crear la institucionalidad necesaria para hacer frente a los nuevos desafíos regulatorios del sector: implementando una Subsecretaría de Educación Superior, un Sistema Común de Acceso y la Superintendencia de Educación Superior. A su vez, impulsar ajustes del sistema nacional de aseguramiento de la calidad de la educación superior mediante la modificación de la gobernanza de la actual Comisión Nacional de Acreditación (CNA).</w:t>
      </w:r>
    </w:p>
    <w:p w14:paraId="4D478305" w14:textId="77777777" w:rsidR="0058120A" w:rsidRDefault="0058120A" w:rsidP="001E6052">
      <w:pPr>
        <w:spacing w:line="360" w:lineRule="auto"/>
        <w:jc w:val="both"/>
        <w:rPr>
          <w:rFonts w:ascii="Arial" w:hAnsi="Arial" w:cs="Arial"/>
          <w:sz w:val="24"/>
          <w:szCs w:val="24"/>
        </w:rPr>
      </w:pPr>
    </w:p>
    <w:p w14:paraId="2DEA6108" w14:textId="69B223D6" w:rsidR="0058120A" w:rsidRPr="00BE1B19" w:rsidRDefault="00BE1B19" w:rsidP="001E6052">
      <w:pPr>
        <w:spacing w:line="360" w:lineRule="auto"/>
        <w:jc w:val="both"/>
        <w:rPr>
          <w:rFonts w:ascii="Arial" w:hAnsi="Arial" w:cs="Arial"/>
          <w:b/>
          <w:sz w:val="24"/>
          <w:szCs w:val="24"/>
        </w:rPr>
      </w:pPr>
      <w:r w:rsidRPr="00BE1B19">
        <w:rPr>
          <w:rFonts w:ascii="Arial" w:hAnsi="Arial" w:cs="Arial"/>
          <w:b/>
          <w:sz w:val="24"/>
          <w:szCs w:val="24"/>
        </w:rPr>
        <w:t xml:space="preserve">II. </w:t>
      </w:r>
      <w:r w:rsidRPr="00BE1B19">
        <w:rPr>
          <w:rFonts w:ascii="Arial" w:hAnsi="Arial" w:cs="Arial"/>
          <w:b/>
          <w:sz w:val="24"/>
          <w:szCs w:val="24"/>
          <w:u w:val="single"/>
        </w:rPr>
        <w:t>DESCRIPCIÓN DEL PDL Y MODIFICACIONES</w:t>
      </w:r>
    </w:p>
    <w:p w14:paraId="3543A8C7" w14:textId="28A8D409" w:rsidR="00BE1B19" w:rsidRDefault="00BE1B19" w:rsidP="00016307">
      <w:pPr>
        <w:spacing w:line="360" w:lineRule="auto"/>
        <w:jc w:val="both"/>
        <w:rPr>
          <w:rFonts w:ascii="Arial" w:hAnsi="Arial" w:cs="Arial"/>
          <w:b/>
          <w:sz w:val="24"/>
          <w:szCs w:val="24"/>
          <w:u w:val="single"/>
        </w:rPr>
      </w:pPr>
      <w:r w:rsidRPr="00016307">
        <w:rPr>
          <w:rFonts w:ascii="Arial" w:hAnsi="Arial" w:cs="Arial"/>
          <w:b/>
          <w:sz w:val="24"/>
          <w:szCs w:val="24"/>
          <w:u w:val="single"/>
        </w:rPr>
        <w:t>Título I.-</w:t>
      </w:r>
      <w:r w:rsidR="00F27379">
        <w:rPr>
          <w:rFonts w:ascii="Arial" w:hAnsi="Arial" w:cs="Arial"/>
          <w:b/>
          <w:sz w:val="24"/>
          <w:szCs w:val="24"/>
          <w:u w:val="single"/>
        </w:rPr>
        <w:t xml:space="preserve"> </w:t>
      </w:r>
      <w:r w:rsidRPr="00016307">
        <w:rPr>
          <w:rFonts w:ascii="Arial" w:hAnsi="Arial" w:cs="Arial"/>
          <w:b/>
          <w:sz w:val="24"/>
          <w:szCs w:val="24"/>
          <w:u w:val="single"/>
        </w:rPr>
        <w:t>Disposiciones Generales y Subsecretaría de Educación Superior</w:t>
      </w:r>
    </w:p>
    <w:p w14:paraId="6FDB1DEE" w14:textId="7EF4B9FE" w:rsidR="00F27379" w:rsidRPr="00F129B6" w:rsidRDefault="00F129B6" w:rsidP="00016307">
      <w:pPr>
        <w:spacing w:line="360" w:lineRule="auto"/>
        <w:jc w:val="both"/>
        <w:rPr>
          <w:rFonts w:ascii="Arial" w:hAnsi="Arial" w:cs="Arial"/>
          <w:b/>
          <w:sz w:val="24"/>
          <w:szCs w:val="24"/>
        </w:rPr>
      </w:pPr>
      <w:r>
        <w:rPr>
          <w:rFonts w:ascii="Arial" w:hAnsi="Arial" w:cs="Arial"/>
          <w:b/>
          <w:sz w:val="24"/>
          <w:szCs w:val="24"/>
        </w:rPr>
        <w:t>Contenido:</w:t>
      </w:r>
    </w:p>
    <w:p w14:paraId="6D2183EF" w14:textId="4335F1F9" w:rsidR="00BE1B19" w:rsidRPr="00BE1B19" w:rsidRDefault="00BE1B19" w:rsidP="00BE1B19">
      <w:pPr>
        <w:numPr>
          <w:ilvl w:val="0"/>
          <w:numId w:val="12"/>
        </w:numPr>
        <w:spacing w:line="360" w:lineRule="auto"/>
        <w:jc w:val="both"/>
        <w:rPr>
          <w:rFonts w:ascii="Arial" w:hAnsi="Arial" w:cs="Arial"/>
          <w:sz w:val="24"/>
          <w:szCs w:val="24"/>
        </w:rPr>
      </w:pPr>
      <w:r w:rsidRPr="00BE1B19">
        <w:rPr>
          <w:rFonts w:ascii="Arial" w:hAnsi="Arial" w:cs="Arial"/>
          <w:sz w:val="24"/>
          <w:szCs w:val="24"/>
        </w:rPr>
        <w:t>E</w:t>
      </w:r>
      <w:r>
        <w:rPr>
          <w:rFonts w:ascii="Arial" w:hAnsi="Arial" w:cs="Arial"/>
          <w:sz w:val="24"/>
          <w:szCs w:val="24"/>
        </w:rPr>
        <w:t xml:space="preserve">stablece los </w:t>
      </w:r>
      <w:r w:rsidRPr="00BE1B19">
        <w:rPr>
          <w:rFonts w:ascii="Arial" w:hAnsi="Arial" w:cs="Arial"/>
          <w:sz w:val="24"/>
          <w:szCs w:val="24"/>
        </w:rPr>
        <w:t>principios</w:t>
      </w:r>
      <w:r>
        <w:rPr>
          <w:rFonts w:ascii="Arial" w:hAnsi="Arial" w:cs="Arial"/>
          <w:sz w:val="24"/>
          <w:szCs w:val="24"/>
        </w:rPr>
        <w:t xml:space="preserve"> del </w:t>
      </w:r>
      <w:r w:rsidRPr="00BE1B19">
        <w:rPr>
          <w:rFonts w:ascii="Arial" w:hAnsi="Arial" w:cs="Arial"/>
          <w:sz w:val="24"/>
          <w:szCs w:val="24"/>
        </w:rPr>
        <w:t>Sistema de Educación Superior: a) Autonomía; b) Calidad; c) Cooperación y colaboración; d) Diversidad de proyectos educativos; e) Inclusión; f) Libertad académica; g) Participación; h) Pertinencia; i) Respeto y promoción de los DD.HH.; j) Transparencia; k) Trayectorias formativas y articulación; y, l) Acceso al conocimiento.</w:t>
      </w:r>
    </w:p>
    <w:p w14:paraId="39CF590B" w14:textId="4D997F54" w:rsidR="00BE1B19" w:rsidRPr="00BE1B19" w:rsidRDefault="00BE1B19" w:rsidP="00BE1B19">
      <w:pPr>
        <w:numPr>
          <w:ilvl w:val="0"/>
          <w:numId w:val="12"/>
        </w:numPr>
        <w:spacing w:line="360" w:lineRule="auto"/>
        <w:jc w:val="both"/>
        <w:rPr>
          <w:rFonts w:ascii="Arial" w:hAnsi="Arial" w:cs="Arial"/>
          <w:sz w:val="24"/>
          <w:szCs w:val="24"/>
        </w:rPr>
      </w:pPr>
      <w:r w:rsidRPr="00BE1B19">
        <w:rPr>
          <w:rFonts w:ascii="Arial" w:hAnsi="Arial" w:cs="Arial"/>
          <w:sz w:val="24"/>
          <w:szCs w:val="24"/>
        </w:rPr>
        <w:t xml:space="preserve">Contiene una definición de universidades, centros de formación técnica e institutos profesionales. </w:t>
      </w:r>
    </w:p>
    <w:p w14:paraId="72B38B1B" w14:textId="79C85F23" w:rsidR="00BE1B19" w:rsidRPr="00BE1B19" w:rsidRDefault="00BE1B19" w:rsidP="00BE1B19">
      <w:pPr>
        <w:numPr>
          <w:ilvl w:val="0"/>
          <w:numId w:val="12"/>
        </w:numPr>
        <w:spacing w:line="360" w:lineRule="auto"/>
        <w:jc w:val="both"/>
        <w:rPr>
          <w:rFonts w:ascii="Arial" w:hAnsi="Arial" w:cs="Arial"/>
          <w:sz w:val="24"/>
          <w:szCs w:val="24"/>
        </w:rPr>
      </w:pPr>
      <w:r w:rsidRPr="00BE1B19">
        <w:rPr>
          <w:rFonts w:ascii="Arial" w:hAnsi="Arial" w:cs="Arial"/>
          <w:sz w:val="24"/>
          <w:szCs w:val="24"/>
        </w:rPr>
        <w:t xml:space="preserve">Se reconoce la provisión mixta del Sistema, distinguiendo entre IES estatales, IES no estatales pertenecientes al Consejo de Rectores e IES privadas, además de los subsistemas universitario y técnico-profesional. </w:t>
      </w:r>
    </w:p>
    <w:p w14:paraId="2545D983" w14:textId="77777777" w:rsidR="00BE1B19" w:rsidRPr="00BE1B19" w:rsidRDefault="00BE1B19" w:rsidP="00BE1B19">
      <w:pPr>
        <w:numPr>
          <w:ilvl w:val="0"/>
          <w:numId w:val="12"/>
        </w:numPr>
        <w:spacing w:line="360" w:lineRule="auto"/>
        <w:jc w:val="both"/>
        <w:rPr>
          <w:rFonts w:ascii="Arial" w:hAnsi="Arial" w:cs="Arial"/>
          <w:sz w:val="24"/>
          <w:szCs w:val="24"/>
        </w:rPr>
      </w:pPr>
      <w:r w:rsidRPr="00BE1B19">
        <w:rPr>
          <w:rFonts w:ascii="Arial" w:hAnsi="Arial" w:cs="Arial"/>
          <w:sz w:val="24"/>
          <w:szCs w:val="24"/>
        </w:rPr>
        <w:t>Se crea la Subsecretaría de Educación Superior, entre cuyas facultades se enlista la de proponer políticas; proponer la Estrategia para el Desarrollo de la Educación Superior; y proponer al Ministro el Marco Nacional de Cualificaciones.</w:t>
      </w:r>
    </w:p>
    <w:p w14:paraId="03B64EB6" w14:textId="6CF8694C" w:rsidR="00BE1B19" w:rsidRPr="00BE1B19" w:rsidRDefault="00BE1B19" w:rsidP="00BE1B19">
      <w:pPr>
        <w:numPr>
          <w:ilvl w:val="0"/>
          <w:numId w:val="12"/>
        </w:numPr>
        <w:spacing w:line="360" w:lineRule="auto"/>
        <w:jc w:val="both"/>
        <w:rPr>
          <w:rFonts w:ascii="Arial" w:hAnsi="Arial" w:cs="Arial"/>
          <w:sz w:val="24"/>
          <w:szCs w:val="24"/>
        </w:rPr>
      </w:pPr>
      <w:r w:rsidRPr="00BE1B19">
        <w:rPr>
          <w:rFonts w:ascii="Arial" w:hAnsi="Arial" w:cs="Arial"/>
          <w:sz w:val="24"/>
          <w:szCs w:val="24"/>
        </w:rPr>
        <w:t>Se crea el Sistema Común de Acceso, administrado por la Subsecretaría, que ser</w:t>
      </w:r>
      <w:r w:rsidR="006E4B64">
        <w:rPr>
          <w:rFonts w:ascii="Arial" w:hAnsi="Arial" w:cs="Arial"/>
          <w:sz w:val="24"/>
          <w:szCs w:val="24"/>
        </w:rPr>
        <w:t>á</w:t>
      </w:r>
      <w:r w:rsidRPr="00BE1B19">
        <w:rPr>
          <w:rFonts w:ascii="Arial" w:hAnsi="Arial" w:cs="Arial"/>
          <w:sz w:val="24"/>
          <w:szCs w:val="24"/>
        </w:rPr>
        <w:t xml:space="preserve"> objetivo y transparente, y que será obligatorio para todas las universidades, IP y CFT que reciban recursos públicos o instrumentos de financiamiento estudiantil que cuenten con la garantía del Estado. </w:t>
      </w:r>
    </w:p>
    <w:p w14:paraId="03F6409C" w14:textId="40DF268B" w:rsidR="00BE1B19" w:rsidRPr="00BE1B19" w:rsidRDefault="00BE1B19" w:rsidP="00BE1B19">
      <w:pPr>
        <w:numPr>
          <w:ilvl w:val="0"/>
          <w:numId w:val="12"/>
        </w:numPr>
        <w:spacing w:line="360" w:lineRule="auto"/>
        <w:jc w:val="both"/>
        <w:rPr>
          <w:rFonts w:ascii="Arial" w:hAnsi="Arial" w:cs="Arial"/>
          <w:sz w:val="24"/>
          <w:szCs w:val="24"/>
        </w:rPr>
      </w:pPr>
      <w:r w:rsidRPr="00BE1B19">
        <w:rPr>
          <w:rFonts w:ascii="Arial" w:hAnsi="Arial" w:cs="Arial"/>
          <w:sz w:val="24"/>
          <w:szCs w:val="24"/>
        </w:rPr>
        <w:lastRenderedPageBreak/>
        <w:t xml:space="preserve">El </w:t>
      </w:r>
      <w:r>
        <w:rPr>
          <w:rFonts w:ascii="Arial" w:hAnsi="Arial" w:cs="Arial"/>
          <w:sz w:val="24"/>
          <w:szCs w:val="24"/>
        </w:rPr>
        <w:t xml:space="preserve">Sistema Común de Acceso se conforma por </w:t>
      </w:r>
      <w:r w:rsidRPr="00BE1B19">
        <w:rPr>
          <w:rFonts w:ascii="Arial" w:hAnsi="Arial" w:cs="Arial"/>
          <w:sz w:val="24"/>
          <w:szCs w:val="24"/>
        </w:rPr>
        <w:t>dos comités: uno universitario y otro técnico profesional. Estos comités estarán compuestos por Rectores y Rectoras de las instituciones y por la Subsecretaría de Educación Superior.</w:t>
      </w:r>
    </w:p>
    <w:p w14:paraId="6329BB80" w14:textId="77777777" w:rsidR="00016307" w:rsidRPr="00F129B6" w:rsidRDefault="00016307" w:rsidP="00016307">
      <w:pPr>
        <w:spacing w:line="360" w:lineRule="auto"/>
        <w:jc w:val="both"/>
        <w:rPr>
          <w:rFonts w:ascii="Arial" w:hAnsi="Arial" w:cs="Arial"/>
          <w:b/>
          <w:sz w:val="24"/>
          <w:szCs w:val="24"/>
        </w:rPr>
      </w:pPr>
      <w:r w:rsidRPr="00F129B6">
        <w:rPr>
          <w:rFonts w:ascii="Arial" w:hAnsi="Arial" w:cs="Arial"/>
          <w:b/>
          <w:sz w:val="24"/>
          <w:szCs w:val="24"/>
        </w:rPr>
        <w:t>Modificaciones:</w:t>
      </w:r>
    </w:p>
    <w:p w14:paraId="66E4FCD3" w14:textId="4E9D0CDC" w:rsidR="00BE1B19" w:rsidRPr="00016307" w:rsidRDefault="00BE1B19" w:rsidP="00016307">
      <w:pPr>
        <w:pStyle w:val="Prrafodelista"/>
        <w:numPr>
          <w:ilvl w:val="0"/>
          <w:numId w:val="1"/>
        </w:numPr>
        <w:spacing w:line="360" w:lineRule="auto"/>
        <w:jc w:val="both"/>
        <w:rPr>
          <w:rFonts w:ascii="Arial" w:hAnsi="Arial" w:cs="Arial"/>
          <w:sz w:val="24"/>
          <w:szCs w:val="24"/>
        </w:rPr>
      </w:pPr>
      <w:r w:rsidRPr="00016307">
        <w:rPr>
          <w:rFonts w:ascii="Arial" w:hAnsi="Arial" w:cs="Arial"/>
          <w:b/>
          <w:sz w:val="24"/>
          <w:szCs w:val="24"/>
        </w:rPr>
        <w:t xml:space="preserve">Disposiciones generales: </w:t>
      </w:r>
      <w:r w:rsidRPr="00016307">
        <w:rPr>
          <w:rFonts w:ascii="Arial" w:hAnsi="Arial" w:cs="Arial"/>
          <w:sz w:val="24"/>
          <w:szCs w:val="24"/>
        </w:rPr>
        <w:t>se realizan ajustes menores a la definición de educación superior, eliminando repeticiones y referencias a conceptos complejos como la calidad de órgano rector del MINEDUC</w:t>
      </w:r>
      <w:r w:rsidR="006E4B64">
        <w:rPr>
          <w:rFonts w:ascii="Arial" w:hAnsi="Arial" w:cs="Arial"/>
          <w:sz w:val="24"/>
          <w:szCs w:val="24"/>
        </w:rPr>
        <w:t>.</w:t>
      </w:r>
    </w:p>
    <w:p w14:paraId="79C428E7" w14:textId="3B957D7D" w:rsidR="00BE1B19" w:rsidRPr="005B7F9F" w:rsidRDefault="00BE1B19" w:rsidP="00BE1B19">
      <w:pPr>
        <w:pStyle w:val="Prrafodelista"/>
        <w:numPr>
          <w:ilvl w:val="0"/>
          <w:numId w:val="1"/>
        </w:numPr>
        <w:spacing w:line="360" w:lineRule="auto"/>
        <w:jc w:val="both"/>
        <w:rPr>
          <w:rFonts w:ascii="Arial" w:hAnsi="Arial" w:cs="Arial"/>
          <w:sz w:val="24"/>
          <w:szCs w:val="24"/>
        </w:rPr>
      </w:pPr>
      <w:r w:rsidRPr="005B7F9F">
        <w:rPr>
          <w:rFonts w:ascii="Arial" w:hAnsi="Arial" w:cs="Arial"/>
          <w:b/>
          <w:sz w:val="24"/>
          <w:szCs w:val="24"/>
        </w:rPr>
        <w:t>Subsecretaría de Educación Superior:</w:t>
      </w:r>
      <w:r w:rsidRPr="005B7F9F">
        <w:rPr>
          <w:rFonts w:ascii="Arial" w:hAnsi="Arial" w:cs="Arial"/>
          <w:sz w:val="24"/>
          <w:szCs w:val="24"/>
        </w:rPr>
        <w:t xml:space="preserve"> se realizan modificaciones en distintos ámbitos del proyecto </w:t>
      </w:r>
      <w:r>
        <w:rPr>
          <w:rFonts w:ascii="Arial" w:hAnsi="Arial" w:cs="Arial"/>
          <w:sz w:val="24"/>
          <w:szCs w:val="24"/>
        </w:rPr>
        <w:t xml:space="preserve">de ley </w:t>
      </w:r>
      <w:r w:rsidRPr="005B7F9F">
        <w:rPr>
          <w:rFonts w:ascii="Arial" w:hAnsi="Arial" w:cs="Arial"/>
          <w:sz w:val="24"/>
          <w:szCs w:val="24"/>
        </w:rPr>
        <w:t>para dar mayores garantías a las instituciones de educación superior frente a la creación de este nuevo órgano, especialmente respecto de sus atribuciones en el Sistema Común de Acceso y en la regulación del financiamiento para la gratuidad.</w:t>
      </w:r>
    </w:p>
    <w:p w14:paraId="75622897" w14:textId="45A759D6" w:rsidR="00BE1B19" w:rsidRPr="005B7F9F" w:rsidRDefault="00BE1B19" w:rsidP="00BE1B19">
      <w:pPr>
        <w:pStyle w:val="Prrafodelista"/>
        <w:numPr>
          <w:ilvl w:val="0"/>
          <w:numId w:val="1"/>
        </w:numPr>
        <w:spacing w:line="360" w:lineRule="auto"/>
        <w:jc w:val="both"/>
        <w:rPr>
          <w:rFonts w:ascii="Arial" w:hAnsi="Arial" w:cs="Arial"/>
          <w:sz w:val="24"/>
          <w:szCs w:val="24"/>
        </w:rPr>
      </w:pPr>
      <w:r w:rsidRPr="005B7F9F">
        <w:rPr>
          <w:rFonts w:ascii="Arial" w:hAnsi="Arial" w:cs="Arial"/>
          <w:b/>
          <w:sz w:val="24"/>
          <w:szCs w:val="24"/>
        </w:rPr>
        <w:t>Sistema Común de Acceso:</w:t>
      </w:r>
    </w:p>
    <w:p w14:paraId="51BC20AA" w14:textId="7C7BA385" w:rsidR="00BE1B19" w:rsidRPr="00DB6897" w:rsidRDefault="00BE1B19" w:rsidP="00BE1B19">
      <w:pPr>
        <w:pStyle w:val="Prrafodelista"/>
        <w:numPr>
          <w:ilvl w:val="0"/>
          <w:numId w:val="3"/>
        </w:numPr>
        <w:spacing w:line="360" w:lineRule="auto"/>
        <w:jc w:val="both"/>
        <w:rPr>
          <w:rFonts w:ascii="Arial" w:hAnsi="Arial" w:cs="Arial"/>
          <w:sz w:val="24"/>
          <w:szCs w:val="24"/>
        </w:rPr>
      </w:pPr>
      <w:r w:rsidRPr="005B7F9F">
        <w:rPr>
          <w:rFonts w:ascii="Arial" w:hAnsi="Arial" w:cs="Arial"/>
          <w:sz w:val="24"/>
          <w:szCs w:val="24"/>
        </w:rPr>
        <w:t xml:space="preserve">Se </w:t>
      </w:r>
      <w:r w:rsidR="00C94534">
        <w:rPr>
          <w:rFonts w:ascii="Arial" w:hAnsi="Arial" w:cs="Arial"/>
          <w:sz w:val="24"/>
          <w:szCs w:val="24"/>
        </w:rPr>
        <w:t>traspasan a los Comités</w:t>
      </w:r>
      <w:r w:rsidRPr="005B7F9F">
        <w:rPr>
          <w:rFonts w:ascii="Arial" w:hAnsi="Arial" w:cs="Arial"/>
          <w:sz w:val="24"/>
          <w:szCs w:val="24"/>
        </w:rPr>
        <w:t xml:space="preserve"> facultades que antes correspondían a la Subsecretaría. </w:t>
      </w:r>
      <w:r w:rsidRPr="00DB6897">
        <w:rPr>
          <w:rFonts w:ascii="Arial" w:hAnsi="Arial" w:cs="Arial"/>
          <w:sz w:val="24"/>
          <w:szCs w:val="24"/>
        </w:rPr>
        <w:t xml:space="preserve">Cada comité deberá definir los instrumentos y los procesos de su respectivo subsistema, y </w:t>
      </w:r>
      <w:r>
        <w:rPr>
          <w:rFonts w:ascii="Arial" w:hAnsi="Arial" w:cs="Arial"/>
          <w:sz w:val="24"/>
          <w:szCs w:val="24"/>
        </w:rPr>
        <w:t xml:space="preserve">autorizar aquellos </w:t>
      </w:r>
      <w:r w:rsidRPr="00DB6897">
        <w:rPr>
          <w:rFonts w:ascii="Arial" w:hAnsi="Arial" w:cs="Arial"/>
          <w:sz w:val="24"/>
          <w:szCs w:val="24"/>
        </w:rPr>
        <w:t xml:space="preserve">instrumentos o programas especiales de acceso propios </w:t>
      </w:r>
      <w:r>
        <w:rPr>
          <w:rFonts w:ascii="Arial" w:hAnsi="Arial" w:cs="Arial"/>
          <w:sz w:val="24"/>
          <w:szCs w:val="24"/>
        </w:rPr>
        <w:t>que pueden tener las instituciones</w:t>
      </w:r>
      <w:r w:rsidRPr="00DB6897">
        <w:rPr>
          <w:rFonts w:ascii="Arial" w:hAnsi="Arial" w:cs="Arial"/>
          <w:sz w:val="24"/>
          <w:szCs w:val="24"/>
        </w:rPr>
        <w:t xml:space="preserve">. </w:t>
      </w:r>
    </w:p>
    <w:p w14:paraId="393E04AE" w14:textId="47045261" w:rsidR="00BE1B19" w:rsidRPr="005B7F9F" w:rsidRDefault="00BE1B19" w:rsidP="00BE1B19">
      <w:pPr>
        <w:pStyle w:val="Prrafodelista"/>
        <w:numPr>
          <w:ilvl w:val="0"/>
          <w:numId w:val="3"/>
        </w:numPr>
        <w:spacing w:line="360" w:lineRule="auto"/>
        <w:jc w:val="both"/>
        <w:rPr>
          <w:rFonts w:ascii="Arial" w:hAnsi="Arial" w:cs="Arial"/>
          <w:sz w:val="24"/>
          <w:szCs w:val="24"/>
        </w:rPr>
      </w:pPr>
      <w:r w:rsidRPr="005B7F9F">
        <w:rPr>
          <w:rFonts w:ascii="Arial" w:hAnsi="Arial" w:cs="Arial"/>
          <w:sz w:val="24"/>
          <w:szCs w:val="24"/>
        </w:rPr>
        <w:t xml:space="preserve">Se </w:t>
      </w:r>
      <w:r>
        <w:rPr>
          <w:rFonts w:ascii="Arial" w:hAnsi="Arial" w:cs="Arial"/>
          <w:sz w:val="24"/>
          <w:szCs w:val="24"/>
        </w:rPr>
        <w:t>clarifica</w:t>
      </w:r>
      <w:r w:rsidRPr="005B7F9F">
        <w:rPr>
          <w:rFonts w:ascii="Arial" w:hAnsi="Arial" w:cs="Arial"/>
          <w:sz w:val="24"/>
          <w:szCs w:val="24"/>
        </w:rPr>
        <w:t xml:space="preserve"> el rol de la Subsecretaría en el Sistema Común de Acceso, la que, entre otras materias, deberá administrar una plataforma electrónica única que contenga toda la información relacionada con el acceso a las instituciones de educación superior adscritas al Sistema (oferta académica, vacantes, procesos de admisión, programas especiales de admisión, etc.). </w:t>
      </w:r>
    </w:p>
    <w:p w14:paraId="090B895D" w14:textId="7FCA5F6B" w:rsidR="00BE1B19" w:rsidRPr="00016307" w:rsidRDefault="00BE1B19" w:rsidP="001128BF">
      <w:pPr>
        <w:pStyle w:val="Prrafodelista"/>
        <w:numPr>
          <w:ilvl w:val="0"/>
          <w:numId w:val="3"/>
        </w:numPr>
        <w:spacing w:after="0" w:line="360" w:lineRule="auto"/>
        <w:jc w:val="both"/>
        <w:rPr>
          <w:rFonts w:ascii="Arial" w:hAnsi="Arial" w:cs="Arial"/>
          <w:b/>
          <w:sz w:val="24"/>
          <w:szCs w:val="24"/>
          <w:u w:val="single"/>
        </w:rPr>
      </w:pPr>
      <w:r w:rsidRPr="00016307">
        <w:rPr>
          <w:rFonts w:ascii="Arial" w:hAnsi="Arial" w:cs="Arial"/>
          <w:sz w:val="24"/>
          <w:szCs w:val="24"/>
        </w:rPr>
        <w:t xml:space="preserve">Se consagra una garantía explícita de que, tanto la determinación de los requisitos de admisión a cada plan o programa de estudios, como la selección de los postulantes, será siempre efectuada por las instituciones de educación superior, salvo aquellos casos en que se regula por ley (art.10). </w:t>
      </w:r>
    </w:p>
    <w:p w14:paraId="7097BDE8" w14:textId="77777777" w:rsidR="00F129B6" w:rsidRDefault="00F129B6" w:rsidP="00BE1B19">
      <w:pPr>
        <w:spacing w:line="360" w:lineRule="auto"/>
        <w:jc w:val="both"/>
        <w:rPr>
          <w:rFonts w:ascii="Arial" w:hAnsi="Arial" w:cs="Arial"/>
          <w:b/>
          <w:sz w:val="24"/>
          <w:szCs w:val="24"/>
          <w:u w:val="single"/>
        </w:rPr>
      </w:pPr>
    </w:p>
    <w:p w14:paraId="7E618915" w14:textId="01FA0B7F" w:rsidR="00BE1B19" w:rsidRPr="00BE1B19" w:rsidRDefault="00BE1B19" w:rsidP="00BE1B19">
      <w:pPr>
        <w:spacing w:line="360" w:lineRule="auto"/>
        <w:jc w:val="both"/>
        <w:rPr>
          <w:rFonts w:ascii="Arial" w:hAnsi="Arial" w:cs="Arial"/>
          <w:b/>
          <w:sz w:val="24"/>
          <w:szCs w:val="24"/>
          <w:u w:val="single"/>
        </w:rPr>
      </w:pPr>
      <w:r w:rsidRPr="00BE1B19">
        <w:rPr>
          <w:rFonts w:ascii="Arial" w:hAnsi="Arial" w:cs="Arial"/>
          <w:b/>
          <w:sz w:val="24"/>
          <w:szCs w:val="24"/>
          <w:u w:val="single"/>
        </w:rPr>
        <w:t>Título II.- De la Formación Técnico Profesional en educación superior</w:t>
      </w:r>
    </w:p>
    <w:p w14:paraId="7ED4E103" w14:textId="54109AA5" w:rsidR="00BE1B19" w:rsidRPr="00BE1B19" w:rsidRDefault="00BE1B19" w:rsidP="00BE1B19">
      <w:pPr>
        <w:numPr>
          <w:ilvl w:val="0"/>
          <w:numId w:val="13"/>
        </w:numPr>
        <w:spacing w:line="360" w:lineRule="auto"/>
        <w:jc w:val="both"/>
        <w:rPr>
          <w:rFonts w:ascii="Arial" w:hAnsi="Arial" w:cs="Arial"/>
          <w:sz w:val="24"/>
          <w:szCs w:val="24"/>
        </w:rPr>
      </w:pPr>
      <w:r w:rsidRPr="00BE1B19">
        <w:rPr>
          <w:rFonts w:ascii="Arial" w:hAnsi="Arial" w:cs="Arial"/>
          <w:sz w:val="24"/>
          <w:szCs w:val="24"/>
        </w:rPr>
        <w:t xml:space="preserve">Se crea un Consejo Asesor de Educación Técnico Profesional, que tendrá un carácter “público-privado”, integrado por los ministerios con competencia en la </w:t>
      </w:r>
      <w:r w:rsidRPr="00BE1B19">
        <w:rPr>
          <w:rFonts w:ascii="Arial" w:hAnsi="Arial" w:cs="Arial"/>
          <w:sz w:val="24"/>
          <w:szCs w:val="24"/>
        </w:rPr>
        <w:lastRenderedPageBreak/>
        <w:t xml:space="preserve">materia y que contará con la participación del sector productivo, así como expertos, para orientar la pertinencia de la oferta de formación técnico profesional. </w:t>
      </w:r>
    </w:p>
    <w:p w14:paraId="42674131" w14:textId="17AC3DE0" w:rsidR="00B81C51" w:rsidRPr="00B81C51" w:rsidRDefault="00BE1B19" w:rsidP="00486C19">
      <w:pPr>
        <w:numPr>
          <w:ilvl w:val="0"/>
          <w:numId w:val="13"/>
        </w:numPr>
        <w:spacing w:line="360" w:lineRule="auto"/>
        <w:jc w:val="both"/>
        <w:rPr>
          <w:rFonts w:ascii="Arial" w:hAnsi="Arial" w:cs="Arial"/>
          <w:b/>
          <w:sz w:val="24"/>
          <w:szCs w:val="24"/>
          <w:u w:val="single"/>
        </w:rPr>
      </w:pPr>
      <w:r w:rsidRPr="00B81C51">
        <w:rPr>
          <w:rFonts w:ascii="Arial" w:hAnsi="Arial" w:cs="Arial"/>
          <w:sz w:val="24"/>
          <w:szCs w:val="24"/>
        </w:rPr>
        <w:t>El Consejo propondrá al MINEDUC una “Estrategia Nacional de Formación Técnico Profesional” que orientará el desarrollo e implementación de las políticas públicas que se definan en esta materia</w:t>
      </w:r>
      <w:r w:rsidR="00B81C51">
        <w:rPr>
          <w:rFonts w:ascii="Arial" w:hAnsi="Arial" w:cs="Arial"/>
          <w:sz w:val="24"/>
          <w:szCs w:val="24"/>
        </w:rPr>
        <w:t>.</w:t>
      </w:r>
    </w:p>
    <w:p w14:paraId="45CE695B" w14:textId="324CCE92" w:rsidR="00B81C51" w:rsidRPr="00B81C51" w:rsidRDefault="00B81C51" w:rsidP="00B81C51">
      <w:pPr>
        <w:spacing w:line="360" w:lineRule="auto"/>
        <w:ind w:left="360"/>
        <w:jc w:val="both"/>
        <w:rPr>
          <w:rFonts w:ascii="Arial" w:hAnsi="Arial" w:cs="Arial"/>
          <w:b/>
          <w:sz w:val="24"/>
          <w:szCs w:val="24"/>
        </w:rPr>
      </w:pPr>
      <w:r w:rsidRPr="00B81C51">
        <w:rPr>
          <w:rFonts w:ascii="Arial" w:hAnsi="Arial" w:cs="Arial"/>
          <w:b/>
          <w:sz w:val="24"/>
          <w:szCs w:val="24"/>
        </w:rPr>
        <w:t>Este título no sufre modificaciones.</w:t>
      </w:r>
    </w:p>
    <w:p w14:paraId="70037640" w14:textId="77777777" w:rsidR="00F129B6" w:rsidRDefault="00F129B6" w:rsidP="00B81C51">
      <w:pPr>
        <w:spacing w:line="360" w:lineRule="auto"/>
        <w:jc w:val="both"/>
        <w:rPr>
          <w:rFonts w:ascii="Arial" w:hAnsi="Arial" w:cs="Arial"/>
          <w:b/>
          <w:sz w:val="24"/>
          <w:szCs w:val="24"/>
          <w:u w:val="single"/>
        </w:rPr>
      </w:pPr>
    </w:p>
    <w:p w14:paraId="0C42FF83" w14:textId="36A6930E" w:rsidR="00BE1B19" w:rsidRDefault="00B81C51" w:rsidP="00B81C51">
      <w:pPr>
        <w:spacing w:line="360" w:lineRule="auto"/>
        <w:jc w:val="both"/>
        <w:rPr>
          <w:rFonts w:ascii="Arial" w:hAnsi="Arial" w:cs="Arial"/>
          <w:b/>
          <w:sz w:val="24"/>
          <w:szCs w:val="24"/>
          <w:u w:val="single"/>
        </w:rPr>
      </w:pPr>
      <w:r>
        <w:rPr>
          <w:rFonts w:ascii="Arial" w:hAnsi="Arial" w:cs="Arial"/>
          <w:b/>
          <w:sz w:val="24"/>
          <w:szCs w:val="24"/>
          <w:u w:val="single"/>
        </w:rPr>
        <w:t>T</w:t>
      </w:r>
      <w:r w:rsidR="00BE1B19" w:rsidRPr="00B81C51">
        <w:rPr>
          <w:rFonts w:ascii="Arial" w:hAnsi="Arial" w:cs="Arial"/>
          <w:b/>
          <w:sz w:val="24"/>
          <w:szCs w:val="24"/>
          <w:u w:val="single"/>
        </w:rPr>
        <w:t>ítulo III.- De la Superintendencia de Educación Superior</w:t>
      </w:r>
    </w:p>
    <w:p w14:paraId="2F644A31" w14:textId="2BE7D4D9" w:rsidR="00F129B6" w:rsidRPr="00F129B6" w:rsidRDefault="00F129B6" w:rsidP="00B81C51">
      <w:pPr>
        <w:spacing w:line="360" w:lineRule="auto"/>
        <w:jc w:val="both"/>
        <w:rPr>
          <w:rFonts w:ascii="Arial" w:hAnsi="Arial" w:cs="Arial"/>
          <w:b/>
          <w:sz w:val="24"/>
          <w:szCs w:val="24"/>
        </w:rPr>
      </w:pPr>
      <w:r w:rsidRPr="00F129B6">
        <w:rPr>
          <w:rFonts w:ascii="Arial" w:hAnsi="Arial" w:cs="Arial"/>
          <w:b/>
          <w:sz w:val="24"/>
          <w:szCs w:val="24"/>
        </w:rPr>
        <w:t>Contenido:</w:t>
      </w:r>
    </w:p>
    <w:p w14:paraId="01510F13" w14:textId="3A741A86" w:rsidR="00BE1B19" w:rsidRPr="00BE1B19" w:rsidRDefault="00BE1B19" w:rsidP="00BE1B19">
      <w:pPr>
        <w:numPr>
          <w:ilvl w:val="0"/>
          <w:numId w:val="14"/>
        </w:numPr>
        <w:spacing w:line="360" w:lineRule="auto"/>
        <w:jc w:val="both"/>
        <w:rPr>
          <w:rFonts w:ascii="Arial" w:hAnsi="Arial" w:cs="Arial"/>
          <w:sz w:val="24"/>
          <w:szCs w:val="24"/>
        </w:rPr>
      </w:pPr>
      <w:r w:rsidRPr="00BE1B19">
        <w:rPr>
          <w:rFonts w:ascii="Arial" w:hAnsi="Arial" w:cs="Arial"/>
          <w:sz w:val="24"/>
          <w:szCs w:val="24"/>
        </w:rPr>
        <w:t>Se crea una Superintendencia de Educación Superior, cuya función es fiscalizar el cumplimiento de las normas que regulan la educación superior, así como el uso de los recursos de las IES.</w:t>
      </w:r>
    </w:p>
    <w:p w14:paraId="551695AF" w14:textId="56C4C5EF" w:rsidR="00BE1B19" w:rsidRPr="00F27379" w:rsidRDefault="00BE1B19" w:rsidP="00F27379">
      <w:pPr>
        <w:numPr>
          <w:ilvl w:val="0"/>
          <w:numId w:val="14"/>
        </w:numPr>
        <w:spacing w:line="360" w:lineRule="auto"/>
        <w:jc w:val="both"/>
        <w:rPr>
          <w:rFonts w:ascii="Arial" w:hAnsi="Arial" w:cs="Arial"/>
          <w:sz w:val="24"/>
          <w:szCs w:val="24"/>
        </w:rPr>
      </w:pPr>
      <w:r w:rsidRPr="00BE1B19">
        <w:rPr>
          <w:rFonts w:ascii="Arial" w:hAnsi="Arial" w:cs="Arial"/>
          <w:sz w:val="24"/>
          <w:szCs w:val="24"/>
        </w:rPr>
        <w:t>Este título también contiene las obligaciones de informar de las IES</w:t>
      </w:r>
      <w:r w:rsidR="00F27379">
        <w:rPr>
          <w:rFonts w:ascii="Arial" w:hAnsi="Arial" w:cs="Arial"/>
          <w:sz w:val="24"/>
          <w:szCs w:val="24"/>
        </w:rPr>
        <w:t xml:space="preserve"> y </w:t>
      </w:r>
      <w:r w:rsidRPr="00F27379">
        <w:rPr>
          <w:rFonts w:ascii="Arial" w:hAnsi="Arial" w:cs="Arial"/>
          <w:sz w:val="24"/>
          <w:szCs w:val="24"/>
        </w:rPr>
        <w:t xml:space="preserve">establece las infracciones en que pueden incurrir (las que pueden ser gravísimas, graves o leves). </w:t>
      </w:r>
    </w:p>
    <w:p w14:paraId="5E792E0B" w14:textId="4C39C8FA" w:rsidR="00BE1B19" w:rsidRDefault="00F27379" w:rsidP="00BE1B19">
      <w:pPr>
        <w:numPr>
          <w:ilvl w:val="0"/>
          <w:numId w:val="14"/>
        </w:numPr>
        <w:spacing w:line="360" w:lineRule="auto"/>
        <w:jc w:val="both"/>
        <w:rPr>
          <w:rFonts w:ascii="Arial" w:hAnsi="Arial" w:cs="Arial"/>
          <w:sz w:val="24"/>
          <w:szCs w:val="24"/>
        </w:rPr>
      </w:pPr>
      <w:r>
        <w:rPr>
          <w:rFonts w:ascii="Arial" w:hAnsi="Arial" w:cs="Arial"/>
          <w:sz w:val="24"/>
          <w:szCs w:val="24"/>
        </w:rPr>
        <w:t xml:space="preserve">Finalmente, se regula la </w:t>
      </w:r>
      <w:r w:rsidR="00BE1B19" w:rsidRPr="00BE1B19">
        <w:rPr>
          <w:rFonts w:ascii="Arial" w:hAnsi="Arial" w:cs="Arial"/>
          <w:sz w:val="24"/>
          <w:szCs w:val="24"/>
        </w:rPr>
        <w:t xml:space="preserve">prohibición efectiva del lucro, en la cual se establece una nueva estructura corporativa para las IES de derecho privado sin fines de lucro; nuevos deberes para los directores y su responsabilidad por los perjuicios que ocasionen a las IES; la regulación sobre las operaciones con personas relacionadas, incluyendo prohibiciones, y el delito de negociación incompatible en la educación superior (o “delito lucro”). </w:t>
      </w:r>
    </w:p>
    <w:p w14:paraId="5F2E463A" w14:textId="59AF1BB2" w:rsidR="00F27379" w:rsidRPr="00F129B6" w:rsidRDefault="00F27379" w:rsidP="00F27379">
      <w:pPr>
        <w:spacing w:line="360" w:lineRule="auto"/>
        <w:jc w:val="both"/>
        <w:rPr>
          <w:rFonts w:ascii="Arial" w:hAnsi="Arial" w:cs="Arial"/>
          <w:b/>
          <w:sz w:val="24"/>
          <w:szCs w:val="24"/>
        </w:rPr>
      </w:pPr>
      <w:r w:rsidRPr="00F129B6">
        <w:rPr>
          <w:rFonts w:ascii="Arial" w:hAnsi="Arial" w:cs="Arial"/>
          <w:b/>
          <w:sz w:val="24"/>
          <w:szCs w:val="24"/>
        </w:rPr>
        <w:t xml:space="preserve">Modificaciones: </w:t>
      </w:r>
    </w:p>
    <w:p w14:paraId="31F4EA21" w14:textId="73047AEC" w:rsidR="00F27379" w:rsidRPr="00A6418D" w:rsidRDefault="00F27379" w:rsidP="00F27379">
      <w:pPr>
        <w:pStyle w:val="Prrafodelista"/>
        <w:numPr>
          <w:ilvl w:val="0"/>
          <w:numId w:val="4"/>
        </w:numPr>
        <w:spacing w:line="360" w:lineRule="auto"/>
        <w:jc w:val="both"/>
        <w:rPr>
          <w:rFonts w:ascii="Arial" w:hAnsi="Arial" w:cs="Arial"/>
          <w:sz w:val="24"/>
          <w:szCs w:val="24"/>
        </w:rPr>
      </w:pPr>
      <w:r w:rsidRPr="00A6418D">
        <w:rPr>
          <w:rFonts w:ascii="Arial" w:hAnsi="Arial" w:cs="Arial"/>
          <w:sz w:val="24"/>
          <w:szCs w:val="24"/>
        </w:rPr>
        <w:t xml:space="preserve">Dadas las modificaciones que realiza el proyecto a la ley 20.800 sobre administrador provisional, en virtud de las cuales la Superintendencia deberá fiscalizar que las instituciones no incumplan sus compromisos financieros, administrativos, laborales o académicos, y que tendrá instrumentos suficientes para abordar casos críticos (recomendaciones preventivas; planes de recuperación; nombramiento de administrador provisional), se elimina en el el </w:t>
      </w:r>
      <w:r w:rsidRPr="00A6418D">
        <w:rPr>
          <w:rFonts w:ascii="Arial" w:hAnsi="Arial" w:cs="Arial"/>
          <w:sz w:val="24"/>
          <w:szCs w:val="24"/>
        </w:rPr>
        <w:lastRenderedPageBreak/>
        <w:t xml:space="preserve">deber de la Superintendencia de determinar la viabilidad financiera de las instituciones mediante indicadores de riesgo. Como correlato, se incorpora que las auditorías externas a las que deben someterse las instituciones deberán contener un análisis de riesgo de la viabilidad financiera, las que deberán enviarse a la Superintendencia para que ésta ejerza sus facultades (art. 36). </w:t>
      </w:r>
    </w:p>
    <w:p w14:paraId="1BC6B7F3" w14:textId="5CE980D0" w:rsidR="00F27379" w:rsidRPr="00A6418D" w:rsidRDefault="00F27379" w:rsidP="00F27379">
      <w:pPr>
        <w:pStyle w:val="Prrafodelista"/>
        <w:numPr>
          <w:ilvl w:val="0"/>
          <w:numId w:val="4"/>
        </w:numPr>
        <w:spacing w:line="360" w:lineRule="auto"/>
        <w:jc w:val="both"/>
        <w:rPr>
          <w:rFonts w:ascii="Arial" w:hAnsi="Arial" w:cs="Arial"/>
          <w:sz w:val="24"/>
          <w:szCs w:val="24"/>
        </w:rPr>
      </w:pPr>
      <w:r w:rsidRPr="00A6418D">
        <w:rPr>
          <w:rFonts w:ascii="Arial" w:hAnsi="Arial" w:cs="Arial"/>
          <w:sz w:val="24"/>
          <w:szCs w:val="24"/>
        </w:rPr>
        <w:t xml:space="preserve">Se amplían las garantías de las instituciones de educación superior ante las acciones de fiscalización de la Superintendencia. </w:t>
      </w:r>
    </w:p>
    <w:p w14:paraId="57BCE441" w14:textId="3FBBA651" w:rsidR="00F27379" w:rsidRDefault="00F27379" w:rsidP="00F27379">
      <w:pPr>
        <w:pStyle w:val="Prrafodelista"/>
        <w:numPr>
          <w:ilvl w:val="0"/>
          <w:numId w:val="4"/>
        </w:numPr>
        <w:spacing w:line="360" w:lineRule="auto"/>
        <w:jc w:val="both"/>
        <w:rPr>
          <w:rFonts w:ascii="Arial" w:hAnsi="Arial" w:cs="Arial"/>
          <w:sz w:val="24"/>
          <w:szCs w:val="24"/>
        </w:rPr>
      </w:pPr>
      <w:r w:rsidRPr="00A6418D">
        <w:rPr>
          <w:rFonts w:ascii="Arial" w:hAnsi="Arial" w:cs="Arial"/>
          <w:sz w:val="24"/>
          <w:szCs w:val="24"/>
        </w:rPr>
        <w:t xml:space="preserve">Se equilibra la regulación de la prohibición efectiva del lucro con la autonomía de las instituciones de educación superior </w:t>
      </w:r>
      <w:r w:rsidR="0070595A">
        <w:rPr>
          <w:rFonts w:ascii="Arial" w:hAnsi="Arial" w:cs="Arial"/>
          <w:sz w:val="24"/>
          <w:szCs w:val="24"/>
        </w:rPr>
        <w:t xml:space="preserve">privadas </w:t>
      </w:r>
      <w:r w:rsidRPr="00A6418D">
        <w:rPr>
          <w:rFonts w:ascii="Arial" w:hAnsi="Arial" w:cs="Arial"/>
          <w:sz w:val="24"/>
          <w:szCs w:val="24"/>
        </w:rPr>
        <w:t xml:space="preserve">para alcanzar la organización institucional más adecuada a su contexto y realidad regional. Así, se adecúa </w:t>
      </w:r>
      <w:r w:rsidR="0070595A">
        <w:rPr>
          <w:rFonts w:ascii="Arial" w:hAnsi="Arial" w:cs="Arial"/>
          <w:sz w:val="24"/>
          <w:szCs w:val="24"/>
        </w:rPr>
        <w:t>la regulación a</w:t>
      </w:r>
      <w:r w:rsidRPr="005B7F9F">
        <w:rPr>
          <w:rFonts w:ascii="Arial" w:hAnsi="Arial" w:cs="Arial"/>
          <w:sz w:val="24"/>
          <w:szCs w:val="24"/>
        </w:rPr>
        <w:t xml:space="preserve"> las glosas de gratuidad, lo que permite, por ejemplo, que la U. de Concepción o la U. Austral puedan mantener su actual forma organizativa, pero </w:t>
      </w:r>
      <w:r>
        <w:rPr>
          <w:rFonts w:ascii="Arial" w:hAnsi="Arial" w:cs="Arial"/>
          <w:sz w:val="24"/>
          <w:szCs w:val="24"/>
        </w:rPr>
        <w:t xml:space="preserve">que </w:t>
      </w:r>
      <w:r w:rsidRPr="005B7F9F">
        <w:rPr>
          <w:rFonts w:ascii="Arial" w:hAnsi="Arial" w:cs="Arial"/>
          <w:sz w:val="24"/>
          <w:szCs w:val="24"/>
        </w:rPr>
        <w:t xml:space="preserve">prohíbe que las instituciones de derecho privado sin fines </w:t>
      </w:r>
      <w:r>
        <w:rPr>
          <w:rFonts w:ascii="Arial" w:hAnsi="Arial" w:cs="Arial"/>
          <w:sz w:val="24"/>
          <w:szCs w:val="24"/>
        </w:rPr>
        <w:t xml:space="preserve">de </w:t>
      </w:r>
      <w:r w:rsidRPr="005B7F9F">
        <w:rPr>
          <w:rFonts w:ascii="Arial" w:hAnsi="Arial" w:cs="Arial"/>
          <w:sz w:val="24"/>
          <w:szCs w:val="24"/>
        </w:rPr>
        <w:t>lucro tengan controladores con fines de lucro.</w:t>
      </w:r>
    </w:p>
    <w:p w14:paraId="048D6589" w14:textId="2C889E1D" w:rsidR="00F27379" w:rsidRPr="00A6418D" w:rsidRDefault="00F27379" w:rsidP="00F27379">
      <w:pPr>
        <w:pStyle w:val="Prrafodelista"/>
        <w:numPr>
          <w:ilvl w:val="0"/>
          <w:numId w:val="4"/>
        </w:numPr>
        <w:spacing w:line="360" w:lineRule="auto"/>
        <w:jc w:val="both"/>
        <w:rPr>
          <w:rFonts w:ascii="Arial" w:hAnsi="Arial" w:cs="Arial"/>
          <w:sz w:val="24"/>
          <w:szCs w:val="24"/>
        </w:rPr>
      </w:pPr>
      <w:r w:rsidRPr="00A6418D">
        <w:rPr>
          <w:rFonts w:ascii="Arial" w:hAnsi="Arial" w:cs="Arial"/>
          <w:sz w:val="24"/>
          <w:szCs w:val="24"/>
        </w:rPr>
        <w:t>Asimismo, se aclara que las instituciones</w:t>
      </w:r>
      <w:r>
        <w:rPr>
          <w:rFonts w:ascii="Arial" w:hAnsi="Arial" w:cs="Arial"/>
          <w:sz w:val="24"/>
          <w:szCs w:val="24"/>
        </w:rPr>
        <w:t xml:space="preserve"> reconocidas oficialmente por el Estado</w:t>
      </w:r>
      <w:r w:rsidRPr="00A6418D">
        <w:rPr>
          <w:rFonts w:ascii="Arial" w:hAnsi="Arial" w:cs="Arial"/>
          <w:sz w:val="24"/>
          <w:szCs w:val="24"/>
        </w:rPr>
        <w:t xml:space="preserve"> pueden organizarse institucionalmente estableciendo los órganos de gobierno que establezcan sus estatutos</w:t>
      </w:r>
      <w:r>
        <w:rPr>
          <w:rFonts w:ascii="Arial" w:hAnsi="Arial" w:cs="Arial"/>
          <w:sz w:val="24"/>
          <w:szCs w:val="24"/>
        </w:rPr>
        <w:t xml:space="preserve"> (IES no estatales)</w:t>
      </w:r>
      <w:r w:rsidRPr="00A6418D">
        <w:rPr>
          <w:rFonts w:ascii="Arial" w:hAnsi="Arial" w:cs="Arial"/>
          <w:sz w:val="24"/>
          <w:szCs w:val="24"/>
        </w:rPr>
        <w:t>.</w:t>
      </w:r>
    </w:p>
    <w:p w14:paraId="09963DB3" w14:textId="77777777" w:rsidR="00A7270B" w:rsidRDefault="00F27379" w:rsidP="00F27379">
      <w:pPr>
        <w:pStyle w:val="Prrafodelista"/>
        <w:numPr>
          <w:ilvl w:val="0"/>
          <w:numId w:val="4"/>
        </w:numPr>
        <w:spacing w:line="360" w:lineRule="auto"/>
        <w:jc w:val="both"/>
        <w:rPr>
          <w:rFonts w:ascii="Arial" w:hAnsi="Arial" w:cs="Arial"/>
          <w:sz w:val="24"/>
          <w:szCs w:val="24"/>
        </w:rPr>
      </w:pPr>
      <w:r w:rsidRPr="005B7F9F">
        <w:rPr>
          <w:rFonts w:ascii="Arial" w:hAnsi="Arial" w:cs="Arial"/>
          <w:sz w:val="24"/>
          <w:szCs w:val="24"/>
        </w:rPr>
        <w:t xml:space="preserve">Se adecúa la </w:t>
      </w:r>
      <w:r w:rsidR="00A7270B">
        <w:rPr>
          <w:rFonts w:ascii="Arial" w:hAnsi="Arial" w:cs="Arial"/>
          <w:sz w:val="24"/>
          <w:szCs w:val="24"/>
        </w:rPr>
        <w:t xml:space="preserve">definición </w:t>
      </w:r>
      <w:r w:rsidRPr="005B7F9F">
        <w:rPr>
          <w:rFonts w:ascii="Arial" w:hAnsi="Arial" w:cs="Arial"/>
          <w:sz w:val="24"/>
          <w:szCs w:val="24"/>
        </w:rPr>
        <w:t xml:space="preserve">de personas relacionadas a los estándares vigentes </w:t>
      </w:r>
      <w:r w:rsidR="0070595A">
        <w:rPr>
          <w:rFonts w:ascii="Arial" w:hAnsi="Arial" w:cs="Arial"/>
          <w:sz w:val="24"/>
          <w:szCs w:val="24"/>
        </w:rPr>
        <w:t xml:space="preserve">en la Ley de Mercado de Valores y de Sociedades Anónimas. Así el </w:t>
      </w:r>
      <w:r w:rsidRPr="005B7F9F">
        <w:rPr>
          <w:rFonts w:ascii="Arial" w:hAnsi="Arial" w:cs="Arial"/>
          <w:sz w:val="24"/>
          <w:szCs w:val="24"/>
        </w:rPr>
        <w:t>grado de consanguineidad</w:t>
      </w:r>
      <w:r w:rsidR="0070595A">
        <w:rPr>
          <w:rFonts w:ascii="Arial" w:hAnsi="Arial" w:cs="Arial"/>
          <w:sz w:val="24"/>
          <w:szCs w:val="24"/>
        </w:rPr>
        <w:t xml:space="preserve"> pasa de 3° a 2° </w:t>
      </w:r>
      <w:r w:rsidRPr="005B7F9F">
        <w:rPr>
          <w:rFonts w:ascii="Arial" w:hAnsi="Arial" w:cs="Arial"/>
          <w:sz w:val="24"/>
          <w:szCs w:val="24"/>
        </w:rPr>
        <w:t xml:space="preserve">y el porcentaje de participación en personas jurídicas </w:t>
      </w:r>
      <w:r w:rsidR="0070595A">
        <w:rPr>
          <w:rFonts w:ascii="Arial" w:hAnsi="Arial" w:cs="Arial"/>
          <w:sz w:val="24"/>
          <w:szCs w:val="24"/>
        </w:rPr>
        <w:t>de 10% a 5%</w:t>
      </w:r>
      <w:r w:rsidRPr="005B7F9F">
        <w:rPr>
          <w:rFonts w:ascii="Arial" w:hAnsi="Arial" w:cs="Arial"/>
          <w:sz w:val="24"/>
          <w:szCs w:val="24"/>
        </w:rPr>
        <w:t xml:space="preserve">. </w:t>
      </w:r>
    </w:p>
    <w:p w14:paraId="73775CB0" w14:textId="77777777" w:rsidR="00A7117E" w:rsidRPr="00A7117E" w:rsidRDefault="00A7270B" w:rsidP="00A7117E">
      <w:pPr>
        <w:pStyle w:val="Prrafodelista"/>
        <w:numPr>
          <w:ilvl w:val="0"/>
          <w:numId w:val="4"/>
        </w:numPr>
        <w:spacing w:line="360" w:lineRule="auto"/>
        <w:jc w:val="both"/>
        <w:rPr>
          <w:rFonts w:ascii="Arial" w:hAnsi="Arial" w:cs="Arial"/>
          <w:b/>
          <w:sz w:val="24"/>
          <w:szCs w:val="24"/>
          <w:u w:val="single"/>
        </w:rPr>
      </w:pPr>
      <w:r w:rsidRPr="00A7117E">
        <w:rPr>
          <w:rFonts w:ascii="Arial" w:hAnsi="Arial" w:cs="Arial"/>
          <w:sz w:val="24"/>
          <w:szCs w:val="24"/>
        </w:rPr>
        <w:t>S</w:t>
      </w:r>
      <w:r w:rsidR="00F27379" w:rsidRPr="00A7117E">
        <w:rPr>
          <w:rFonts w:ascii="Arial" w:hAnsi="Arial" w:cs="Arial"/>
          <w:sz w:val="24"/>
          <w:szCs w:val="24"/>
        </w:rPr>
        <w:t>e incorpora un</w:t>
      </w:r>
      <w:r w:rsidRPr="00A7117E">
        <w:rPr>
          <w:rFonts w:ascii="Arial" w:hAnsi="Arial" w:cs="Arial"/>
          <w:sz w:val="24"/>
          <w:szCs w:val="24"/>
        </w:rPr>
        <w:t xml:space="preserve"> procedimiento para permitir excepcionalmente la celebración de </w:t>
      </w:r>
      <w:r w:rsidR="00F27379" w:rsidRPr="00A7117E">
        <w:rPr>
          <w:rFonts w:ascii="Arial" w:hAnsi="Arial" w:cs="Arial"/>
          <w:sz w:val="24"/>
          <w:szCs w:val="24"/>
        </w:rPr>
        <w:t>operaciones prohibidas</w:t>
      </w:r>
      <w:r w:rsidR="00A7117E" w:rsidRPr="00A7117E">
        <w:rPr>
          <w:rFonts w:ascii="Arial" w:hAnsi="Arial" w:cs="Arial"/>
          <w:sz w:val="24"/>
          <w:szCs w:val="24"/>
        </w:rPr>
        <w:t xml:space="preserve">, siempre que la Superintendencia apruebe previamente </w:t>
      </w:r>
      <w:r w:rsidR="00F27379" w:rsidRPr="00A7117E">
        <w:rPr>
          <w:rFonts w:ascii="Arial" w:hAnsi="Arial" w:cs="Arial"/>
          <w:sz w:val="24"/>
          <w:szCs w:val="24"/>
        </w:rPr>
        <w:t>un procedimiento de resolución de conflictos de interés</w:t>
      </w:r>
      <w:r w:rsidR="00A7117E">
        <w:rPr>
          <w:rFonts w:ascii="Arial" w:hAnsi="Arial" w:cs="Arial"/>
          <w:sz w:val="24"/>
          <w:szCs w:val="24"/>
        </w:rPr>
        <w:t xml:space="preserve"> propuesto por la IES</w:t>
      </w:r>
      <w:r w:rsidR="00F27379" w:rsidRPr="00A7117E">
        <w:rPr>
          <w:rFonts w:ascii="Arial" w:hAnsi="Arial" w:cs="Arial"/>
          <w:sz w:val="24"/>
          <w:szCs w:val="24"/>
        </w:rPr>
        <w:t xml:space="preserve"> que resguarde el patrimonio de la institución y la fe pública</w:t>
      </w:r>
      <w:r w:rsidR="00A7117E">
        <w:rPr>
          <w:rFonts w:ascii="Arial" w:hAnsi="Arial" w:cs="Arial"/>
          <w:sz w:val="24"/>
          <w:szCs w:val="24"/>
        </w:rPr>
        <w:t>.</w:t>
      </w:r>
    </w:p>
    <w:p w14:paraId="373FEA12" w14:textId="77777777" w:rsidR="00A7117E" w:rsidRDefault="00A7117E" w:rsidP="00A7117E">
      <w:pPr>
        <w:pStyle w:val="Prrafodelista"/>
        <w:spacing w:line="360" w:lineRule="auto"/>
        <w:ind w:left="0"/>
        <w:jc w:val="both"/>
        <w:rPr>
          <w:rFonts w:ascii="Arial" w:hAnsi="Arial" w:cs="Arial"/>
          <w:b/>
          <w:sz w:val="24"/>
          <w:szCs w:val="24"/>
          <w:u w:val="single"/>
        </w:rPr>
      </w:pPr>
    </w:p>
    <w:p w14:paraId="69E8432C" w14:textId="76BC7776" w:rsidR="00BE1B19" w:rsidRPr="00A7117E" w:rsidRDefault="00BE1B19" w:rsidP="00A7117E">
      <w:pPr>
        <w:pStyle w:val="Prrafodelista"/>
        <w:spacing w:line="360" w:lineRule="auto"/>
        <w:ind w:left="0"/>
        <w:jc w:val="both"/>
        <w:rPr>
          <w:rFonts w:ascii="Arial" w:hAnsi="Arial" w:cs="Arial"/>
          <w:b/>
          <w:sz w:val="24"/>
          <w:szCs w:val="24"/>
          <w:u w:val="single"/>
        </w:rPr>
      </w:pPr>
      <w:r w:rsidRPr="00A7117E">
        <w:rPr>
          <w:rFonts w:ascii="Arial" w:hAnsi="Arial" w:cs="Arial"/>
          <w:b/>
          <w:sz w:val="24"/>
          <w:szCs w:val="24"/>
          <w:u w:val="single"/>
        </w:rPr>
        <w:t>Título IV.- Modificaciones a la Ley 20.129 que crea el Sistema Nacional de Aseguramiento de la Calidad de la Educación Superior</w:t>
      </w:r>
    </w:p>
    <w:p w14:paraId="0E65CD66" w14:textId="59C9472F" w:rsidR="00BE1B19" w:rsidRPr="00BE1B19" w:rsidRDefault="00BE1B19" w:rsidP="00BE1B19">
      <w:pPr>
        <w:numPr>
          <w:ilvl w:val="0"/>
          <w:numId w:val="15"/>
        </w:numPr>
        <w:spacing w:line="360" w:lineRule="auto"/>
        <w:jc w:val="both"/>
        <w:rPr>
          <w:rFonts w:ascii="Arial" w:hAnsi="Arial" w:cs="Arial"/>
          <w:sz w:val="24"/>
          <w:szCs w:val="24"/>
        </w:rPr>
      </w:pPr>
      <w:r w:rsidRPr="00BE1B19">
        <w:rPr>
          <w:rFonts w:ascii="Arial" w:hAnsi="Arial" w:cs="Arial"/>
          <w:sz w:val="24"/>
          <w:szCs w:val="24"/>
        </w:rPr>
        <w:t xml:space="preserve">El proyecto mantiene la actual CNA, pero modifica su composición y el mecanismo de designación de sus miembros, eliminando a los representantes de las IES. De </w:t>
      </w:r>
      <w:r w:rsidRPr="00BE1B19">
        <w:rPr>
          <w:rFonts w:ascii="Arial" w:hAnsi="Arial" w:cs="Arial"/>
          <w:sz w:val="24"/>
          <w:szCs w:val="24"/>
        </w:rPr>
        <w:lastRenderedPageBreak/>
        <w:t xml:space="preserve">este modo, se previenen potenciales conflictos de interés entre incumbentes e integrantes del organismo. </w:t>
      </w:r>
    </w:p>
    <w:p w14:paraId="56271C3D" w14:textId="76651667" w:rsidR="00BE1B19" w:rsidRPr="00A7117E" w:rsidRDefault="00BE1B19" w:rsidP="00BF157F">
      <w:pPr>
        <w:numPr>
          <w:ilvl w:val="0"/>
          <w:numId w:val="15"/>
        </w:numPr>
        <w:spacing w:line="360" w:lineRule="auto"/>
        <w:jc w:val="both"/>
        <w:rPr>
          <w:rFonts w:ascii="Arial" w:hAnsi="Arial" w:cs="Arial"/>
          <w:sz w:val="24"/>
          <w:szCs w:val="24"/>
        </w:rPr>
      </w:pPr>
      <w:r w:rsidRPr="00A7117E">
        <w:rPr>
          <w:rFonts w:ascii="Arial" w:hAnsi="Arial" w:cs="Arial"/>
          <w:sz w:val="24"/>
          <w:szCs w:val="24"/>
        </w:rPr>
        <w:t>El proyecto establece la acreditación institucional integral obligatoria</w:t>
      </w:r>
      <w:r w:rsidR="00A7117E">
        <w:rPr>
          <w:rFonts w:ascii="Arial" w:hAnsi="Arial" w:cs="Arial"/>
          <w:sz w:val="24"/>
          <w:szCs w:val="24"/>
        </w:rPr>
        <w:t xml:space="preserve"> en base a criterios y estándares</w:t>
      </w:r>
      <w:r w:rsidR="00A7117E" w:rsidRPr="00A7117E">
        <w:rPr>
          <w:rFonts w:ascii="Arial" w:hAnsi="Arial" w:cs="Arial"/>
          <w:sz w:val="24"/>
          <w:szCs w:val="24"/>
        </w:rPr>
        <w:t xml:space="preserve">. </w:t>
      </w:r>
      <w:r w:rsidRPr="00A7117E">
        <w:rPr>
          <w:rFonts w:ascii="Arial" w:hAnsi="Arial" w:cs="Arial"/>
          <w:sz w:val="24"/>
          <w:szCs w:val="24"/>
        </w:rPr>
        <w:t xml:space="preserve">La acreditación es de carácter integral porque comprende un muestreo de carreras de pre y postgrado. </w:t>
      </w:r>
    </w:p>
    <w:p w14:paraId="2066996C" w14:textId="77777777" w:rsidR="00BE1B19" w:rsidRPr="00BE1B19" w:rsidRDefault="00BE1B19" w:rsidP="00BE1B19">
      <w:pPr>
        <w:numPr>
          <w:ilvl w:val="0"/>
          <w:numId w:val="15"/>
        </w:numPr>
        <w:spacing w:line="360" w:lineRule="auto"/>
        <w:jc w:val="both"/>
        <w:rPr>
          <w:rFonts w:ascii="Arial" w:hAnsi="Arial" w:cs="Arial"/>
          <w:sz w:val="24"/>
          <w:szCs w:val="24"/>
        </w:rPr>
      </w:pPr>
      <w:r w:rsidRPr="00BE1B19">
        <w:rPr>
          <w:rFonts w:ascii="Arial" w:hAnsi="Arial" w:cs="Arial"/>
          <w:sz w:val="24"/>
          <w:szCs w:val="24"/>
        </w:rPr>
        <w:t>Los criterios y estándares para la acreditación son elaborados y aprobados por la CNA, previo informe del Comité de Coordinación.</w:t>
      </w:r>
    </w:p>
    <w:p w14:paraId="15C0A6C4" w14:textId="1E61A1B9" w:rsidR="00BE1B19" w:rsidRPr="00BE1B19" w:rsidRDefault="00BE1B19" w:rsidP="00BE1B19">
      <w:pPr>
        <w:numPr>
          <w:ilvl w:val="0"/>
          <w:numId w:val="15"/>
        </w:numPr>
        <w:spacing w:line="360" w:lineRule="auto"/>
        <w:jc w:val="both"/>
        <w:rPr>
          <w:rFonts w:ascii="Arial" w:hAnsi="Arial" w:cs="Arial"/>
          <w:sz w:val="24"/>
          <w:szCs w:val="24"/>
        </w:rPr>
      </w:pPr>
      <w:r w:rsidRPr="00BE1B19">
        <w:rPr>
          <w:rFonts w:ascii="Arial" w:hAnsi="Arial" w:cs="Arial"/>
          <w:sz w:val="24"/>
          <w:szCs w:val="24"/>
        </w:rPr>
        <w:t xml:space="preserve">Se mantiene la acreditación obligatoria de las carreras de pedagogía; y se establece como condición de existencia la acreditación obligatoria de las carreras de medicina (hoy sólo es para acceder a recursos públicos). </w:t>
      </w:r>
    </w:p>
    <w:p w14:paraId="61A68199" w14:textId="77777777" w:rsidR="00BE1B19" w:rsidRPr="00BE1B19" w:rsidRDefault="00BE1B19" w:rsidP="00BE1B19">
      <w:pPr>
        <w:numPr>
          <w:ilvl w:val="0"/>
          <w:numId w:val="15"/>
        </w:numPr>
        <w:spacing w:line="360" w:lineRule="auto"/>
        <w:jc w:val="both"/>
        <w:rPr>
          <w:rFonts w:ascii="Arial" w:hAnsi="Arial" w:cs="Arial"/>
          <w:sz w:val="24"/>
          <w:szCs w:val="24"/>
        </w:rPr>
      </w:pPr>
      <w:r w:rsidRPr="00BE1B19">
        <w:rPr>
          <w:rFonts w:ascii="Arial" w:hAnsi="Arial" w:cs="Arial"/>
          <w:sz w:val="24"/>
          <w:szCs w:val="24"/>
        </w:rPr>
        <w:t>Se eliminan las agencias acreditadoras privadas que realicen acreditación de carreras (magíster, especialidades del área de salud y carreras).</w:t>
      </w:r>
    </w:p>
    <w:p w14:paraId="4BC6BECC" w14:textId="3F3800CE" w:rsidR="00BE1B19" w:rsidRDefault="00A7117E" w:rsidP="00BE1B19">
      <w:pPr>
        <w:spacing w:line="360" w:lineRule="auto"/>
        <w:jc w:val="both"/>
        <w:rPr>
          <w:rFonts w:ascii="Arial" w:hAnsi="Arial" w:cs="Arial"/>
          <w:b/>
          <w:sz w:val="24"/>
          <w:szCs w:val="24"/>
        </w:rPr>
      </w:pPr>
      <w:r w:rsidRPr="00A7117E">
        <w:rPr>
          <w:rFonts w:ascii="Arial" w:hAnsi="Arial" w:cs="Arial"/>
          <w:b/>
          <w:sz w:val="24"/>
          <w:szCs w:val="24"/>
        </w:rPr>
        <w:t>Modificaciones</w:t>
      </w:r>
      <w:r>
        <w:rPr>
          <w:rFonts w:ascii="Arial" w:hAnsi="Arial" w:cs="Arial"/>
          <w:b/>
          <w:sz w:val="24"/>
          <w:szCs w:val="24"/>
        </w:rPr>
        <w:t>:</w:t>
      </w:r>
    </w:p>
    <w:p w14:paraId="4634AD62" w14:textId="77777777" w:rsidR="00A7117E" w:rsidRDefault="00A7117E" w:rsidP="00A7117E">
      <w:pPr>
        <w:pStyle w:val="Prrafodelista"/>
        <w:numPr>
          <w:ilvl w:val="1"/>
          <w:numId w:val="7"/>
        </w:numPr>
        <w:spacing w:line="360" w:lineRule="auto"/>
        <w:ind w:left="709" w:hanging="414"/>
        <w:jc w:val="both"/>
        <w:rPr>
          <w:rFonts w:ascii="Arial" w:hAnsi="Arial" w:cs="Arial"/>
          <w:sz w:val="24"/>
          <w:szCs w:val="24"/>
        </w:rPr>
      </w:pPr>
      <w:r>
        <w:rPr>
          <w:rFonts w:ascii="Arial" w:hAnsi="Arial" w:cs="Arial"/>
          <w:sz w:val="24"/>
          <w:szCs w:val="24"/>
        </w:rPr>
        <w:t>Se establecen niveles de acreditación institucional, eliminando la referencia a los años.</w:t>
      </w:r>
    </w:p>
    <w:p w14:paraId="6DEC69EE" w14:textId="77777777" w:rsidR="00A7117E" w:rsidRDefault="00A7117E" w:rsidP="00A7117E">
      <w:pPr>
        <w:pStyle w:val="Prrafodelista"/>
        <w:numPr>
          <w:ilvl w:val="1"/>
          <w:numId w:val="7"/>
        </w:numPr>
        <w:spacing w:line="360" w:lineRule="auto"/>
        <w:ind w:left="709" w:hanging="414"/>
        <w:jc w:val="both"/>
        <w:rPr>
          <w:rFonts w:ascii="Arial" w:hAnsi="Arial" w:cs="Arial"/>
          <w:sz w:val="24"/>
          <w:szCs w:val="24"/>
        </w:rPr>
      </w:pPr>
      <w:r>
        <w:rPr>
          <w:rFonts w:ascii="Arial" w:hAnsi="Arial" w:cs="Arial"/>
          <w:sz w:val="24"/>
          <w:szCs w:val="24"/>
        </w:rPr>
        <w:t xml:space="preserve">La CNA deberá definir criterios y estándares de evaluación que considerarán niveles de logro progresivo, diferenciados para formación universitaria y técnico profesional. </w:t>
      </w:r>
    </w:p>
    <w:p w14:paraId="21A8CDCB" w14:textId="77777777" w:rsidR="00A7117E" w:rsidRDefault="00A7117E" w:rsidP="00A7117E">
      <w:pPr>
        <w:pStyle w:val="Prrafodelista"/>
        <w:numPr>
          <w:ilvl w:val="1"/>
          <w:numId w:val="7"/>
        </w:numPr>
        <w:spacing w:line="360" w:lineRule="auto"/>
        <w:ind w:left="709" w:hanging="414"/>
        <w:jc w:val="both"/>
        <w:rPr>
          <w:rFonts w:ascii="Arial" w:hAnsi="Arial" w:cs="Arial"/>
          <w:sz w:val="24"/>
          <w:szCs w:val="24"/>
        </w:rPr>
      </w:pPr>
      <w:r w:rsidRPr="00345D72">
        <w:rPr>
          <w:rFonts w:ascii="Arial" w:hAnsi="Arial" w:cs="Arial"/>
          <w:sz w:val="24"/>
          <w:szCs w:val="24"/>
        </w:rPr>
        <w:t>Se mantiene la obligación de acreditar todas las dimensiones</w:t>
      </w:r>
      <w:r>
        <w:rPr>
          <w:rFonts w:ascii="Arial" w:hAnsi="Arial" w:cs="Arial"/>
          <w:sz w:val="24"/>
          <w:szCs w:val="24"/>
        </w:rPr>
        <w:t>,</w:t>
      </w:r>
      <w:r w:rsidRPr="00345D72">
        <w:rPr>
          <w:rFonts w:ascii="Arial" w:hAnsi="Arial" w:cs="Arial"/>
          <w:sz w:val="24"/>
          <w:szCs w:val="24"/>
        </w:rPr>
        <w:t xml:space="preserve"> salvo la dimensión de </w:t>
      </w:r>
      <w:r w:rsidRPr="00345D72">
        <w:rPr>
          <w:rFonts w:ascii="Arial" w:hAnsi="Arial" w:cs="Arial"/>
          <w:bCs/>
          <w:sz w:val="24"/>
          <w:szCs w:val="24"/>
          <w:lang w:val="es-ES"/>
        </w:rPr>
        <w:t>generación de conocimiento, creación y/o innovación,</w:t>
      </w:r>
      <w:r w:rsidRPr="00345D72">
        <w:rPr>
          <w:rFonts w:ascii="Arial" w:hAnsi="Arial" w:cs="Arial"/>
          <w:sz w:val="24"/>
          <w:szCs w:val="24"/>
        </w:rPr>
        <w:t xml:space="preserve"> que sólo será </w:t>
      </w:r>
      <w:r w:rsidRPr="004664DE">
        <w:rPr>
          <w:rFonts w:ascii="Arial" w:hAnsi="Arial" w:cs="Arial"/>
          <w:sz w:val="24"/>
          <w:szCs w:val="24"/>
        </w:rPr>
        <w:t>obligatoria para obtener la acreditación de excelencia</w:t>
      </w:r>
      <w:r>
        <w:rPr>
          <w:rFonts w:ascii="Arial" w:hAnsi="Arial" w:cs="Arial"/>
          <w:sz w:val="24"/>
          <w:szCs w:val="24"/>
        </w:rPr>
        <w:t>, que es la más alta del sistema</w:t>
      </w:r>
      <w:r w:rsidRPr="004664DE">
        <w:rPr>
          <w:rFonts w:ascii="Arial" w:hAnsi="Arial" w:cs="Arial"/>
          <w:sz w:val="24"/>
          <w:szCs w:val="24"/>
        </w:rPr>
        <w:t xml:space="preserve">. </w:t>
      </w:r>
    </w:p>
    <w:p w14:paraId="63EBA1D0" w14:textId="77777777" w:rsidR="00A7117E" w:rsidRPr="00A62A15" w:rsidRDefault="00A7117E" w:rsidP="00A7117E">
      <w:pPr>
        <w:pStyle w:val="Prrafodelista"/>
        <w:numPr>
          <w:ilvl w:val="1"/>
          <w:numId w:val="7"/>
        </w:numPr>
        <w:spacing w:line="360" w:lineRule="auto"/>
        <w:ind w:left="709" w:hanging="414"/>
        <w:jc w:val="both"/>
        <w:rPr>
          <w:rFonts w:ascii="Arial" w:hAnsi="Arial" w:cs="Arial"/>
          <w:sz w:val="24"/>
          <w:szCs w:val="24"/>
        </w:rPr>
      </w:pPr>
      <w:r w:rsidRPr="00A62A15">
        <w:rPr>
          <w:rFonts w:ascii="Arial" w:hAnsi="Arial" w:cs="Arial"/>
          <w:sz w:val="24"/>
          <w:szCs w:val="24"/>
        </w:rPr>
        <w:t xml:space="preserve">El financiamiento de la gratuidad considerará las dimensiones acreditadas en el cálculo del arancel regulado. </w:t>
      </w:r>
    </w:p>
    <w:p w14:paraId="22926763" w14:textId="77777777" w:rsidR="00BE1B19" w:rsidRPr="00BE1B19" w:rsidRDefault="00BE1B19" w:rsidP="00BE1B19">
      <w:pPr>
        <w:spacing w:line="360" w:lineRule="auto"/>
        <w:jc w:val="both"/>
        <w:rPr>
          <w:rFonts w:ascii="Arial" w:hAnsi="Arial" w:cs="Arial"/>
          <w:b/>
          <w:sz w:val="24"/>
          <w:szCs w:val="24"/>
          <w:u w:val="single"/>
        </w:rPr>
      </w:pPr>
      <w:r w:rsidRPr="00BE1B19">
        <w:rPr>
          <w:rFonts w:ascii="Arial" w:hAnsi="Arial" w:cs="Arial"/>
          <w:b/>
          <w:sz w:val="24"/>
          <w:szCs w:val="24"/>
          <w:u w:val="single"/>
        </w:rPr>
        <w:t>Título V.- Del Financiamiento Institucional para la Gratuidad</w:t>
      </w:r>
    </w:p>
    <w:p w14:paraId="6594FB2F" w14:textId="7FDDE689" w:rsidR="00BE1B19" w:rsidRPr="00BE1B19" w:rsidRDefault="00BE1B19" w:rsidP="00BE1B19">
      <w:pPr>
        <w:numPr>
          <w:ilvl w:val="0"/>
          <w:numId w:val="16"/>
        </w:numPr>
        <w:spacing w:line="360" w:lineRule="auto"/>
        <w:jc w:val="both"/>
        <w:rPr>
          <w:rFonts w:ascii="Arial" w:hAnsi="Arial" w:cs="Arial"/>
          <w:sz w:val="24"/>
          <w:szCs w:val="24"/>
        </w:rPr>
      </w:pPr>
      <w:r w:rsidRPr="00BE1B19">
        <w:rPr>
          <w:rFonts w:ascii="Arial" w:hAnsi="Arial" w:cs="Arial"/>
          <w:sz w:val="24"/>
          <w:szCs w:val="24"/>
        </w:rPr>
        <w:t xml:space="preserve">El proyecto establece la gratuidad para los estudios de pregrado de los y las estudiantes en las instituciones de educación superior que cumplan </w:t>
      </w:r>
      <w:r w:rsidR="00A7117E">
        <w:rPr>
          <w:rFonts w:ascii="Arial" w:hAnsi="Arial" w:cs="Arial"/>
          <w:sz w:val="24"/>
          <w:szCs w:val="24"/>
        </w:rPr>
        <w:t>requisitos de calidad y los demás que establece la ley.</w:t>
      </w:r>
    </w:p>
    <w:p w14:paraId="6A5020C1" w14:textId="77777777" w:rsidR="00BE1B19" w:rsidRPr="00BE1B19" w:rsidRDefault="00BE1B19" w:rsidP="00BE1B19">
      <w:pPr>
        <w:numPr>
          <w:ilvl w:val="0"/>
          <w:numId w:val="16"/>
        </w:numPr>
        <w:spacing w:line="360" w:lineRule="auto"/>
        <w:jc w:val="both"/>
        <w:rPr>
          <w:rFonts w:ascii="Arial" w:hAnsi="Arial" w:cs="Arial"/>
          <w:sz w:val="24"/>
          <w:szCs w:val="24"/>
        </w:rPr>
      </w:pPr>
      <w:r w:rsidRPr="00BE1B19">
        <w:rPr>
          <w:rFonts w:ascii="Arial" w:hAnsi="Arial" w:cs="Arial"/>
          <w:sz w:val="24"/>
          <w:szCs w:val="24"/>
        </w:rPr>
        <w:lastRenderedPageBreak/>
        <w:t>Se mantiene en la transición el avance hacia la gratuidad universal mediante indicadores de crecimiento económico y recaudación tributaria. El 2018 la gratuidad se extenderá al sexto decil. En la medida que el país crezca económicamente la gratuidad se extenderá a los deciles 7, 8, 9 y 10.</w:t>
      </w:r>
    </w:p>
    <w:p w14:paraId="30750D2A" w14:textId="77777777" w:rsidR="00BE1B19" w:rsidRPr="00BE1B19" w:rsidRDefault="00BE1B19" w:rsidP="00BE1B19">
      <w:pPr>
        <w:numPr>
          <w:ilvl w:val="0"/>
          <w:numId w:val="16"/>
        </w:numPr>
        <w:spacing w:line="360" w:lineRule="auto"/>
        <w:jc w:val="both"/>
        <w:rPr>
          <w:rFonts w:ascii="Arial" w:hAnsi="Arial" w:cs="Arial"/>
          <w:sz w:val="24"/>
          <w:szCs w:val="24"/>
        </w:rPr>
      </w:pPr>
      <w:r w:rsidRPr="00BE1B19">
        <w:rPr>
          <w:rFonts w:ascii="Arial" w:hAnsi="Arial" w:cs="Arial"/>
          <w:sz w:val="24"/>
          <w:szCs w:val="24"/>
        </w:rPr>
        <w:t>Los aportes basales de las universidades estatales (Convenio Marco) se establecerán en el proyecto de ley que las regulará. Por otra parte, se mantiene el Aporte Fiscal Directo así como también otros recursos basales que se establecen en la Ley de Presupuestos, tales como el Basal por Desempeño.</w:t>
      </w:r>
    </w:p>
    <w:p w14:paraId="4BA2810D" w14:textId="174F4CBF" w:rsidR="00DB4083" w:rsidRPr="00DB4083" w:rsidRDefault="00DB4083" w:rsidP="00BE1B19">
      <w:pPr>
        <w:spacing w:line="360" w:lineRule="auto"/>
        <w:jc w:val="both"/>
        <w:rPr>
          <w:rFonts w:ascii="Arial" w:hAnsi="Arial" w:cs="Arial"/>
          <w:b/>
          <w:sz w:val="24"/>
          <w:szCs w:val="24"/>
        </w:rPr>
      </w:pPr>
      <w:r w:rsidRPr="00DB4083">
        <w:rPr>
          <w:rFonts w:ascii="Arial" w:hAnsi="Arial" w:cs="Arial"/>
          <w:b/>
          <w:sz w:val="24"/>
          <w:szCs w:val="24"/>
        </w:rPr>
        <w:t>Modificaciones:</w:t>
      </w:r>
    </w:p>
    <w:p w14:paraId="6F4EB669" w14:textId="7A73E75E" w:rsidR="00DB4083" w:rsidRPr="005B7F9F" w:rsidRDefault="00DB4083" w:rsidP="00DB4083">
      <w:pPr>
        <w:pStyle w:val="Prrafodelista"/>
        <w:numPr>
          <w:ilvl w:val="0"/>
          <w:numId w:val="6"/>
        </w:numPr>
        <w:spacing w:line="360" w:lineRule="auto"/>
        <w:jc w:val="both"/>
        <w:rPr>
          <w:rFonts w:ascii="Arial" w:hAnsi="Arial" w:cs="Arial"/>
          <w:sz w:val="24"/>
          <w:szCs w:val="24"/>
        </w:rPr>
      </w:pPr>
      <w:r w:rsidRPr="00DB4083">
        <w:rPr>
          <w:rFonts w:ascii="Arial" w:hAnsi="Arial" w:cs="Arial"/>
          <w:sz w:val="24"/>
          <w:szCs w:val="24"/>
        </w:rPr>
        <w:t>Se e</w:t>
      </w:r>
      <w:r w:rsidRPr="005B7F9F">
        <w:rPr>
          <w:rFonts w:ascii="Arial" w:hAnsi="Arial" w:cs="Arial"/>
          <w:sz w:val="24"/>
          <w:szCs w:val="24"/>
        </w:rPr>
        <w:t xml:space="preserve">liminación </w:t>
      </w:r>
      <w:r>
        <w:rPr>
          <w:rFonts w:ascii="Arial" w:hAnsi="Arial" w:cs="Arial"/>
          <w:sz w:val="24"/>
          <w:szCs w:val="24"/>
        </w:rPr>
        <w:t xml:space="preserve">el nuevo </w:t>
      </w:r>
      <w:r w:rsidRPr="005B7F9F">
        <w:rPr>
          <w:rFonts w:ascii="Arial" w:hAnsi="Arial" w:cs="Arial"/>
          <w:sz w:val="24"/>
          <w:szCs w:val="24"/>
        </w:rPr>
        <w:t xml:space="preserve">requisito para acceder a la gratuidad incorporado </w:t>
      </w:r>
      <w:r>
        <w:rPr>
          <w:rFonts w:ascii="Arial" w:hAnsi="Arial" w:cs="Arial"/>
          <w:sz w:val="24"/>
          <w:szCs w:val="24"/>
        </w:rPr>
        <w:t>por indicación parlamentaria, que excluye de la gratuidad a las IES por el solo incumplimiento de una norma reglamentaria.</w:t>
      </w:r>
    </w:p>
    <w:p w14:paraId="39B8DEEB" w14:textId="56EB41FD" w:rsidR="00DB4083" w:rsidRPr="005B7F9F" w:rsidRDefault="00DB4083" w:rsidP="00DB4083">
      <w:pPr>
        <w:pStyle w:val="Prrafodelista"/>
        <w:numPr>
          <w:ilvl w:val="0"/>
          <w:numId w:val="6"/>
        </w:numPr>
        <w:spacing w:line="360" w:lineRule="auto"/>
        <w:jc w:val="both"/>
        <w:rPr>
          <w:rFonts w:ascii="Arial" w:hAnsi="Arial" w:cs="Arial"/>
          <w:sz w:val="24"/>
          <w:szCs w:val="24"/>
        </w:rPr>
      </w:pPr>
      <w:r>
        <w:rPr>
          <w:rFonts w:ascii="Arial" w:hAnsi="Arial" w:cs="Arial"/>
          <w:sz w:val="24"/>
          <w:szCs w:val="24"/>
        </w:rPr>
        <w:t>S</w:t>
      </w:r>
      <w:r w:rsidRPr="005B7F9F">
        <w:rPr>
          <w:rFonts w:ascii="Arial" w:hAnsi="Arial" w:cs="Arial"/>
          <w:sz w:val="24"/>
          <w:szCs w:val="24"/>
        </w:rPr>
        <w:t>e perfecciona la regulación de vacantes</w:t>
      </w:r>
      <w:r>
        <w:rPr>
          <w:rFonts w:ascii="Arial" w:hAnsi="Arial" w:cs="Arial"/>
          <w:sz w:val="24"/>
          <w:szCs w:val="24"/>
        </w:rPr>
        <w:t xml:space="preserve"> incorporando </w:t>
      </w:r>
      <w:r w:rsidRPr="005B7F9F">
        <w:rPr>
          <w:rFonts w:ascii="Arial" w:hAnsi="Arial" w:cs="Arial"/>
          <w:sz w:val="24"/>
          <w:szCs w:val="24"/>
        </w:rPr>
        <w:t>un r</w:t>
      </w:r>
      <w:r>
        <w:rPr>
          <w:rFonts w:ascii="Arial" w:hAnsi="Arial" w:cs="Arial"/>
          <w:sz w:val="24"/>
          <w:szCs w:val="24"/>
        </w:rPr>
        <w:t xml:space="preserve">égimen de excepciones que permite incrementos de vacantes por programas especiales de acceso o relacionados con el desarrollo estratégico del país y sus regiones. </w:t>
      </w:r>
    </w:p>
    <w:p w14:paraId="044CB21E" w14:textId="455DA4E1" w:rsidR="00DB4083" w:rsidRPr="00DB6897" w:rsidRDefault="00DB4083" w:rsidP="00DB4083">
      <w:pPr>
        <w:pStyle w:val="Prrafodelista"/>
        <w:numPr>
          <w:ilvl w:val="0"/>
          <w:numId w:val="6"/>
        </w:numPr>
        <w:spacing w:line="360" w:lineRule="auto"/>
        <w:jc w:val="both"/>
        <w:rPr>
          <w:rFonts w:ascii="Arial" w:hAnsi="Arial" w:cs="Arial"/>
          <w:sz w:val="24"/>
          <w:szCs w:val="24"/>
        </w:rPr>
      </w:pPr>
      <w:r>
        <w:rPr>
          <w:rFonts w:ascii="Arial" w:hAnsi="Arial" w:cs="Arial"/>
          <w:sz w:val="24"/>
          <w:szCs w:val="24"/>
        </w:rPr>
        <w:t>S</w:t>
      </w:r>
      <w:r w:rsidRPr="005B7F9F">
        <w:rPr>
          <w:rFonts w:ascii="Arial" w:hAnsi="Arial" w:cs="Arial"/>
          <w:sz w:val="24"/>
          <w:szCs w:val="24"/>
        </w:rPr>
        <w:t xml:space="preserve">e incorpora </w:t>
      </w:r>
      <w:r>
        <w:rPr>
          <w:rFonts w:ascii="Arial" w:hAnsi="Arial" w:cs="Arial"/>
          <w:sz w:val="24"/>
          <w:szCs w:val="24"/>
        </w:rPr>
        <w:t xml:space="preserve">una </w:t>
      </w:r>
      <w:r w:rsidRPr="005B7F9F">
        <w:rPr>
          <w:rFonts w:ascii="Arial" w:hAnsi="Arial" w:cs="Arial"/>
          <w:sz w:val="24"/>
          <w:szCs w:val="24"/>
        </w:rPr>
        <w:t xml:space="preserve">modificación a la duración de los estudios gratuitos </w:t>
      </w:r>
      <w:r>
        <w:rPr>
          <w:rFonts w:ascii="Arial" w:hAnsi="Arial" w:cs="Arial"/>
          <w:sz w:val="24"/>
          <w:szCs w:val="24"/>
        </w:rPr>
        <w:t xml:space="preserve">que le permitirá a los estudiantes de carreras técnico profesionales continuar estudios profesionales de forma gratuita </w:t>
      </w:r>
      <w:r w:rsidRPr="005B7F9F">
        <w:rPr>
          <w:rFonts w:ascii="Arial" w:hAnsi="Arial" w:cs="Arial"/>
          <w:sz w:val="24"/>
          <w:szCs w:val="24"/>
        </w:rPr>
        <w:t>(art.108).</w:t>
      </w:r>
      <w:r>
        <w:rPr>
          <w:rFonts w:ascii="Arial" w:hAnsi="Arial" w:cs="Arial"/>
          <w:sz w:val="24"/>
          <w:szCs w:val="24"/>
        </w:rPr>
        <w:t xml:space="preserve"> Ello, siempre que la institución reconozca parte de los estudios previos.</w:t>
      </w:r>
    </w:p>
    <w:p w14:paraId="1586C333" w14:textId="24FDA77E" w:rsidR="00BE1B19" w:rsidRPr="00BE1B19" w:rsidRDefault="00BE1B19" w:rsidP="00BE1B19">
      <w:pPr>
        <w:spacing w:line="360" w:lineRule="auto"/>
        <w:jc w:val="both"/>
        <w:rPr>
          <w:rFonts w:ascii="Arial" w:hAnsi="Arial" w:cs="Arial"/>
          <w:b/>
          <w:sz w:val="24"/>
          <w:szCs w:val="24"/>
          <w:u w:val="single"/>
        </w:rPr>
      </w:pPr>
      <w:r w:rsidRPr="00BE1B19">
        <w:rPr>
          <w:rFonts w:ascii="Arial" w:hAnsi="Arial" w:cs="Arial"/>
          <w:b/>
          <w:sz w:val="24"/>
          <w:szCs w:val="24"/>
          <w:u w:val="single"/>
        </w:rPr>
        <w:t>Título VI. Disposiciones finales</w:t>
      </w:r>
    </w:p>
    <w:p w14:paraId="69025F78" w14:textId="16726F4E" w:rsidR="0016479C" w:rsidRPr="005B33A6" w:rsidRDefault="00BE1B19" w:rsidP="003974CA">
      <w:pPr>
        <w:numPr>
          <w:ilvl w:val="0"/>
          <w:numId w:val="17"/>
        </w:numPr>
        <w:spacing w:line="360" w:lineRule="auto"/>
        <w:jc w:val="both"/>
        <w:rPr>
          <w:rFonts w:ascii="Arial" w:hAnsi="Arial" w:cs="Arial"/>
          <w:sz w:val="24"/>
          <w:szCs w:val="24"/>
        </w:rPr>
      </w:pPr>
      <w:r w:rsidRPr="005B33A6">
        <w:rPr>
          <w:rFonts w:ascii="Arial" w:hAnsi="Arial" w:cs="Arial"/>
          <w:sz w:val="24"/>
          <w:szCs w:val="24"/>
        </w:rPr>
        <w:t>El proyecto adecúa una serie de cuerpos legales a la nueva institucionalidad que se crea y el nuevo marco regulatorio</w:t>
      </w:r>
      <w:r w:rsidR="005B33A6" w:rsidRPr="005B33A6">
        <w:rPr>
          <w:rFonts w:ascii="Arial" w:hAnsi="Arial" w:cs="Arial"/>
          <w:sz w:val="24"/>
          <w:szCs w:val="24"/>
        </w:rPr>
        <w:t>.</w:t>
      </w:r>
    </w:p>
    <w:sectPr w:rsidR="0016479C" w:rsidRPr="005B33A6" w:rsidSect="001B7DBE">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FD0AB" w14:textId="77777777" w:rsidR="009A0229" w:rsidRDefault="009A0229" w:rsidP="001A3CD1">
      <w:pPr>
        <w:spacing w:after="0" w:line="240" w:lineRule="auto"/>
      </w:pPr>
      <w:r>
        <w:separator/>
      </w:r>
    </w:p>
  </w:endnote>
  <w:endnote w:type="continuationSeparator" w:id="0">
    <w:p w14:paraId="491C7AD2" w14:textId="77777777" w:rsidR="009A0229" w:rsidRDefault="009A0229" w:rsidP="001A3CD1">
      <w:pPr>
        <w:spacing w:after="0" w:line="240" w:lineRule="auto"/>
      </w:pPr>
      <w:r>
        <w:continuationSeparator/>
      </w:r>
    </w:p>
  </w:endnote>
  <w:endnote w:type="continuationNotice" w:id="1">
    <w:p w14:paraId="0201B4F3" w14:textId="77777777" w:rsidR="009A0229" w:rsidRDefault="009A02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112863"/>
      <w:docPartObj>
        <w:docPartGallery w:val="Page Numbers (Bottom of Page)"/>
        <w:docPartUnique/>
      </w:docPartObj>
    </w:sdtPr>
    <w:sdtEndPr/>
    <w:sdtContent>
      <w:p w14:paraId="5E8330C2" w14:textId="43B1822D" w:rsidR="00941BFE" w:rsidRDefault="00941BFE">
        <w:pPr>
          <w:pStyle w:val="Piedepgina"/>
          <w:jc w:val="center"/>
        </w:pPr>
        <w:r>
          <w:fldChar w:fldCharType="begin"/>
        </w:r>
        <w:r>
          <w:instrText>PAGE   \* MERGEFORMAT</w:instrText>
        </w:r>
        <w:r>
          <w:fldChar w:fldCharType="separate"/>
        </w:r>
        <w:r w:rsidR="00932C02" w:rsidRPr="00932C02">
          <w:rPr>
            <w:noProof/>
            <w:lang w:val="es-ES"/>
          </w:rPr>
          <w:t>1</w:t>
        </w:r>
        <w:r>
          <w:fldChar w:fldCharType="end"/>
        </w:r>
      </w:p>
    </w:sdtContent>
  </w:sdt>
  <w:p w14:paraId="69F2750A" w14:textId="77777777" w:rsidR="00941BFE" w:rsidRDefault="00941B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A7787" w14:textId="77777777" w:rsidR="009A0229" w:rsidRDefault="009A0229" w:rsidP="001A3CD1">
      <w:pPr>
        <w:spacing w:after="0" w:line="240" w:lineRule="auto"/>
      </w:pPr>
      <w:r>
        <w:separator/>
      </w:r>
    </w:p>
  </w:footnote>
  <w:footnote w:type="continuationSeparator" w:id="0">
    <w:p w14:paraId="1BFBCEBB" w14:textId="77777777" w:rsidR="009A0229" w:rsidRDefault="009A0229" w:rsidP="001A3CD1">
      <w:pPr>
        <w:spacing w:after="0" w:line="240" w:lineRule="auto"/>
      </w:pPr>
      <w:r>
        <w:continuationSeparator/>
      </w:r>
    </w:p>
  </w:footnote>
  <w:footnote w:type="continuationNotice" w:id="1">
    <w:p w14:paraId="170B969A" w14:textId="77777777" w:rsidR="009A0229" w:rsidRDefault="009A022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1DA0A" w14:textId="02EB39F7" w:rsidR="00941BFE" w:rsidRDefault="00BE1B19">
    <w:pPr>
      <w:pStyle w:val="Encabezado"/>
    </w:pPr>
    <w:r>
      <w:t>CONFIDENCIAL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430"/>
    <w:multiLevelType w:val="hybridMultilevel"/>
    <w:tmpl w:val="8E4A4BA4"/>
    <w:lvl w:ilvl="0" w:tplc="7188F5D0">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0920848"/>
    <w:multiLevelType w:val="hybridMultilevel"/>
    <w:tmpl w:val="449EBE7C"/>
    <w:lvl w:ilvl="0" w:tplc="207C86E0">
      <w:start w:val="1"/>
      <w:numFmt w:val="lowerLetter"/>
      <w:lvlText w:val="%1)"/>
      <w:lvlJc w:val="left"/>
      <w:pPr>
        <w:ind w:left="360" w:hanging="360"/>
      </w:pPr>
      <w:rPr>
        <w:rFonts w:ascii="Arial" w:eastAsiaTheme="minorHAnsi" w:hAnsi="Arial" w:cs="Arial"/>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03870089"/>
    <w:multiLevelType w:val="hybridMultilevel"/>
    <w:tmpl w:val="1FD81C9A"/>
    <w:lvl w:ilvl="0" w:tplc="7F961F52">
      <w:start w:val="5"/>
      <w:numFmt w:val="decimal"/>
      <w:lvlText w:val="%1."/>
      <w:lvlJc w:val="left"/>
      <w:pPr>
        <w:ind w:left="360" w:hanging="360"/>
      </w:pPr>
      <w:rPr>
        <w:rFonts w:hint="default"/>
        <w:b/>
      </w:rPr>
    </w:lvl>
    <w:lvl w:ilvl="1" w:tplc="A4304C7E">
      <w:start w:val="1"/>
      <w:numFmt w:val="lowerLetter"/>
      <w:lvlText w:val="%2."/>
      <w:lvlJc w:val="left"/>
      <w:pPr>
        <w:ind w:left="1080" w:hanging="360"/>
      </w:pPr>
      <w:rPr>
        <w:b/>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1A62480E"/>
    <w:multiLevelType w:val="hybridMultilevel"/>
    <w:tmpl w:val="1292EFD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1EE451B3"/>
    <w:multiLevelType w:val="hybridMultilevel"/>
    <w:tmpl w:val="C130F87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22926DB4"/>
    <w:multiLevelType w:val="hybridMultilevel"/>
    <w:tmpl w:val="6ADAB770"/>
    <w:lvl w:ilvl="0" w:tplc="334C37CE">
      <w:start w:val="6"/>
      <w:numFmt w:val="decimal"/>
      <w:lvlText w:val="%1."/>
      <w:lvlJc w:val="left"/>
      <w:pPr>
        <w:ind w:left="360" w:hanging="360"/>
      </w:pPr>
      <w:rPr>
        <w:rFonts w:hint="default"/>
        <w:b/>
      </w:rPr>
    </w:lvl>
    <w:lvl w:ilvl="1" w:tplc="BF0472B0">
      <w:start w:val="1"/>
      <w:numFmt w:val="lowerLetter"/>
      <w:lvlText w:val="%2."/>
      <w:lvlJc w:val="left"/>
      <w:pPr>
        <w:ind w:left="1080" w:hanging="360"/>
      </w:pPr>
      <w:rPr>
        <w:b/>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25AC77FF"/>
    <w:multiLevelType w:val="hybridMultilevel"/>
    <w:tmpl w:val="E82677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1676D1D"/>
    <w:multiLevelType w:val="hybridMultilevel"/>
    <w:tmpl w:val="B29CA80C"/>
    <w:lvl w:ilvl="0" w:tplc="7188F5D0">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1B05C52"/>
    <w:multiLevelType w:val="hybridMultilevel"/>
    <w:tmpl w:val="0A74832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33A75D3F"/>
    <w:multiLevelType w:val="hybridMultilevel"/>
    <w:tmpl w:val="E3388B72"/>
    <w:lvl w:ilvl="0" w:tplc="E328191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45307FB"/>
    <w:multiLevelType w:val="hybridMultilevel"/>
    <w:tmpl w:val="EB6C3D62"/>
    <w:lvl w:ilvl="0" w:tplc="C9B0F0A0">
      <w:start w:val="2"/>
      <w:numFmt w:val="bullet"/>
      <w:lvlText w:val=""/>
      <w:lvlJc w:val="left"/>
      <w:pPr>
        <w:ind w:left="720" w:hanging="360"/>
      </w:pPr>
      <w:rPr>
        <w:rFonts w:ascii="Wingdings" w:eastAsiaTheme="minorHAnsi" w:hAnsi="Wingdings"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39F6F0B"/>
    <w:multiLevelType w:val="hybridMultilevel"/>
    <w:tmpl w:val="7D22EC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nsid w:val="65CE4D5D"/>
    <w:multiLevelType w:val="hybridMultilevel"/>
    <w:tmpl w:val="804EA11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66B162F4"/>
    <w:multiLevelType w:val="hybridMultilevel"/>
    <w:tmpl w:val="83EC70EC"/>
    <w:lvl w:ilvl="0" w:tplc="4818232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8EF59E4"/>
    <w:multiLevelType w:val="hybridMultilevel"/>
    <w:tmpl w:val="92E834C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6D0538CF"/>
    <w:multiLevelType w:val="hybridMultilevel"/>
    <w:tmpl w:val="4A807EB6"/>
    <w:lvl w:ilvl="0" w:tplc="340A001B">
      <w:start w:val="1"/>
      <w:numFmt w:val="low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4E550FD"/>
    <w:multiLevelType w:val="hybridMultilevel"/>
    <w:tmpl w:val="A0BCB79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6DA68C9"/>
    <w:multiLevelType w:val="hybridMultilevel"/>
    <w:tmpl w:val="FB9AD6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6"/>
  </w:num>
  <w:num w:numId="3">
    <w:abstractNumId w:val="15"/>
  </w:num>
  <w:num w:numId="4">
    <w:abstractNumId w:val="7"/>
  </w:num>
  <w:num w:numId="5">
    <w:abstractNumId w:val="5"/>
  </w:num>
  <w:num w:numId="6">
    <w:abstractNumId w:val="0"/>
  </w:num>
  <w:num w:numId="7">
    <w:abstractNumId w:val="2"/>
  </w:num>
  <w:num w:numId="8">
    <w:abstractNumId w:val="17"/>
  </w:num>
  <w:num w:numId="9">
    <w:abstractNumId w:val="6"/>
  </w:num>
  <w:num w:numId="10">
    <w:abstractNumId w:val="9"/>
  </w:num>
  <w:num w:numId="11">
    <w:abstractNumId w:val="13"/>
  </w:num>
  <w:num w:numId="12">
    <w:abstractNumId w:val="4"/>
  </w:num>
  <w:num w:numId="13">
    <w:abstractNumId w:val="11"/>
  </w:num>
  <w:num w:numId="14">
    <w:abstractNumId w:val="3"/>
  </w:num>
  <w:num w:numId="15">
    <w:abstractNumId w:val="8"/>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BD3"/>
    <w:rsid w:val="00005AD4"/>
    <w:rsid w:val="00006483"/>
    <w:rsid w:val="00016307"/>
    <w:rsid w:val="0002464B"/>
    <w:rsid w:val="00032D7F"/>
    <w:rsid w:val="00076E09"/>
    <w:rsid w:val="0009569D"/>
    <w:rsid w:val="000A0AE6"/>
    <w:rsid w:val="000B303D"/>
    <w:rsid w:val="000C2794"/>
    <w:rsid w:val="000C5519"/>
    <w:rsid w:val="000C65E7"/>
    <w:rsid w:val="000D796D"/>
    <w:rsid w:val="000E07BC"/>
    <w:rsid w:val="000E0AFA"/>
    <w:rsid w:val="000E16AA"/>
    <w:rsid w:val="000F0F2B"/>
    <w:rsid w:val="00105B95"/>
    <w:rsid w:val="0013626C"/>
    <w:rsid w:val="00142A93"/>
    <w:rsid w:val="0014350E"/>
    <w:rsid w:val="00145B21"/>
    <w:rsid w:val="00154FC0"/>
    <w:rsid w:val="00157513"/>
    <w:rsid w:val="00161636"/>
    <w:rsid w:val="0016479C"/>
    <w:rsid w:val="001763D8"/>
    <w:rsid w:val="00192F77"/>
    <w:rsid w:val="0019480E"/>
    <w:rsid w:val="001A3CD1"/>
    <w:rsid w:val="001B7DBE"/>
    <w:rsid w:val="001C0921"/>
    <w:rsid w:val="001D5AD4"/>
    <w:rsid w:val="001E4B9A"/>
    <w:rsid w:val="001E6052"/>
    <w:rsid w:val="00220570"/>
    <w:rsid w:val="00237E47"/>
    <w:rsid w:val="002447F7"/>
    <w:rsid w:val="00247B04"/>
    <w:rsid w:val="00253DD4"/>
    <w:rsid w:val="00266501"/>
    <w:rsid w:val="00267B9E"/>
    <w:rsid w:val="0027157B"/>
    <w:rsid w:val="002A2D3E"/>
    <w:rsid w:val="002B00A4"/>
    <w:rsid w:val="002B640A"/>
    <w:rsid w:val="002C198A"/>
    <w:rsid w:val="002D27D1"/>
    <w:rsid w:val="002E379F"/>
    <w:rsid w:val="002F3191"/>
    <w:rsid w:val="00300707"/>
    <w:rsid w:val="003013A3"/>
    <w:rsid w:val="00345D72"/>
    <w:rsid w:val="00350DFB"/>
    <w:rsid w:val="00366C35"/>
    <w:rsid w:val="003C15A8"/>
    <w:rsid w:val="003C2206"/>
    <w:rsid w:val="003D2D10"/>
    <w:rsid w:val="003E688C"/>
    <w:rsid w:val="003F0241"/>
    <w:rsid w:val="00402B47"/>
    <w:rsid w:val="004228D3"/>
    <w:rsid w:val="00431417"/>
    <w:rsid w:val="0045161D"/>
    <w:rsid w:val="004664DE"/>
    <w:rsid w:val="00466BD4"/>
    <w:rsid w:val="00466D19"/>
    <w:rsid w:val="004837FA"/>
    <w:rsid w:val="0048601E"/>
    <w:rsid w:val="004914D6"/>
    <w:rsid w:val="00494607"/>
    <w:rsid w:val="004A44F8"/>
    <w:rsid w:val="004B6211"/>
    <w:rsid w:val="004F78F2"/>
    <w:rsid w:val="005079C8"/>
    <w:rsid w:val="00521C24"/>
    <w:rsid w:val="00533665"/>
    <w:rsid w:val="00566752"/>
    <w:rsid w:val="00572387"/>
    <w:rsid w:val="00576D33"/>
    <w:rsid w:val="0058120A"/>
    <w:rsid w:val="00583B68"/>
    <w:rsid w:val="005919E2"/>
    <w:rsid w:val="0059485E"/>
    <w:rsid w:val="005B1565"/>
    <w:rsid w:val="005B33A6"/>
    <w:rsid w:val="005B42D4"/>
    <w:rsid w:val="005B7F9F"/>
    <w:rsid w:val="005E1FF8"/>
    <w:rsid w:val="00617078"/>
    <w:rsid w:val="00622A6B"/>
    <w:rsid w:val="0062555D"/>
    <w:rsid w:val="006344C9"/>
    <w:rsid w:val="00644079"/>
    <w:rsid w:val="00645A40"/>
    <w:rsid w:val="006501B8"/>
    <w:rsid w:val="00652F8A"/>
    <w:rsid w:val="00655276"/>
    <w:rsid w:val="00662E9F"/>
    <w:rsid w:val="006827E7"/>
    <w:rsid w:val="006969C7"/>
    <w:rsid w:val="006A3A44"/>
    <w:rsid w:val="006B0A59"/>
    <w:rsid w:val="006B17F9"/>
    <w:rsid w:val="006C756B"/>
    <w:rsid w:val="006D1FD9"/>
    <w:rsid w:val="006E0E58"/>
    <w:rsid w:val="006E4B64"/>
    <w:rsid w:val="006E55CF"/>
    <w:rsid w:val="006E6350"/>
    <w:rsid w:val="006E6CF4"/>
    <w:rsid w:val="0070595A"/>
    <w:rsid w:val="007172B4"/>
    <w:rsid w:val="00724BAB"/>
    <w:rsid w:val="0073108D"/>
    <w:rsid w:val="00742BA1"/>
    <w:rsid w:val="00747E18"/>
    <w:rsid w:val="00766D4D"/>
    <w:rsid w:val="0078609F"/>
    <w:rsid w:val="00792B17"/>
    <w:rsid w:val="007B0BD3"/>
    <w:rsid w:val="007B3DD2"/>
    <w:rsid w:val="007C400A"/>
    <w:rsid w:val="007D7EEE"/>
    <w:rsid w:val="00810980"/>
    <w:rsid w:val="0082661A"/>
    <w:rsid w:val="00827572"/>
    <w:rsid w:val="0083729A"/>
    <w:rsid w:val="008707AB"/>
    <w:rsid w:val="008903CE"/>
    <w:rsid w:val="008B164B"/>
    <w:rsid w:val="008B276F"/>
    <w:rsid w:val="008B4591"/>
    <w:rsid w:val="008C13B4"/>
    <w:rsid w:val="008C3695"/>
    <w:rsid w:val="008D0A1B"/>
    <w:rsid w:val="008D0F13"/>
    <w:rsid w:val="008D2443"/>
    <w:rsid w:val="008E5FB1"/>
    <w:rsid w:val="008E7149"/>
    <w:rsid w:val="0090305E"/>
    <w:rsid w:val="00917D97"/>
    <w:rsid w:val="00923707"/>
    <w:rsid w:val="00932C02"/>
    <w:rsid w:val="00941BFE"/>
    <w:rsid w:val="009449AB"/>
    <w:rsid w:val="00947521"/>
    <w:rsid w:val="00975B14"/>
    <w:rsid w:val="009A0229"/>
    <w:rsid w:val="009A667A"/>
    <w:rsid w:val="009D419A"/>
    <w:rsid w:val="009F2FF1"/>
    <w:rsid w:val="009F63D5"/>
    <w:rsid w:val="00A52684"/>
    <w:rsid w:val="00A62A15"/>
    <w:rsid w:val="00A6418D"/>
    <w:rsid w:val="00A7117E"/>
    <w:rsid w:val="00A72581"/>
    <w:rsid w:val="00A7270B"/>
    <w:rsid w:val="00A91014"/>
    <w:rsid w:val="00AA16C6"/>
    <w:rsid w:val="00AA501C"/>
    <w:rsid w:val="00AB7F46"/>
    <w:rsid w:val="00AF2DFF"/>
    <w:rsid w:val="00AF4B75"/>
    <w:rsid w:val="00AF7A15"/>
    <w:rsid w:val="00B069A3"/>
    <w:rsid w:val="00B12E28"/>
    <w:rsid w:val="00B24007"/>
    <w:rsid w:val="00B31A19"/>
    <w:rsid w:val="00B72F62"/>
    <w:rsid w:val="00B81C51"/>
    <w:rsid w:val="00BC299F"/>
    <w:rsid w:val="00BD5B76"/>
    <w:rsid w:val="00BE1B19"/>
    <w:rsid w:val="00BE38A2"/>
    <w:rsid w:val="00BE63C9"/>
    <w:rsid w:val="00C02DB9"/>
    <w:rsid w:val="00C05808"/>
    <w:rsid w:val="00C05CE5"/>
    <w:rsid w:val="00C14194"/>
    <w:rsid w:val="00C232DD"/>
    <w:rsid w:val="00C349DF"/>
    <w:rsid w:val="00C567F7"/>
    <w:rsid w:val="00C76341"/>
    <w:rsid w:val="00C94534"/>
    <w:rsid w:val="00CA1C4C"/>
    <w:rsid w:val="00CB5CD5"/>
    <w:rsid w:val="00CC1D50"/>
    <w:rsid w:val="00D11C45"/>
    <w:rsid w:val="00D26424"/>
    <w:rsid w:val="00D43417"/>
    <w:rsid w:val="00D508EB"/>
    <w:rsid w:val="00D62CAC"/>
    <w:rsid w:val="00D76FC6"/>
    <w:rsid w:val="00DA0AD6"/>
    <w:rsid w:val="00DA5778"/>
    <w:rsid w:val="00DB4083"/>
    <w:rsid w:val="00DB4C0D"/>
    <w:rsid w:val="00DB4C11"/>
    <w:rsid w:val="00DB6897"/>
    <w:rsid w:val="00DB6F5A"/>
    <w:rsid w:val="00E00073"/>
    <w:rsid w:val="00E313F5"/>
    <w:rsid w:val="00E51007"/>
    <w:rsid w:val="00E531F1"/>
    <w:rsid w:val="00E56BA9"/>
    <w:rsid w:val="00E852CC"/>
    <w:rsid w:val="00E86AC9"/>
    <w:rsid w:val="00E9168F"/>
    <w:rsid w:val="00E93514"/>
    <w:rsid w:val="00EA0B6A"/>
    <w:rsid w:val="00EA7948"/>
    <w:rsid w:val="00EF777F"/>
    <w:rsid w:val="00F129B6"/>
    <w:rsid w:val="00F1391F"/>
    <w:rsid w:val="00F27379"/>
    <w:rsid w:val="00F3240E"/>
    <w:rsid w:val="00F411C7"/>
    <w:rsid w:val="00F418BC"/>
    <w:rsid w:val="00F60EC9"/>
    <w:rsid w:val="00F80135"/>
    <w:rsid w:val="00F83F66"/>
    <w:rsid w:val="00F85BC8"/>
    <w:rsid w:val="00FA5203"/>
    <w:rsid w:val="00FB5A3C"/>
    <w:rsid w:val="00FD4FE1"/>
    <w:rsid w:val="00FF5F52"/>
    <w:rsid w:val="00FF764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6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0BD3"/>
    <w:pPr>
      <w:ind w:left="720"/>
      <w:contextualSpacing/>
    </w:pPr>
  </w:style>
  <w:style w:type="paragraph" w:styleId="Encabezado">
    <w:name w:val="header"/>
    <w:basedOn w:val="Normal"/>
    <w:link w:val="EncabezadoCar"/>
    <w:uiPriority w:val="99"/>
    <w:unhideWhenUsed/>
    <w:rsid w:val="001A3C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3CD1"/>
  </w:style>
  <w:style w:type="paragraph" w:styleId="Piedepgina">
    <w:name w:val="footer"/>
    <w:basedOn w:val="Normal"/>
    <w:link w:val="PiedepginaCar"/>
    <w:uiPriority w:val="99"/>
    <w:unhideWhenUsed/>
    <w:rsid w:val="001A3C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3CD1"/>
  </w:style>
  <w:style w:type="paragraph" w:styleId="Textodeglobo">
    <w:name w:val="Balloon Text"/>
    <w:basedOn w:val="Normal"/>
    <w:link w:val="TextodegloboCar"/>
    <w:uiPriority w:val="99"/>
    <w:semiHidden/>
    <w:unhideWhenUsed/>
    <w:rsid w:val="000B30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303D"/>
    <w:rPr>
      <w:rFonts w:ascii="Segoe UI" w:hAnsi="Segoe UI" w:cs="Segoe UI"/>
      <w:sz w:val="18"/>
      <w:szCs w:val="18"/>
    </w:rPr>
  </w:style>
  <w:style w:type="character" w:styleId="Refdecomentario">
    <w:name w:val="annotation reference"/>
    <w:basedOn w:val="Fuentedeprrafopredeter"/>
    <w:uiPriority w:val="99"/>
    <w:semiHidden/>
    <w:unhideWhenUsed/>
    <w:rsid w:val="00A91014"/>
    <w:rPr>
      <w:sz w:val="16"/>
      <w:szCs w:val="16"/>
    </w:rPr>
  </w:style>
  <w:style w:type="paragraph" w:styleId="Textocomentario">
    <w:name w:val="annotation text"/>
    <w:basedOn w:val="Normal"/>
    <w:link w:val="TextocomentarioCar"/>
    <w:uiPriority w:val="99"/>
    <w:semiHidden/>
    <w:unhideWhenUsed/>
    <w:rsid w:val="00A910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91014"/>
    <w:rPr>
      <w:sz w:val="20"/>
      <w:szCs w:val="20"/>
    </w:rPr>
  </w:style>
  <w:style w:type="paragraph" w:styleId="Asuntodelcomentario">
    <w:name w:val="annotation subject"/>
    <w:basedOn w:val="Textocomentario"/>
    <w:next w:val="Textocomentario"/>
    <w:link w:val="AsuntodelcomentarioCar"/>
    <w:uiPriority w:val="99"/>
    <w:semiHidden/>
    <w:unhideWhenUsed/>
    <w:rsid w:val="00A91014"/>
    <w:rPr>
      <w:b/>
      <w:bCs/>
    </w:rPr>
  </w:style>
  <w:style w:type="character" w:customStyle="1" w:styleId="AsuntodelcomentarioCar">
    <w:name w:val="Asunto del comentario Car"/>
    <w:basedOn w:val="TextocomentarioCar"/>
    <w:link w:val="Asuntodelcomentario"/>
    <w:uiPriority w:val="99"/>
    <w:semiHidden/>
    <w:rsid w:val="00A91014"/>
    <w:rPr>
      <w:b/>
      <w:bCs/>
      <w:sz w:val="20"/>
      <w:szCs w:val="20"/>
    </w:rPr>
  </w:style>
  <w:style w:type="paragraph" w:styleId="Revisin">
    <w:name w:val="Revision"/>
    <w:hidden/>
    <w:uiPriority w:val="99"/>
    <w:semiHidden/>
    <w:rsid w:val="005B42D4"/>
    <w:pPr>
      <w:spacing w:after="0" w:line="240" w:lineRule="auto"/>
    </w:pPr>
  </w:style>
  <w:style w:type="paragraph" w:styleId="Textonotapie">
    <w:name w:val="footnote text"/>
    <w:basedOn w:val="Normal"/>
    <w:link w:val="TextonotapieCar"/>
    <w:uiPriority w:val="99"/>
    <w:semiHidden/>
    <w:unhideWhenUsed/>
    <w:rsid w:val="00BE1B19"/>
    <w:pPr>
      <w:spacing w:after="0" w:line="240" w:lineRule="auto"/>
      <w:jc w:val="both"/>
    </w:pPr>
    <w:rPr>
      <w:sz w:val="20"/>
      <w:szCs w:val="20"/>
    </w:rPr>
  </w:style>
  <w:style w:type="character" w:customStyle="1" w:styleId="TextonotapieCar">
    <w:name w:val="Texto nota pie Car"/>
    <w:basedOn w:val="Fuentedeprrafopredeter"/>
    <w:link w:val="Textonotapie"/>
    <w:uiPriority w:val="99"/>
    <w:semiHidden/>
    <w:rsid w:val="00BE1B19"/>
    <w:rPr>
      <w:sz w:val="20"/>
      <w:szCs w:val="20"/>
    </w:rPr>
  </w:style>
  <w:style w:type="character" w:styleId="Refdenotaalpie">
    <w:name w:val="footnote reference"/>
    <w:basedOn w:val="Fuentedeprrafopredeter"/>
    <w:uiPriority w:val="99"/>
    <w:semiHidden/>
    <w:unhideWhenUsed/>
    <w:rsid w:val="00BE1B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0BD3"/>
    <w:pPr>
      <w:ind w:left="720"/>
      <w:contextualSpacing/>
    </w:pPr>
  </w:style>
  <w:style w:type="paragraph" w:styleId="Encabezado">
    <w:name w:val="header"/>
    <w:basedOn w:val="Normal"/>
    <w:link w:val="EncabezadoCar"/>
    <w:uiPriority w:val="99"/>
    <w:unhideWhenUsed/>
    <w:rsid w:val="001A3C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3CD1"/>
  </w:style>
  <w:style w:type="paragraph" w:styleId="Piedepgina">
    <w:name w:val="footer"/>
    <w:basedOn w:val="Normal"/>
    <w:link w:val="PiedepginaCar"/>
    <w:uiPriority w:val="99"/>
    <w:unhideWhenUsed/>
    <w:rsid w:val="001A3C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3CD1"/>
  </w:style>
  <w:style w:type="paragraph" w:styleId="Textodeglobo">
    <w:name w:val="Balloon Text"/>
    <w:basedOn w:val="Normal"/>
    <w:link w:val="TextodegloboCar"/>
    <w:uiPriority w:val="99"/>
    <w:semiHidden/>
    <w:unhideWhenUsed/>
    <w:rsid w:val="000B30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303D"/>
    <w:rPr>
      <w:rFonts w:ascii="Segoe UI" w:hAnsi="Segoe UI" w:cs="Segoe UI"/>
      <w:sz w:val="18"/>
      <w:szCs w:val="18"/>
    </w:rPr>
  </w:style>
  <w:style w:type="character" w:styleId="Refdecomentario">
    <w:name w:val="annotation reference"/>
    <w:basedOn w:val="Fuentedeprrafopredeter"/>
    <w:uiPriority w:val="99"/>
    <w:semiHidden/>
    <w:unhideWhenUsed/>
    <w:rsid w:val="00A91014"/>
    <w:rPr>
      <w:sz w:val="16"/>
      <w:szCs w:val="16"/>
    </w:rPr>
  </w:style>
  <w:style w:type="paragraph" w:styleId="Textocomentario">
    <w:name w:val="annotation text"/>
    <w:basedOn w:val="Normal"/>
    <w:link w:val="TextocomentarioCar"/>
    <w:uiPriority w:val="99"/>
    <w:semiHidden/>
    <w:unhideWhenUsed/>
    <w:rsid w:val="00A910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91014"/>
    <w:rPr>
      <w:sz w:val="20"/>
      <w:szCs w:val="20"/>
    </w:rPr>
  </w:style>
  <w:style w:type="paragraph" w:styleId="Asuntodelcomentario">
    <w:name w:val="annotation subject"/>
    <w:basedOn w:val="Textocomentario"/>
    <w:next w:val="Textocomentario"/>
    <w:link w:val="AsuntodelcomentarioCar"/>
    <w:uiPriority w:val="99"/>
    <w:semiHidden/>
    <w:unhideWhenUsed/>
    <w:rsid w:val="00A91014"/>
    <w:rPr>
      <w:b/>
      <w:bCs/>
    </w:rPr>
  </w:style>
  <w:style w:type="character" w:customStyle="1" w:styleId="AsuntodelcomentarioCar">
    <w:name w:val="Asunto del comentario Car"/>
    <w:basedOn w:val="TextocomentarioCar"/>
    <w:link w:val="Asuntodelcomentario"/>
    <w:uiPriority w:val="99"/>
    <w:semiHidden/>
    <w:rsid w:val="00A91014"/>
    <w:rPr>
      <w:b/>
      <w:bCs/>
      <w:sz w:val="20"/>
      <w:szCs w:val="20"/>
    </w:rPr>
  </w:style>
  <w:style w:type="paragraph" w:styleId="Revisin">
    <w:name w:val="Revision"/>
    <w:hidden/>
    <w:uiPriority w:val="99"/>
    <w:semiHidden/>
    <w:rsid w:val="005B42D4"/>
    <w:pPr>
      <w:spacing w:after="0" w:line="240" w:lineRule="auto"/>
    </w:pPr>
  </w:style>
  <w:style w:type="paragraph" w:styleId="Textonotapie">
    <w:name w:val="footnote text"/>
    <w:basedOn w:val="Normal"/>
    <w:link w:val="TextonotapieCar"/>
    <w:uiPriority w:val="99"/>
    <w:semiHidden/>
    <w:unhideWhenUsed/>
    <w:rsid w:val="00BE1B19"/>
    <w:pPr>
      <w:spacing w:after="0" w:line="240" w:lineRule="auto"/>
      <w:jc w:val="both"/>
    </w:pPr>
    <w:rPr>
      <w:sz w:val="20"/>
      <w:szCs w:val="20"/>
    </w:rPr>
  </w:style>
  <w:style w:type="character" w:customStyle="1" w:styleId="TextonotapieCar">
    <w:name w:val="Texto nota pie Car"/>
    <w:basedOn w:val="Fuentedeprrafopredeter"/>
    <w:link w:val="Textonotapie"/>
    <w:uiPriority w:val="99"/>
    <w:semiHidden/>
    <w:rsid w:val="00BE1B19"/>
    <w:rPr>
      <w:sz w:val="20"/>
      <w:szCs w:val="20"/>
    </w:rPr>
  </w:style>
  <w:style w:type="character" w:styleId="Refdenotaalpie">
    <w:name w:val="footnote reference"/>
    <w:basedOn w:val="Fuentedeprrafopredeter"/>
    <w:uiPriority w:val="99"/>
    <w:semiHidden/>
    <w:unhideWhenUsed/>
    <w:rsid w:val="00BE1B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5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1905</Words>
  <Characters>10483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2017-12-06T13:38:00Z</dcterms:created>
  <dcterms:modified xsi:type="dcterms:W3CDTF">2017-12-06T13:38:00Z</dcterms:modified>
</cp:coreProperties>
</file>