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B" w:rsidRPr="004C7791" w:rsidRDefault="002F547C" w:rsidP="004C7791">
      <w:pPr>
        <w:jc w:val="center"/>
        <w:outlineLvl w:val="2"/>
        <w:rPr>
          <w:rFonts w:ascii="Times New Roman" w:eastAsia="Times New Roman" w:hAnsi="Times New Roman" w:cs="Times New Roman"/>
          <w:color w:val="000000"/>
          <w:lang w:eastAsia="es-CL"/>
        </w:rPr>
      </w:pPr>
      <w:bookmarkStart w:id="0" w:name="_GoBack"/>
      <w:bookmarkEnd w:id="0"/>
      <w:r w:rsidRPr="004C7791">
        <w:rPr>
          <w:rFonts w:ascii="Times New Roman" w:eastAsia="Times New Roman" w:hAnsi="Times New Roman" w:cs="Times New Roman"/>
          <w:b/>
          <w:color w:val="000000"/>
          <w:lang w:eastAsia="es-CL"/>
        </w:rPr>
        <w:t>PROYECTO DE LEY SOBRE EDUCACIÓN SUPERIOR</w:t>
      </w:r>
      <w:r w:rsidRPr="004C7791">
        <w:rPr>
          <w:rFonts w:ascii="Times New Roman" w:eastAsia="Times New Roman" w:hAnsi="Times New Roman" w:cs="Times New Roman"/>
          <w:color w:val="000000"/>
          <w:lang w:eastAsia="es-CL"/>
        </w:rPr>
        <w:t xml:space="preserve"> </w:t>
      </w:r>
    </w:p>
    <w:p w:rsidR="002F547C" w:rsidRPr="004C7791" w:rsidRDefault="002F547C" w:rsidP="004C7791">
      <w:pPr>
        <w:jc w:val="center"/>
        <w:outlineLvl w:val="2"/>
        <w:rPr>
          <w:rFonts w:ascii="Times New Roman" w:eastAsia="Times New Roman" w:hAnsi="Times New Roman" w:cs="Times New Roman"/>
          <w:b/>
          <w:color w:val="000000"/>
          <w:lang w:eastAsia="es-CL"/>
        </w:rPr>
      </w:pPr>
      <w:r w:rsidRPr="004C7791">
        <w:rPr>
          <w:rFonts w:ascii="Times New Roman" w:eastAsia="Times New Roman" w:hAnsi="Times New Roman" w:cs="Times New Roman"/>
          <w:b/>
          <w:color w:val="000000"/>
          <w:lang w:eastAsia="es-CL"/>
        </w:rPr>
        <w:t>(B</w:t>
      </w:r>
      <w:r w:rsidR="008C533B" w:rsidRPr="004C7791">
        <w:rPr>
          <w:rFonts w:ascii="Times New Roman" w:eastAsia="Times New Roman" w:hAnsi="Times New Roman" w:cs="Times New Roman"/>
          <w:b/>
          <w:color w:val="000000"/>
          <w:lang w:eastAsia="es-CL"/>
        </w:rPr>
        <w:t>oletín N°</w:t>
      </w:r>
      <w:r w:rsidRPr="004C7791">
        <w:rPr>
          <w:rFonts w:ascii="Times New Roman" w:eastAsia="Times New Roman" w:hAnsi="Times New Roman" w:cs="Times New Roman"/>
          <w:b/>
          <w:color w:val="000000"/>
          <w:lang w:eastAsia="es-CL"/>
        </w:rPr>
        <w:t xml:space="preserve"> 10.783)</w:t>
      </w:r>
    </w:p>
    <w:p w:rsidR="002F547C" w:rsidRPr="004C7791" w:rsidRDefault="002F547C" w:rsidP="00364A98">
      <w:pPr>
        <w:jc w:val="left"/>
        <w:outlineLvl w:val="2"/>
        <w:rPr>
          <w:rFonts w:ascii="Times New Roman" w:eastAsia="Times New Roman" w:hAnsi="Times New Roman" w:cs="Times New Roman"/>
          <w:color w:val="000000"/>
          <w:lang w:eastAsia="es-CL"/>
        </w:rPr>
      </w:pPr>
    </w:p>
    <w:p w:rsidR="00364A98" w:rsidRPr="00AE2AAF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  <w:u w:val="single"/>
        </w:rPr>
      </w:pPr>
      <w:r w:rsidRPr="00AE2AAF">
        <w:rPr>
          <w:rFonts w:ascii="Times New Roman" w:hAnsi="Times New Roman" w:cs="Times New Roman"/>
          <w:b/>
          <w:spacing w:val="-3"/>
          <w:u w:val="single"/>
        </w:rPr>
        <w:t>ESTRUCTURA DEL PROYECTO DE LEY /PRINCIPALES REGULACIONES</w:t>
      </w:r>
      <w:r w:rsidR="00422773">
        <w:rPr>
          <w:rStyle w:val="Refdenotaalpie"/>
          <w:rFonts w:ascii="Times New Roman" w:hAnsi="Times New Roman" w:cs="Times New Roman"/>
          <w:b/>
          <w:spacing w:val="-3"/>
          <w:u w:val="single"/>
        </w:rPr>
        <w:footnoteReference w:id="1"/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  <w:u w:val="single"/>
        </w:rPr>
      </w:pP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>Los cambios que se proponen se materializarán mediante 1) la dictación de una nueva ley que regulará la Educación Superior</w:t>
      </w:r>
      <w:r w:rsidR="005B25E0" w:rsidRPr="004C7791">
        <w:rPr>
          <w:rFonts w:ascii="Times New Roman" w:hAnsi="Times New Roman" w:cs="Times New Roman"/>
          <w:spacing w:val="-3"/>
        </w:rPr>
        <w:t xml:space="preserve"> (115 artículos)</w:t>
      </w:r>
      <w:r w:rsidRPr="004C7791">
        <w:rPr>
          <w:rFonts w:ascii="Times New Roman" w:hAnsi="Times New Roman" w:cs="Times New Roman"/>
          <w:spacing w:val="-3"/>
        </w:rPr>
        <w:t>, así como 2) la modificac</w:t>
      </w:r>
      <w:r w:rsidR="005B25E0" w:rsidRPr="004C7791">
        <w:rPr>
          <w:rFonts w:ascii="Times New Roman" w:hAnsi="Times New Roman" w:cs="Times New Roman"/>
          <w:spacing w:val="-3"/>
        </w:rPr>
        <w:t>ión a diversos cuerpos legales (artículos 116 a 121). En cuanto a su implementación -</w:t>
      </w:r>
      <w:r w:rsidR="005B25E0" w:rsidRPr="004C7791">
        <w:rPr>
          <w:rFonts w:ascii="Times New Roman" w:hAnsi="Times New Roman" w:cs="Times New Roman"/>
          <w:spacing w:val="-3"/>
          <w:u w:val="single"/>
        </w:rPr>
        <w:t>gradualidad</w:t>
      </w:r>
      <w:r w:rsidR="005B25E0" w:rsidRPr="004C7791">
        <w:rPr>
          <w:rFonts w:ascii="Times New Roman" w:hAnsi="Times New Roman" w:cs="Times New Roman"/>
          <w:spacing w:val="-3"/>
        </w:rPr>
        <w:t xml:space="preserve"> - se consagran 44 disposiciones transitorias.</w:t>
      </w:r>
    </w:p>
    <w:p w:rsidR="005B25E0" w:rsidRPr="004C7791" w:rsidRDefault="005B25E0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4467FC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I) </w:t>
      </w:r>
      <w:r w:rsidR="00364A98" w:rsidRPr="004C7791">
        <w:rPr>
          <w:rFonts w:ascii="Times New Roman" w:hAnsi="Times New Roman" w:cs="Times New Roman"/>
          <w:b/>
          <w:spacing w:val="-3"/>
        </w:rPr>
        <w:t>INSTITUCIONALIDAD</w:t>
      </w:r>
      <w:r w:rsidR="00845FD4" w:rsidRPr="004C7791">
        <w:rPr>
          <w:rFonts w:ascii="Times New Roman" w:hAnsi="Times New Roman" w:cs="Times New Roman"/>
          <w:b/>
          <w:spacing w:val="-3"/>
        </w:rPr>
        <w:t>/ Subsecretaría de Educación Superior</w:t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364A98" w:rsidP="00364A98">
      <w:pPr>
        <w:keepNext/>
        <w:keepLines/>
        <w:outlineLvl w:val="1"/>
        <w:rPr>
          <w:rFonts w:ascii="Times New Roman" w:hAnsi="Times New Roman" w:cs="Times New Roman"/>
          <w:bCs/>
        </w:rPr>
      </w:pPr>
      <w:r w:rsidRPr="004C7791">
        <w:rPr>
          <w:rFonts w:ascii="Times New Roman" w:hAnsi="Times New Roman" w:cs="Times New Roman"/>
          <w:bCs/>
          <w:u w:val="single"/>
        </w:rPr>
        <w:t>Sistema de Educación Superior</w:t>
      </w:r>
    </w:p>
    <w:p w:rsidR="00364A98" w:rsidRPr="004C7791" w:rsidRDefault="00364A98" w:rsidP="00364A98">
      <w:pPr>
        <w:keepNext/>
        <w:keepLines/>
        <w:outlineLvl w:val="1"/>
        <w:rPr>
          <w:rFonts w:ascii="Times New Roman" w:hAnsi="Times New Roman" w:cs="Times New Roman"/>
          <w:b/>
          <w:bCs/>
        </w:rPr>
      </w:pPr>
    </w:p>
    <w:p w:rsidR="004467FC" w:rsidRPr="004C7791" w:rsidRDefault="004467FC" w:rsidP="00364A98">
      <w:pPr>
        <w:keepNext/>
        <w:keepLines/>
        <w:outlineLvl w:val="1"/>
        <w:rPr>
          <w:rFonts w:ascii="Times New Roman" w:hAnsi="Times New Roman" w:cs="Times New Roman"/>
          <w:b/>
          <w:bCs/>
        </w:rPr>
      </w:pPr>
      <w:r w:rsidRPr="004C7791">
        <w:rPr>
          <w:rFonts w:ascii="Times New Roman" w:hAnsi="Times New Roman" w:cs="Times New Roman"/>
          <w:b/>
          <w:bCs/>
        </w:rPr>
        <w:t>Aspectos generales</w:t>
      </w:r>
    </w:p>
    <w:p w:rsidR="004467FC" w:rsidRPr="004C7791" w:rsidRDefault="004467FC" w:rsidP="00364A98">
      <w:pPr>
        <w:keepNext/>
        <w:keepLines/>
        <w:outlineLvl w:val="1"/>
        <w:rPr>
          <w:rFonts w:ascii="Times New Roman" w:hAnsi="Times New Roman" w:cs="Times New Roman"/>
          <w:b/>
          <w:bCs/>
        </w:rPr>
      </w:pP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 xml:space="preserve">Se propone la creación de un </w:t>
      </w:r>
      <w:r w:rsidRPr="004C7791">
        <w:rPr>
          <w:rFonts w:ascii="Times New Roman" w:hAnsi="Times New Roman" w:cs="Times New Roman"/>
          <w:spacing w:val="-3"/>
          <w:u w:val="single"/>
        </w:rPr>
        <w:t>Sistema de Educación Superior</w:t>
      </w:r>
      <w:r w:rsidRPr="004C7791">
        <w:rPr>
          <w:rFonts w:ascii="Times New Roman" w:hAnsi="Times New Roman" w:cs="Times New Roman"/>
          <w:spacing w:val="-3"/>
        </w:rPr>
        <w:t xml:space="preserve">, que estará integrado </w:t>
      </w:r>
      <w:r w:rsidR="003648AB" w:rsidRPr="004C7791">
        <w:rPr>
          <w:rFonts w:ascii="Times New Roman" w:hAnsi="Times New Roman" w:cs="Times New Roman"/>
          <w:spacing w:val="-3"/>
        </w:rPr>
        <w:t xml:space="preserve">por </w:t>
      </w:r>
      <w:r w:rsidRPr="004C7791">
        <w:rPr>
          <w:rFonts w:ascii="Times New Roman" w:hAnsi="Times New Roman" w:cs="Times New Roman"/>
          <w:spacing w:val="-3"/>
        </w:rPr>
        <w:t>el conjunto de organismos y servicios públicos con competencia en</w:t>
      </w:r>
      <w:r w:rsidR="00845FD4" w:rsidRPr="004C7791">
        <w:rPr>
          <w:rFonts w:ascii="Times New Roman" w:hAnsi="Times New Roman" w:cs="Times New Roman"/>
          <w:spacing w:val="-3"/>
        </w:rPr>
        <w:t xml:space="preserve"> materia de educación superior, así como por las instituciones de educación superior, y que </w:t>
      </w:r>
      <w:r w:rsidRPr="004C7791">
        <w:rPr>
          <w:rFonts w:ascii="Times New Roman" w:hAnsi="Times New Roman" w:cs="Times New Roman"/>
          <w:spacing w:val="-3"/>
        </w:rPr>
        <w:t>cuenta con principios propios que lo orientan</w:t>
      </w:r>
      <w:r w:rsidR="00845FD4" w:rsidRPr="004C7791">
        <w:rPr>
          <w:rFonts w:ascii="Times New Roman" w:hAnsi="Times New Roman" w:cs="Times New Roman"/>
          <w:spacing w:val="-3"/>
        </w:rPr>
        <w:t xml:space="preserve"> (11)</w:t>
      </w:r>
      <w:r w:rsidRPr="004C7791">
        <w:rPr>
          <w:rFonts w:ascii="Times New Roman" w:hAnsi="Times New Roman" w:cs="Times New Roman"/>
          <w:spacing w:val="-3"/>
        </w:rPr>
        <w:t>, complementarios a aquellos en que se inspira el sistema educacional chileno</w:t>
      </w:r>
      <w:r w:rsidR="003648AB" w:rsidRPr="004C7791">
        <w:rPr>
          <w:rFonts w:ascii="Times New Roman" w:hAnsi="Times New Roman" w:cs="Times New Roman"/>
          <w:spacing w:val="-3"/>
        </w:rPr>
        <w:t xml:space="preserve"> (art. 3 de la LEGE)</w:t>
      </w:r>
      <w:r w:rsidRPr="004C7791">
        <w:rPr>
          <w:rFonts w:ascii="Times New Roman" w:hAnsi="Times New Roman" w:cs="Times New Roman"/>
          <w:spacing w:val="-3"/>
        </w:rPr>
        <w:t>.</w:t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845FD4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bCs/>
          <w:lang w:eastAsia="es-CL"/>
        </w:rPr>
      </w:pPr>
      <w:r w:rsidRPr="004C7791">
        <w:rPr>
          <w:rFonts w:ascii="Times New Roman" w:hAnsi="Times New Roman" w:cs="Times New Roman"/>
          <w:bCs/>
          <w:lang w:eastAsia="es-CL"/>
        </w:rPr>
        <w:t xml:space="preserve">Es de provisión mixta, y se compone por dos subsistemas: el </w:t>
      </w:r>
      <w:r w:rsidRPr="004C7791">
        <w:rPr>
          <w:rFonts w:ascii="Times New Roman" w:hAnsi="Times New Roman" w:cs="Times New Roman"/>
          <w:bCs/>
          <w:u w:val="single"/>
          <w:lang w:eastAsia="es-CL"/>
        </w:rPr>
        <w:t>universitario</w:t>
      </w:r>
      <w:r w:rsidRPr="004C7791">
        <w:rPr>
          <w:rFonts w:ascii="Times New Roman" w:hAnsi="Times New Roman" w:cs="Times New Roman"/>
          <w:bCs/>
          <w:lang w:eastAsia="es-CL"/>
        </w:rPr>
        <w:t xml:space="preserve"> y el </w:t>
      </w:r>
      <w:r w:rsidRPr="004C7791">
        <w:rPr>
          <w:rFonts w:ascii="Times New Roman" w:hAnsi="Times New Roman" w:cs="Times New Roman"/>
          <w:bCs/>
          <w:u w:val="single"/>
          <w:lang w:eastAsia="es-CL"/>
        </w:rPr>
        <w:t>técnico profesional</w:t>
      </w:r>
      <w:r w:rsidRPr="004C7791">
        <w:rPr>
          <w:rFonts w:ascii="Times New Roman" w:hAnsi="Times New Roman" w:cs="Times New Roman"/>
          <w:bCs/>
          <w:lang w:eastAsia="es-CL"/>
        </w:rPr>
        <w:t xml:space="preserve">. El </w:t>
      </w:r>
      <w:r w:rsidR="00F50D43">
        <w:rPr>
          <w:rFonts w:ascii="Times New Roman" w:hAnsi="Times New Roman" w:cs="Times New Roman"/>
          <w:bCs/>
          <w:lang w:eastAsia="es-CL"/>
        </w:rPr>
        <w:t xml:space="preserve">primero </w:t>
      </w:r>
      <w:r w:rsidRPr="004C7791">
        <w:rPr>
          <w:rFonts w:ascii="Times New Roman" w:hAnsi="Times New Roman" w:cs="Times New Roman"/>
          <w:bCs/>
          <w:lang w:eastAsia="es-CL"/>
        </w:rPr>
        <w:t>lo integran las universi</w:t>
      </w:r>
      <w:r w:rsidR="00F50D43">
        <w:rPr>
          <w:rFonts w:ascii="Times New Roman" w:hAnsi="Times New Roman" w:cs="Times New Roman"/>
          <w:bCs/>
          <w:lang w:eastAsia="es-CL"/>
        </w:rPr>
        <w:t>dades estatales creadas por ley;</w:t>
      </w:r>
      <w:r w:rsidRPr="004C7791">
        <w:rPr>
          <w:rFonts w:ascii="Times New Roman" w:hAnsi="Times New Roman" w:cs="Times New Roman"/>
          <w:bCs/>
          <w:lang w:eastAsia="es-CL"/>
        </w:rPr>
        <w:t xml:space="preserve"> las universidades no estatales pertenecientes al Consejo de Rectores, y las universidades privadas reconocidas por el Estado. El s</w:t>
      </w:r>
      <w:r w:rsidR="00F50D43">
        <w:rPr>
          <w:rFonts w:ascii="Times New Roman" w:hAnsi="Times New Roman" w:cs="Times New Roman"/>
          <w:bCs/>
          <w:lang w:eastAsia="es-CL"/>
        </w:rPr>
        <w:t xml:space="preserve">egundo </w:t>
      </w:r>
      <w:r w:rsidRPr="004C7791">
        <w:rPr>
          <w:rFonts w:ascii="Times New Roman" w:hAnsi="Times New Roman" w:cs="Times New Roman"/>
          <w:bCs/>
          <w:lang w:eastAsia="es-CL"/>
        </w:rPr>
        <w:t>lo integran los centros de formación técnica estatales, y los institutos profesionales y centros de formación técnica pri</w:t>
      </w:r>
      <w:r w:rsidR="003648AB" w:rsidRPr="004C7791">
        <w:rPr>
          <w:rFonts w:ascii="Times New Roman" w:hAnsi="Times New Roman" w:cs="Times New Roman"/>
          <w:bCs/>
          <w:lang w:eastAsia="es-CL"/>
        </w:rPr>
        <w:t>vados reconocidos por el Estado</w:t>
      </w:r>
      <w:r w:rsidR="00F47F0E" w:rsidRPr="004C7791">
        <w:rPr>
          <w:rFonts w:ascii="Times New Roman" w:hAnsi="Times New Roman" w:cs="Times New Roman"/>
          <w:bCs/>
          <w:lang w:eastAsia="es-CL"/>
        </w:rPr>
        <w:t xml:space="preserve"> (</w:t>
      </w:r>
      <w:r w:rsidR="00F50D43">
        <w:rPr>
          <w:rFonts w:ascii="Times New Roman" w:hAnsi="Times New Roman" w:cs="Times New Roman"/>
          <w:bCs/>
          <w:lang w:eastAsia="es-CL"/>
        </w:rPr>
        <w:t xml:space="preserve">en cuanto al </w:t>
      </w:r>
      <w:r w:rsidR="00F47F0E" w:rsidRPr="004C7791">
        <w:rPr>
          <w:rFonts w:ascii="Times New Roman" w:hAnsi="Times New Roman" w:cs="Times New Roman"/>
          <w:bCs/>
          <w:lang w:eastAsia="es-CL"/>
        </w:rPr>
        <w:t>ingreso al Consejo de Rectores de Universidad</w:t>
      </w:r>
      <w:r w:rsidR="00963809">
        <w:rPr>
          <w:rFonts w:ascii="Times New Roman" w:hAnsi="Times New Roman" w:cs="Times New Roman"/>
          <w:bCs/>
          <w:lang w:eastAsia="es-CL"/>
        </w:rPr>
        <w:t>es chilenas</w:t>
      </w:r>
      <w:r w:rsidR="00963809" w:rsidRPr="004C7791">
        <w:rPr>
          <w:rFonts w:ascii="Times New Roman" w:hAnsi="Times New Roman" w:cs="Times New Roman"/>
          <w:bCs/>
          <w:lang w:eastAsia="es-CL"/>
        </w:rPr>
        <w:t xml:space="preserve"> </w:t>
      </w:r>
      <w:r w:rsidR="00EA5B0A" w:rsidRPr="004C7791">
        <w:rPr>
          <w:rFonts w:ascii="Times New Roman" w:hAnsi="Times New Roman" w:cs="Times New Roman"/>
          <w:bCs/>
          <w:lang w:eastAsia="es-CL"/>
        </w:rPr>
        <w:t>&gt; se dispone que se puede “solicitar ser admitidas”, pero no necesariamente se asegura su ingreso</w:t>
      </w:r>
      <w:r w:rsidR="00F47F0E" w:rsidRPr="004C7791">
        <w:rPr>
          <w:rFonts w:ascii="Times New Roman" w:hAnsi="Times New Roman" w:cs="Times New Roman"/>
          <w:bCs/>
          <w:lang w:eastAsia="es-CL"/>
        </w:rPr>
        <w:t>)</w:t>
      </w:r>
      <w:r w:rsidR="003648AB" w:rsidRPr="004C7791">
        <w:rPr>
          <w:rFonts w:ascii="Times New Roman" w:hAnsi="Times New Roman" w:cs="Times New Roman"/>
          <w:bCs/>
          <w:lang w:eastAsia="es-CL"/>
        </w:rPr>
        <w:t>.</w:t>
      </w:r>
    </w:p>
    <w:p w:rsidR="00845FD4" w:rsidRPr="004C7791" w:rsidRDefault="00845FD4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4467FC" w:rsidRPr="004C7791" w:rsidRDefault="004467FC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>Organización</w:t>
      </w:r>
      <w:r w:rsidR="00845FD4" w:rsidRPr="004C7791">
        <w:rPr>
          <w:rFonts w:ascii="Times New Roman" w:hAnsi="Times New Roman" w:cs="Times New Roman"/>
          <w:b/>
          <w:spacing w:val="-3"/>
        </w:rPr>
        <w:t xml:space="preserve"> y funciones más relevantes de la Subsecretaría de Educación Superior</w:t>
      </w:r>
    </w:p>
    <w:p w:rsidR="004467FC" w:rsidRPr="004C7791" w:rsidRDefault="004467FC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364A98" w:rsidP="00845FD4">
      <w:pPr>
        <w:keepNext/>
        <w:keepLines/>
        <w:outlineLvl w:val="1"/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bCs/>
        </w:rPr>
        <w:t>La Subsecretaría de Educación Superior</w:t>
      </w:r>
      <w:r w:rsidR="00845FD4" w:rsidRPr="004C7791">
        <w:rPr>
          <w:rFonts w:ascii="Times New Roman" w:hAnsi="Times New Roman" w:cs="Times New Roman"/>
          <w:bCs/>
        </w:rPr>
        <w:t xml:space="preserve"> &gt; administra el </w:t>
      </w:r>
      <w:r w:rsidR="008A2AC3" w:rsidRPr="004C7791">
        <w:rPr>
          <w:rFonts w:ascii="Times New Roman" w:hAnsi="Times New Roman" w:cs="Times New Roman"/>
          <w:u w:val="single"/>
        </w:rPr>
        <w:t>Sistema Común de Acceso a las Instituciones de Educación Superior</w:t>
      </w:r>
      <w:r w:rsidR="00845FD4" w:rsidRPr="004C7791">
        <w:rPr>
          <w:rFonts w:ascii="Times New Roman" w:hAnsi="Times New Roman" w:cs="Times New Roman"/>
        </w:rPr>
        <w:t xml:space="preserve"> &gt; </w:t>
      </w:r>
      <w:r w:rsidR="00806BAD" w:rsidRPr="004C7791">
        <w:rPr>
          <w:rFonts w:ascii="Times New Roman" w:hAnsi="Times New Roman" w:cs="Times New Roman"/>
        </w:rPr>
        <w:t>establecerá los procesos e instrumentos para la postulación, admisión y selección de estudiantes a las instituciones de educación superior</w:t>
      </w:r>
      <w:r w:rsidR="00B006AE" w:rsidRPr="004C7791">
        <w:rPr>
          <w:rFonts w:ascii="Times New Roman" w:hAnsi="Times New Roman" w:cs="Times New Roman"/>
        </w:rPr>
        <w:t>.</w:t>
      </w:r>
      <w:r w:rsidR="00845FD4" w:rsidRPr="004C7791">
        <w:rPr>
          <w:rFonts w:ascii="Times New Roman" w:hAnsi="Times New Roman" w:cs="Times New Roman"/>
        </w:rPr>
        <w:t xml:space="preserve"> </w:t>
      </w:r>
      <w:r w:rsidR="00806BAD" w:rsidRPr="004C7791">
        <w:rPr>
          <w:rFonts w:ascii="Times New Roman" w:hAnsi="Times New Roman" w:cs="Times New Roman"/>
          <w:spacing w:val="-3"/>
          <w:u w:val="single"/>
        </w:rPr>
        <w:t>E</w:t>
      </w:r>
      <w:r w:rsidR="008A2AC3" w:rsidRPr="004C7791">
        <w:rPr>
          <w:rFonts w:ascii="Times New Roman" w:hAnsi="Times New Roman" w:cs="Times New Roman"/>
          <w:spacing w:val="-3"/>
          <w:u w:val="single"/>
        </w:rPr>
        <w:t>s</w:t>
      </w:r>
      <w:r w:rsidRPr="004C7791">
        <w:rPr>
          <w:rFonts w:ascii="Times New Roman" w:hAnsi="Times New Roman" w:cs="Times New Roman"/>
          <w:spacing w:val="-3"/>
          <w:u w:val="single"/>
        </w:rPr>
        <w:t xml:space="preserve"> obligatorio</w:t>
      </w:r>
      <w:r w:rsidRPr="004C7791">
        <w:rPr>
          <w:rFonts w:ascii="Times New Roman" w:hAnsi="Times New Roman" w:cs="Times New Roman"/>
          <w:spacing w:val="-3"/>
        </w:rPr>
        <w:t xml:space="preserve"> para las instituciones de educación superior que reciban fondos públicos</w:t>
      </w:r>
      <w:r w:rsidR="008A2AC3" w:rsidRPr="004C7791">
        <w:rPr>
          <w:rFonts w:ascii="Times New Roman" w:hAnsi="Times New Roman" w:cs="Times New Roman"/>
        </w:rPr>
        <w:t>, siendo voluntario para las demás instituciones</w:t>
      </w:r>
      <w:r w:rsidR="00845FD4" w:rsidRPr="004C7791">
        <w:rPr>
          <w:rFonts w:ascii="Times New Roman" w:hAnsi="Times New Roman" w:cs="Times New Roman"/>
          <w:spacing w:val="-3"/>
        </w:rPr>
        <w:t>&gt;</w:t>
      </w:r>
      <w:r w:rsidR="00845FD4" w:rsidRPr="004C7791">
        <w:rPr>
          <w:rFonts w:ascii="Times New Roman" w:hAnsi="Times New Roman" w:cs="Times New Roman"/>
          <w:bCs/>
          <w:lang w:eastAsia="es-CL"/>
        </w:rPr>
        <w:t xml:space="preserve"> constituir y coordinar un comité técnico de acceso para el subsistema universitario y otro para el subsistema técnico profesional, cuyo objeto será definir los instrumentos del Sistema de Acceso.</w:t>
      </w:r>
    </w:p>
    <w:p w:rsidR="00845FD4" w:rsidRPr="004C7791" w:rsidRDefault="00845FD4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8C533B" w:rsidRPr="004C7791" w:rsidRDefault="008C533B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>Respecto de la creación de esta nueva Subsecretaría,</w:t>
      </w:r>
      <w:r w:rsidR="00F50D43">
        <w:rPr>
          <w:rFonts w:ascii="Times New Roman" w:hAnsi="Times New Roman" w:cs="Times New Roman"/>
          <w:spacing w:val="-3"/>
        </w:rPr>
        <w:t xml:space="preserve"> y las funciones que le entrega la iniciativa</w:t>
      </w:r>
      <w:r w:rsidRPr="004C7791">
        <w:rPr>
          <w:rFonts w:ascii="Times New Roman" w:hAnsi="Times New Roman" w:cs="Times New Roman"/>
          <w:spacing w:val="-3"/>
        </w:rPr>
        <w:t xml:space="preserve"> se han emitido las siguientes opiniones:</w:t>
      </w:r>
    </w:p>
    <w:p w:rsidR="008C533B" w:rsidRPr="004C7791" w:rsidRDefault="008C533B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FE18D2" w:rsidRPr="004C7791" w:rsidRDefault="00B006AE" w:rsidP="00B006AE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Concuerdan con la creación de esta Subsecretaría </w:t>
      </w:r>
      <w:r w:rsidRPr="004C7791">
        <w:rPr>
          <w:rFonts w:ascii="Times New Roman" w:hAnsi="Times New Roman" w:cs="Times New Roman"/>
          <w:spacing w:val="-3"/>
        </w:rPr>
        <w:t xml:space="preserve">USACH; la </w:t>
      </w:r>
      <w:r w:rsidR="00D402B8" w:rsidRPr="004C7791">
        <w:rPr>
          <w:rFonts w:ascii="Times New Roman" w:hAnsi="Times New Roman" w:cs="Times New Roman"/>
          <w:spacing w:val="-3"/>
        </w:rPr>
        <w:t>Agrupación de Universidades Regionales, pero sugieren la creación de 15 Direcciones Regionales de Educación Superior de</w:t>
      </w:r>
      <w:r w:rsidR="00F50D43">
        <w:rPr>
          <w:rFonts w:ascii="Times New Roman" w:hAnsi="Times New Roman" w:cs="Times New Roman"/>
          <w:spacing w:val="-3"/>
        </w:rPr>
        <w:t>pendientes de la Subsecretaría;</w:t>
      </w:r>
      <w:r w:rsidRPr="004C7791">
        <w:rPr>
          <w:rFonts w:ascii="Times New Roman" w:hAnsi="Times New Roman" w:cs="Times New Roman"/>
          <w:spacing w:val="-3"/>
        </w:rPr>
        <w:t xml:space="preserve"> el Consejo de Rectores de Universidad</w:t>
      </w:r>
      <w:r w:rsidR="00963809">
        <w:rPr>
          <w:rFonts w:ascii="Times New Roman" w:hAnsi="Times New Roman" w:cs="Times New Roman"/>
          <w:spacing w:val="-3"/>
        </w:rPr>
        <w:t>es</w:t>
      </w:r>
      <w:r w:rsidRPr="004C7791">
        <w:rPr>
          <w:rFonts w:ascii="Times New Roman" w:hAnsi="Times New Roman" w:cs="Times New Roman"/>
          <w:spacing w:val="-3"/>
        </w:rPr>
        <w:t xml:space="preserve"> </w:t>
      </w:r>
      <w:r w:rsidR="00963809">
        <w:rPr>
          <w:rFonts w:ascii="Times New Roman" w:hAnsi="Times New Roman" w:cs="Times New Roman"/>
          <w:spacing w:val="-3"/>
        </w:rPr>
        <w:t>chilenas</w:t>
      </w:r>
      <w:r w:rsidRPr="004C7791">
        <w:rPr>
          <w:rFonts w:ascii="Times New Roman" w:hAnsi="Times New Roman" w:cs="Times New Roman"/>
          <w:spacing w:val="-3"/>
        </w:rPr>
        <w:t xml:space="preserve">, la </w:t>
      </w:r>
      <w:r w:rsidR="00E01F16" w:rsidRPr="004C7791">
        <w:rPr>
          <w:rFonts w:ascii="Times New Roman" w:hAnsi="Times New Roman" w:cs="Times New Roman"/>
          <w:spacing w:val="-3"/>
        </w:rPr>
        <w:t>Universidad Técnica Federico Santa María,</w:t>
      </w:r>
      <w:r w:rsidRPr="004C7791">
        <w:rPr>
          <w:rFonts w:ascii="Times New Roman" w:hAnsi="Times New Roman" w:cs="Times New Roman"/>
          <w:spacing w:val="-3"/>
        </w:rPr>
        <w:t xml:space="preserve"> pero con reparos, y la </w:t>
      </w:r>
      <w:r w:rsidR="00FE18D2" w:rsidRPr="004C7791">
        <w:rPr>
          <w:rFonts w:ascii="Times New Roman" w:hAnsi="Times New Roman" w:cs="Times New Roman"/>
          <w:spacing w:val="-3"/>
        </w:rPr>
        <w:t xml:space="preserve">Universidad Central. </w:t>
      </w:r>
    </w:p>
    <w:p w:rsidR="008C533B" w:rsidRPr="004C7791" w:rsidRDefault="008C533B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</w:p>
    <w:p w:rsidR="003C4E9B" w:rsidRPr="004C7791" w:rsidRDefault="00B006AE" w:rsidP="00FB7BEB">
      <w:pPr>
        <w:tabs>
          <w:tab w:val="left" w:pos="709"/>
          <w:tab w:val="left" w:pos="3544"/>
        </w:tabs>
        <w:rPr>
          <w:rFonts w:ascii="Times New Roman" w:hAnsi="Times New Roman" w:cs="Times New Roman"/>
          <w:i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Se manifestaron contrarios a este nuevo órgano </w:t>
      </w:r>
      <w:r w:rsidRPr="004C7791">
        <w:rPr>
          <w:rFonts w:ascii="Times New Roman" w:hAnsi="Times New Roman" w:cs="Times New Roman"/>
          <w:spacing w:val="-3"/>
        </w:rPr>
        <w:t xml:space="preserve">la </w:t>
      </w:r>
      <w:r w:rsidR="003631FC" w:rsidRPr="004C7791">
        <w:rPr>
          <w:rFonts w:ascii="Times New Roman" w:hAnsi="Times New Roman" w:cs="Times New Roman"/>
          <w:spacing w:val="-3"/>
        </w:rPr>
        <w:t>Pontific</w:t>
      </w:r>
      <w:r w:rsidRPr="004C7791">
        <w:rPr>
          <w:rFonts w:ascii="Times New Roman" w:hAnsi="Times New Roman" w:cs="Times New Roman"/>
          <w:spacing w:val="-3"/>
        </w:rPr>
        <w:t xml:space="preserve">a Universidad Católica de Chile; Universidad de Los Andes; </w:t>
      </w:r>
      <w:r w:rsidR="006D22E0" w:rsidRPr="004C7791">
        <w:rPr>
          <w:rFonts w:ascii="Times New Roman" w:hAnsi="Times New Roman" w:cs="Times New Roman"/>
          <w:spacing w:val="-3"/>
        </w:rPr>
        <w:t>Universida</w:t>
      </w:r>
      <w:r w:rsidR="00F50D43">
        <w:rPr>
          <w:rFonts w:ascii="Times New Roman" w:hAnsi="Times New Roman" w:cs="Times New Roman"/>
          <w:spacing w:val="-3"/>
        </w:rPr>
        <w:t>d de Chile, pues no se reconoce</w:t>
      </w:r>
      <w:r w:rsidR="006D22E0" w:rsidRPr="004C7791">
        <w:rPr>
          <w:rFonts w:ascii="Times New Roman" w:hAnsi="Times New Roman" w:cs="Times New Roman"/>
          <w:spacing w:val="-3"/>
        </w:rPr>
        <w:t xml:space="preserve"> las diferencias de régimen y naturaleza jurídica entre una universidad es</w:t>
      </w:r>
      <w:r w:rsidR="00F50D43">
        <w:rPr>
          <w:rFonts w:ascii="Times New Roman" w:hAnsi="Times New Roman" w:cs="Times New Roman"/>
          <w:spacing w:val="-3"/>
        </w:rPr>
        <w:t>tatal y una universidad privada,</w:t>
      </w:r>
      <w:r w:rsidR="006D22E0" w:rsidRPr="004C7791">
        <w:rPr>
          <w:rFonts w:ascii="Times New Roman" w:hAnsi="Times New Roman" w:cs="Times New Roman"/>
          <w:spacing w:val="-3"/>
        </w:rPr>
        <w:t xml:space="preserve"> existiendo un doble o, incluso, un triple control</w:t>
      </w:r>
      <w:r w:rsidRPr="004C7791">
        <w:rPr>
          <w:rFonts w:ascii="Times New Roman" w:hAnsi="Times New Roman" w:cs="Times New Roman"/>
          <w:spacing w:val="-3"/>
        </w:rPr>
        <w:t xml:space="preserve">; </w:t>
      </w:r>
      <w:r w:rsidR="00787249" w:rsidRPr="004C7791">
        <w:rPr>
          <w:rFonts w:ascii="Times New Roman" w:hAnsi="Times New Roman" w:cs="Times New Roman"/>
          <w:spacing w:val="-3"/>
        </w:rPr>
        <w:t>Pontificia Universidad Católica de Valparaíso, por el rol que t</w:t>
      </w:r>
      <w:r w:rsidRPr="004C7791">
        <w:rPr>
          <w:rFonts w:ascii="Times New Roman" w:hAnsi="Times New Roman" w:cs="Times New Roman"/>
          <w:spacing w:val="-3"/>
        </w:rPr>
        <w:t xml:space="preserve">endría en el sistema de acceso; el </w:t>
      </w:r>
      <w:r w:rsidR="00787249" w:rsidRPr="004C7791">
        <w:rPr>
          <w:rFonts w:ascii="Times New Roman" w:hAnsi="Times New Roman" w:cs="Times New Roman"/>
          <w:spacing w:val="-3"/>
        </w:rPr>
        <w:t>Centro de Formación Técnica e Ins</w:t>
      </w:r>
      <w:r w:rsidRPr="004C7791">
        <w:rPr>
          <w:rFonts w:ascii="Times New Roman" w:hAnsi="Times New Roman" w:cs="Times New Roman"/>
          <w:spacing w:val="-3"/>
        </w:rPr>
        <w:t xml:space="preserve">tituto Profesional Santo Tomás; la </w:t>
      </w:r>
      <w:r w:rsidR="00EA5B0A" w:rsidRPr="004C7791">
        <w:rPr>
          <w:rFonts w:ascii="Times New Roman" w:hAnsi="Times New Roman" w:cs="Times New Roman"/>
          <w:spacing w:val="-3"/>
        </w:rPr>
        <w:t>Universidad Austral</w:t>
      </w:r>
      <w:r w:rsidRPr="004C7791">
        <w:rPr>
          <w:rFonts w:ascii="Times New Roman" w:hAnsi="Times New Roman" w:cs="Times New Roman"/>
          <w:spacing w:val="-3"/>
        </w:rPr>
        <w:t xml:space="preserve">, la </w:t>
      </w:r>
      <w:r w:rsidR="000366A1" w:rsidRPr="004C7791">
        <w:rPr>
          <w:rFonts w:ascii="Times New Roman" w:hAnsi="Times New Roman" w:cs="Times New Roman"/>
          <w:spacing w:val="-3"/>
        </w:rPr>
        <w:t>Corporac</w:t>
      </w:r>
      <w:r w:rsidR="00FB7BEB" w:rsidRPr="004C7791">
        <w:rPr>
          <w:rFonts w:ascii="Times New Roman" w:hAnsi="Times New Roman" w:cs="Times New Roman"/>
          <w:spacing w:val="-3"/>
        </w:rPr>
        <w:t xml:space="preserve">ión de Universidades Privadas, la Universidad San Sebastián, la Universidad de Talca, el </w:t>
      </w:r>
      <w:r w:rsidR="00FE18D2" w:rsidRPr="004C7791">
        <w:rPr>
          <w:rFonts w:ascii="Times New Roman" w:hAnsi="Times New Roman" w:cs="Times New Roman"/>
          <w:spacing w:val="-3"/>
        </w:rPr>
        <w:t xml:space="preserve">Centro de Estudios </w:t>
      </w:r>
      <w:r w:rsidR="00FB7BEB" w:rsidRPr="004C7791">
        <w:rPr>
          <w:rFonts w:ascii="Times New Roman" w:hAnsi="Times New Roman" w:cs="Times New Roman"/>
          <w:spacing w:val="-3"/>
        </w:rPr>
        <w:t>Públicos, l</w:t>
      </w:r>
      <w:r w:rsidR="00F50D43">
        <w:rPr>
          <w:rFonts w:ascii="Times New Roman" w:hAnsi="Times New Roman" w:cs="Times New Roman"/>
          <w:spacing w:val="-3"/>
        </w:rPr>
        <w:t xml:space="preserve">a Universidad de Viña del Mar; </w:t>
      </w:r>
      <w:r w:rsidR="00FB7BEB" w:rsidRPr="004C7791">
        <w:rPr>
          <w:rFonts w:ascii="Times New Roman" w:hAnsi="Times New Roman" w:cs="Times New Roman"/>
          <w:spacing w:val="-3"/>
        </w:rPr>
        <w:t xml:space="preserve">los ex Ministros de Educación Mariana Aylwin y José Pablo Arellano; el </w:t>
      </w:r>
      <w:r w:rsidR="007C0843" w:rsidRPr="004C7791">
        <w:rPr>
          <w:rFonts w:ascii="Times New Roman" w:hAnsi="Times New Roman" w:cs="Times New Roman"/>
          <w:spacing w:val="-3"/>
          <w:lang w:val="es-ES"/>
        </w:rPr>
        <w:t xml:space="preserve">Centro Justicia Educacional </w:t>
      </w:r>
      <w:r w:rsidR="007C0843" w:rsidRPr="004C7791">
        <w:rPr>
          <w:rFonts w:ascii="Times New Roman" w:hAnsi="Times New Roman" w:cs="Times New Roman"/>
          <w:spacing w:val="-3"/>
        </w:rPr>
        <w:t>Pontifici</w:t>
      </w:r>
      <w:r w:rsidR="00FB7BEB" w:rsidRPr="004C7791">
        <w:rPr>
          <w:rFonts w:ascii="Times New Roman" w:hAnsi="Times New Roman" w:cs="Times New Roman"/>
          <w:spacing w:val="-3"/>
        </w:rPr>
        <w:t xml:space="preserve">a Universidad Católica de Chile, la </w:t>
      </w:r>
      <w:r w:rsidR="007C0843" w:rsidRPr="004C7791">
        <w:rPr>
          <w:rFonts w:ascii="Times New Roman" w:hAnsi="Times New Roman" w:cs="Times New Roman"/>
          <w:spacing w:val="-3"/>
        </w:rPr>
        <w:t>Facultad de Economía y Negoc</w:t>
      </w:r>
      <w:r w:rsidR="00FB7BEB" w:rsidRPr="004C7791">
        <w:rPr>
          <w:rFonts w:ascii="Times New Roman" w:hAnsi="Times New Roman" w:cs="Times New Roman"/>
          <w:spacing w:val="-3"/>
        </w:rPr>
        <w:t xml:space="preserve">ios de la Universidad de Chile (Mario </w:t>
      </w:r>
      <w:proofErr w:type="spellStart"/>
      <w:r w:rsidR="00FB7BEB" w:rsidRPr="004C7791">
        <w:rPr>
          <w:rFonts w:ascii="Times New Roman" w:hAnsi="Times New Roman" w:cs="Times New Roman"/>
          <w:spacing w:val="-3"/>
        </w:rPr>
        <w:t>Agosin</w:t>
      </w:r>
      <w:proofErr w:type="spellEnd"/>
      <w:r w:rsidR="00FB7BEB" w:rsidRPr="004C7791">
        <w:rPr>
          <w:rFonts w:ascii="Times New Roman" w:hAnsi="Times New Roman" w:cs="Times New Roman"/>
          <w:spacing w:val="-3"/>
        </w:rPr>
        <w:t xml:space="preserve">) y la </w:t>
      </w:r>
      <w:r w:rsidR="00EA5B0A" w:rsidRPr="004C7791">
        <w:rPr>
          <w:rFonts w:ascii="Times New Roman" w:hAnsi="Times New Roman" w:cs="Times New Roman"/>
          <w:bCs/>
          <w:lang w:eastAsia="es-CL"/>
        </w:rPr>
        <w:t>Corporación de Universidades Privadas&gt; no</w:t>
      </w:r>
      <w:r w:rsidR="00EA5B0A" w:rsidRPr="004C7791">
        <w:rPr>
          <w:rFonts w:ascii="Times New Roman" w:hAnsi="Times New Roman" w:cs="Times New Roman"/>
          <w:spacing w:val="-3"/>
        </w:rPr>
        <w:t xml:space="preserve"> comparte el sistema de postulación e ingreso al Consejo de Rectores de Universidad</w:t>
      </w:r>
      <w:r w:rsidR="00963809">
        <w:rPr>
          <w:rFonts w:ascii="Times New Roman" w:hAnsi="Times New Roman" w:cs="Times New Roman"/>
          <w:spacing w:val="-3"/>
        </w:rPr>
        <w:t xml:space="preserve">es chilenas </w:t>
      </w:r>
      <w:r w:rsidR="003C4E9B" w:rsidRPr="004C7791">
        <w:rPr>
          <w:rFonts w:ascii="Times New Roman" w:hAnsi="Times New Roman" w:cs="Times New Roman"/>
          <w:spacing w:val="-3"/>
        </w:rPr>
        <w:t>que contempla la iniciativa(</w:t>
      </w:r>
      <w:r w:rsidR="003C4E9B" w:rsidRPr="004C7791">
        <w:rPr>
          <w:rFonts w:ascii="Times New Roman" w:hAnsi="Times New Roman" w:cs="Times New Roman"/>
          <w:i/>
          <w:spacing w:val="-3"/>
        </w:rPr>
        <w:t>“</w:t>
      </w:r>
      <w:r w:rsidR="003C4E9B" w:rsidRPr="004C7791">
        <w:rPr>
          <w:rFonts w:ascii="Times New Roman" w:hAnsi="Times New Roman" w:cs="Times New Roman"/>
          <w:i/>
        </w:rPr>
        <w:t xml:space="preserve">las exigencias de admisión para </w:t>
      </w:r>
      <w:r w:rsidR="003C4E9B" w:rsidRPr="004C7791">
        <w:rPr>
          <w:rFonts w:ascii="Times New Roman" w:hAnsi="Times New Roman" w:cs="Times New Roman"/>
          <w:i/>
        </w:rPr>
        <w:lastRenderedPageBreak/>
        <w:t>las nuevas universidades son excesivas y no solucionan el problema principal de que no existe un espacio donde puedan reunirse las Instituciones de Educación Superior con el Estado. Además, no se entiende que se restrinja a</w:t>
      </w:r>
      <w:r w:rsidR="00F50D43">
        <w:rPr>
          <w:rFonts w:ascii="Times New Roman" w:hAnsi="Times New Roman" w:cs="Times New Roman"/>
          <w:i/>
        </w:rPr>
        <w:t xml:space="preserve"> </w:t>
      </w:r>
      <w:r w:rsidR="003C4E9B" w:rsidRPr="004C7791">
        <w:rPr>
          <w:rFonts w:ascii="Times New Roman" w:hAnsi="Times New Roman" w:cs="Times New Roman"/>
          <w:i/>
        </w:rPr>
        <w:t>un grupo de instituciones por razones históricas.”)</w:t>
      </w:r>
    </w:p>
    <w:p w:rsidR="008C533B" w:rsidRPr="004C7791" w:rsidRDefault="008C533B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</w:p>
    <w:p w:rsidR="00845FD4" w:rsidRPr="004C7791" w:rsidRDefault="00845FD4" w:rsidP="00845FD4">
      <w:pPr>
        <w:keepNext/>
        <w:keepLines/>
        <w:outlineLvl w:val="1"/>
        <w:rPr>
          <w:rFonts w:ascii="Times New Roman" w:hAnsi="Times New Roman" w:cs="Times New Roman"/>
          <w:b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>II) FORMACIÓN TÉCNICO PROFESIONAL</w:t>
      </w:r>
    </w:p>
    <w:p w:rsidR="00845FD4" w:rsidRPr="004C7791" w:rsidRDefault="00845FD4" w:rsidP="00845FD4">
      <w:pPr>
        <w:keepNext/>
        <w:keepLines/>
        <w:outlineLvl w:val="1"/>
        <w:rPr>
          <w:rFonts w:ascii="Times New Roman" w:hAnsi="Times New Roman" w:cs="Times New Roman"/>
          <w:b/>
          <w:spacing w:val="-3"/>
        </w:rPr>
      </w:pPr>
    </w:p>
    <w:p w:rsidR="00845FD4" w:rsidRPr="004C7791" w:rsidRDefault="00B006AE" w:rsidP="00845FD4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 xml:space="preserve">Se contempla la </w:t>
      </w:r>
      <w:r w:rsidR="00F83551" w:rsidRPr="004C7791">
        <w:rPr>
          <w:rFonts w:ascii="Times New Roman" w:hAnsi="Times New Roman" w:cs="Times New Roman"/>
          <w:spacing w:val="-3"/>
        </w:rPr>
        <w:t xml:space="preserve">Estrategia Nacional de Formación Técnico Profesional &gt; </w:t>
      </w:r>
      <w:r w:rsidR="00845FD4" w:rsidRPr="004C7791">
        <w:rPr>
          <w:rFonts w:ascii="Times New Roman" w:hAnsi="Times New Roman" w:cs="Times New Roman"/>
          <w:spacing w:val="-3"/>
        </w:rPr>
        <w:t>cada cinco años se</w:t>
      </w:r>
      <w:r w:rsidR="00F83551" w:rsidRPr="004C7791">
        <w:rPr>
          <w:rFonts w:ascii="Times New Roman" w:hAnsi="Times New Roman" w:cs="Times New Roman"/>
          <w:spacing w:val="-3"/>
        </w:rPr>
        <w:t xml:space="preserve">rá revisada por </w:t>
      </w:r>
      <w:r w:rsidR="00845FD4" w:rsidRPr="004C7791">
        <w:rPr>
          <w:rFonts w:ascii="Times New Roman" w:hAnsi="Times New Roman" w:cs="Times New Roman"/>
          <w:spacing w:val="-3"/>
        </w:rPr>
        <w:t>un Consejo Asesor.</w:t>
      </w:r>
      <w:r w:rsidR="003648AB" w:rsidRPr="004C7791">
        <w:rPr>
          <w:rFonts w:ascii="Times New Roman" w:hAnsi="Times New Roman" w:cs="Times New Roman"/>
          <w:spacing w:val="-3"/>
        </w:rPr>
        <w:t xml:space="preserve"> </w:t>
      </w:r>
      <w:r w:rsidR="00845FD4" w:rsidRPr="004C7791">
        <w:rPr>
          <w:rFonts w:ascii="Times New Roman" w:hAnsi="Times New Roman" w:cs="Times New Roman"/>
          <w:spacing w:val="-3"/>
        </w:rPr>
        <w:t>Adicionalmente se crea, en el Ministerio de Educación, una unidad de coordinación de Formación Técnico Profesional.</w:t>
      </w:r>
    </w:p>
    <w:p w:rsidR="00845FD4" w:rsidRPr="004C7791" w:rsidRDefault="00845FD4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787249" w:rsidRPr="004C7791" w:rsidRDefault="00FB7BEB" w:rsidP="00FB7BEB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Se manifestó de acuerdo con la regulación propuesta </w:t>
      </w:r>
      <w:r w:rsidRPr="004C7791">
        <w:rPr>
          <w:rFonts w:ascii="Times New Roman" w:hAnsi="Times New Roman" w:cs="Times New Roman"/>
          <w:spacing w:val="-3"/>
        </w:rPr>
        <w:t xml:space="preserve">la </w:t>
      </w:r>
      <w:r w:rsidR="00787249" w:rsidRPr="004C7791">
        <w:rPr>
          <w:rFonts w:ascii="Times New Roman" w:hAnsi="Times New Roman" w:cs="Times New Roman"/>
          <w:spacing w:val="-3"/>
        </w:rPr>
        <w:t xml:space="preserve">Universidad Técnica Federico Santa María, </w:t>
      </w:r>
      <w:r w:rsidRPr="004C7791">
        <w:rPr>
          <w:rFonts w:ascii="Times New Roman" w:hAnsi="Times New Roman" w:cs="Times New Roman"/>
          <w:spacing w:val="-3"/>
        </w:rPr>
        <w:t xml:space="preserve">pero </w:t>
      </w:r>
      <w:r w:rsidR="00787249" w:rsidRPr="004C7791">
        <w:rPr>
          <w:rFonts w:ascii="Times New Roman" w:hAnsi="Times New Roman" w:cs="Times New Roman"/>
          <w:spacing w:val="-3"/>
        </w:rPr>
        <w:t xml:space="preserve">con reparos. </w:t>
      </w:r>
    </w:p>
    <w:p w:rsidR="00FE18D2" w:rsidRPr="004C7791" w:rsidRDefault="00FE18D2" w:rsidP="003305FF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</w:p>
    <w:p w:rsidR="003305FF" w:rsidRPr="004C7791" w:rsidRDefault="00FB7BEB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Fueron contrarios a la propuesta legislativa en esta materia, </w:t>
      </w:r>
      <w:r w:rsidRPr="004C7791">
        <w:rPr>
          <w:rFonts w:ascii="Times New Roman" w:hAnsi="Times New Roman" w:cs="Times New Roman"/>
          <w:spacing w:val="-3"/>
        </w:rPr>
        <w:t xml:space="preserve">la </w:t>
      </w:r>
      <w:r w:rsidR="003305FF" w:rsidRPr="004C7791">
        <w:rPr>
          <w:rFonts w:ascii="Times New Roman" w:hAnsi="Times New Roman" w:cs="Times New Roman"/>
          <w:spacing w:val="-3"/>
        </w:rPr>
        <w:t>Pontific</w:t>
      </w:r>
      <w:r w:rsidRPr="004C7791">
        <w:rPr>
          <w:rFonts w:ascii="Times New Roman" w:hAnsi="Times New Roman" w:cs="Times New Roman"/>
          <w:spacing w:val="-3"/>
        </w:rPr>
        <w:t>a Universidad Ca</w:t>
      </w:r>
      <w:r w:rsidR="00F50D43">
        <w:rPr>
          <w:rFonts w:ascii="Times New Roman" w:hAnsi="Times New Roman" w:cs="Times New Roman"/>
          <w:spacing w:val="-3"/>
        </w:rPr>
        <w:t>tólica de Chile, DUOC UC, CRUCH,</w:t>
      </w:r>
      <w:r w:rsidRPr="004C7791">
        <w:rPr>
          <w:rFonts w:ascii="Times New Roman" w:hAnsi="Times New Roman" w:cs="Times New Roman"/>
          <w:spacing w:val="-3"/>
        </w:rPr>
        <w:t xml:space="preserve"> ya que e</w:t>
      </w:r>
      <w:r w:rsidR="00E01F16" w:rsidRPr="004C7791">
        <w:rPr>
          <w:rFonts w:ascii="Times New Roman" w:hAnsi="Times New Roman" w:cs="Times New Roman"/>
          <w:spacing w:val="-3"/>
        </w:rPr>
        <w:t>l proyecto omite a varias universidades del CRUCH que históricamente han desarrollado un rol importan</w:t>
      </w:r>
      <w:r w:rsidR="00F50D43">
        <w:rPr>
          <w:rFonts w:ascii="Times New Roman" w:hAnsi="Times New Roman" w:cs="Times New Roman"/>
          <w:spacing w:val="-3"/>
        </w:rPr>
        <w:t>te en la formación de técnicos;</w:t>
      </w:r>
      <w:r w:rsidRPr="004C7791">
        <w:rPr>
          <w:rFonts w:ascii="Times New Roman" w:hAnsi="Times New Roman" w:cs="Times New Roman"/>
          <w:spacing w:val="-3"/>
        </w:rPr>
        <w:t xml:space="preserve"> la U</w:t>
      </w:r>
      <w:r w:rsidR="00E01F16" w:rsidRPr="004C7791">
        <w:rPr>
          <w:rFonts w:ascii="Times New Roman" w:hAnsi="Times New Roman" w:cs="Times New Roman"/>
          <w:spacing w:val="-3"/>
        </w:rPr>
        <w:t xml:space="preserve">niversidad Técnica Federico Santa María, </w:t>
      </w:r>
      <w:r w:rsidRPr="004C7791">
        <w:rPr>
          <w:rFonts w:ascii="Times New Roman" w:hAnsi="Times New Roman" w:cs="Times New Roman"/>
          <w:spacing w:val="-3"/>
        </w:rPr>
        <w:t xml:space="preserve">pero con propuestas de mejoras, y el </w:t>
      </w:r>
      <w:r w:rsidR="00787249" w:rsidRPr="004C7791">
        <w:rPr>
          <w:rFonts w:ascii="Times New Roman" w:hAnsi="Times New Roman" w:cs="Times New Roman"/>
          <w:spacing w:val="-3"/>
        </w:rPr>
        <w:t xml:space="preserve">Centro de Formación Técnica e Instituto Profesional Santo Tomás. </w:t>
      </w:r>
    </w:p>
    <w:p w:rsidR="00806BAD" w:rsidRPr="004C7791" w:rsidRDefault="00806BAD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u w:val="single"/>
        </w:rPr>
      </w:pPr>
    </w:p>
    <w:p w:rsidR="00364A98" w:rsidRPr="004C7791" w:rsidRDefault="00F83551" w:rsidP="00F83551">
      <w:pPr>
        <w:keepNext/>
        <w:keepLines/>
        <w:outlineLvl w:val="1"/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>III)</w:t>
      </w:r>
      <w:r w:rsidR="00364A98" w:rsidRPr="004C7791">
        <w:rPr>
          <w:rFonts w:ascii="Times New Roman" w:hAnsi="Times New Roman" w:cs="Times New Roman"/>
          <w:spacing w:val="-3"/>
        </w:rPr>
        <w:t xml:space="preserve"> </w:t>
      </w:r>
      <w:r w:rsidRPr="004C7791">
        <w:rPr>
          <w:rFonts w:ascii="Times New Roman" w:hAnsi="Times New Roman" w:cs="Times New Roman"/>
          <w:b/>
          <w:spacing w:val="-3"/>
        </w:rPr>
        <w:t xml:space="preserve">SUPERINTENDENCIA DE EDUCACIÓN SUPERIOR </w:t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B006AE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 xml:space="preserve">Asume la </w:t>
      </w:r>
      <w:r w:rsidR="00364A98" w:rsidRPr="004C7791">
        <w:rPr>
          <w:rFonts w:ascii="Times New Roman" w:hAnsi="Times New Roman" w:cs="Times New Roman"/>
          <w:spacing w:val="-3"/>
        </w:rPr>
        <w:t>fiscalización y supervigilancia del cumplimiento de las disposiciones legales y reglamentarias que regulan la educación superior, la legalidad del uso de los recursos y la supervisión de la viabilidad financiera de las instituciones de educación superior.</w:t>
      </w:r>
    </w:p>
    <w:p w:rsidR="00E05258" w:rsidRPr="004C7791" w:rsidRDefault="00E0525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>Asimismo, se regula un procedimiento administrativo sancionador que permite resguardar el interés público comprometido en el actuar de la Superintendencia, a través de un debido proceso. El procedimiento podrá finalizar imponiendo sanciones ante las infracciones, las que se</w:t>
      </w:r>
      <w:r w:rsidR="00F83551" w:rsidRPr="004C7791">
        <w:rPr>
          <w:rFonts w:ascii="Times New Roman" w:hAnsi="Times New Roman" w:cs="Times New Roman"/>
          <w:spacing w:val="-3"/>
        </w:rPr>
        <w:t>rán proporcionalmente graduadas (infracción gravísima: e</w:t>
      </w:r>
      <w:r w:rsidR="00F83551" w:rsidRPr="004C7791">
        <w:rPr>
          <w:rFonts w:ascii="Times New Roman" w:hAnsi="Times New Roman" w:cs="Times New Roman"/>
          <w:bCs/>
          <w:lang w:eastAsia="es-CL"/>
        </w:rPr>
        <w:t>fectuar publicidad que exceda la información objetiva y verificable acerca de la institución y sus carreras o programas. El gasto total anual por este concepto no podrá ser superior a la suma equivalente al 1% del total de lo que reciban por concepto de aranceles, comprendido el financiamiento para la gratuidad)</w:t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F83551" w:rsidRPr="004C7791" w:rsidRDefault="00F83551" w:rsidP="00F83551">
      <w:pPr>
        <w:tabs>
          <w:tab w:val="left" w:pos="0"/>
        </w:tabs>
        <w:rPr>
          <w:rFonts w:ascii="Times New Roman" w:hAnsi="Times New Roman" w:cs="Times New Roman"/>
          <w:bCs/>
          <w:lang w:eastAsia="es-CL"/>
        </w:rPr>
      </w:pPr>
      <w:r w:rsidRPr="004C7791">
        <w:rPr>
          <w:rFonts w:ascii="Times New Roman" w:hAnsi="Times New Roman" w:cs="Times New Roman"/>
          <w:bCs/>
          <w:lang w:eastAsia="es-CL"/>
        </w:rPr>
        <w:t>- Reglas y prohibiciones aplicables a las instituciones de educación superior organizadas como personas jurídicas de derecho privado sin fines de lucro (personas relacionadas, arts. 71 y 73; delito de lucro, a.78)</w:t>
      </w:r>
    </w:p>
    <w:p w:rsidR="003305FF" w:rsidRPr="004C7791" w:rsidRDefault="003305FF" w:rsidP="00F83551">
      <w:pPr>
        <w:tabs>
          <w:tab w:val="left" w:pos="0"/>
        </w:tabs>
        <w:rPr>
          <w:rFonts w:ascii="Times New Roman" w:hAnsi="Times New Roman" w:cs="Times New Roman"/>
          <w:bCs/>
          <w:lang w:eastAsia="es-CL"/>
        </w:rPr>
      </w:pPr>
    </w:p>
    <w:p w:rsidR="00FE18D2" w:rsidRPr="004C7791" w:rsidRDefault="00FB7BEB" w:rsidP="00FB7BEB">
      <w:pPr>
        <w:tabs>
          <w:tab w:val="left" w:pos="0"/>
        </w:tabs>
        <w:rPr>
          <w:rFonts w:ascii="Times New Roman" w:hAnsi="Times New Roman" w:cs="Times New Roman"/>
          <w:bCs/>
          <w:lang w:eastAsia="es-CL"/>
        </w:rPr>
      </w:pPr>
      <w:r w:rsidRPr="004C7791">
        <w:rPr>
          <w:rFonts w:ascii="Times New Roman" w:hAnsi="Times New Roman" w:cs="Times New Roman"/>
          <w:b/>
          <w:bCs/>
          <w:lang w:eastAsia="es-CL"/>
        </w:rPr>
        <w:t xml:space="preserve">Se manifestaron de acuerdo con la normativa propuesta, la </w:t>
      </w:r>
      <w:r w:rsidR="00043025" w:rsidRPr="004C7791">
        <w:rPr>
          <w:rFonts w:ascii="Times New Roman" w:hAnsi="Times New Roman" w:cs="Times New Roman"/>
          <w:bCs/>
          <w:lang w:eastAsia="es-CL"/>
        </w:rPr>
        <w:t>USACH, pero precisando las facultades de fiscalización de cada uno de las instituciones involucradas, de manera de tener un doble</w:t>
      </w:r>
      <w:r w:rsidRPr="004C7791">
        <w:rPr>
          <w:rFonts w:ascii="Times New Roman" w:hAnsi="Times New Roman" w:cs="Times New Roman"/>
          <w:bCs/>
          <w:lang w:eastAsia="es-CL"/>
        </w:rPr>
        <w:t xml:space="preserve"> control sobre un mismo asunto; Consejo de Rectores de Universidad</w:t>
      </w:r>
      <w:r w:rsidR="00963809">
        <w:rPr>
          <w:rFonts w:ascii="Times New Roman" w:hAnsi="Times New Roman" w:cs="Times New Roman"/>
          <w:bCs/>
          <w:lang w:eastAsia="es-CL"/>
        </w:rPr>
        <w:t>es</w:t>
      </w:r>
      <w:r w:rsidRPr="004C7791">
        <w:rPr>
          <w:rFonts w:ascii="Times New Roman" w:hAnsi="Times New Roman" w:cs="Times New Roman"/>
          <w:bCs/>
          <w:lang w:eastAsia="es-CL"/>
        </w:rPr>
        <w:t xml:space="preserve"> Chile</w:t>
      </w:r>
      <w:r w:rsidR="00963809">
        <w:rPr>
          <w:rFonts w:ascii="Times New Roman" w:hAnsi="Times New Roman" w:cs="Times New Roman"/>
          <w:bCs/>
          <w:lang w:eastAsia="es-CL"/>
        </w:rPr>
        <w:t>nas</w:t>
      </w:r>
      <w:r w:rsidRPr="004C7791">
        <w:rPr>
          <w:rFonts w:ascii="Times New Roman" w:hAnsi="Times New Roman" w:cs="Times New Roman"/>
          <w:bCs/>
          <w:lang w:eastAsia="es-CL"/>
        </w:rPr>
        <w:t xml:space="preserve">; </w:t>
      </w:r>
      <w:r w:rsidR="00E01F16" w:rsidRPr="004C7791">
        <w:rPr>
          <w:rFonts w:ascii="Times New Roman" w:hAnsi="Times New Roman" w:cs="Times New Roman"/>
          <w:bCs/>
          <w:lang w:eastAsia="es-CL"/>
        </w:rPr>
        <w:t>Universidad Técnica Federico Santa María</w:t>
      </w:r>
      <w:r w:rsidRPr="004C7791">
        <w:rPr>
          <w:rFonts w:ascii="Times New Roman" w:hAnsi="Times New Roman" w:cs="Times New Roman"/>
          <w:bCs/>
          <w:lang w:eastAsia="es-CL"/>
        </w:rPr>
        <w:t>, con reparos</w:t>
      </w:r>
      <w:r w:rsidR="00F50D43">
        <w:rPr>
          <w:rFonts w:ascii="Times New Roman" w:hAnsi="Times New Roman" w:cs="Times New Roman"/>
          <w:bCs/>
          <w:lang w:eastAsia="es-CL"/>
        </w:rPr>
        <w:t>,</w:t>
      </w:r>
      <w:r w:rsidRPr="004C7791">
        <w:rPr>
          <w:rFonts w:ascii="Times New Roman" w:hAnsi="Times New Roman" w:cs="Times New Roman"/>
          <w:bCs/>
          <w:lang w:eastAsia="es-CL"/>
        </w:rPr>
        <w:t xml:space="preserve"> y la </w:t>
      </w:r>
      <w:r w:rsidR="00FE18D2" w:rsidRPr="004C7791">
        <w:rPr>
          <w:rFonts w:ascii="Times New Roman" w:hAnsi="Times New Roman" w:cs="Times New Roman"/>
          <w:bCs/>
          <w:lang w:eastAsia="es-CL"/>
        </w:rPr>
        <w:t>Universidad Central.</w:t>
      </w:r>
    </w:p>
    <w:p w:rsidR="003305FF" w:rsidRPr="004C7791" w:rsidRDefault="003305FF" w:rsidP="003305FF">
      <w:pPr>
        <w:tabs>
          <w:tab w:val="left" w:pos="0"/>
        </w:tabs>
        <w:rPr>
          <w:rFonts w:ascii="Times New Roman" w:hAnsi="Times New Roman" w:cs="Times New Roman"/>
          <w:b/>
          <w:bCs/>
          <w:lang w:eastAsia="es-CL"/>
        </w:rPr>
      </w:pPr>
    </w:p>
    <w:p w:rsidR="007C0843" w:rsidRPr="004C7791" w:rsidRDefault="00F50D43" w:rsidP="00AE2AAF">
      <w:pPr>
        <w:tabs>
          <w:tab w:val="left" w:pos="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bCs/>
          <w:lang w:eastAsia="es-CL"/>
        </w:rPr>
        <w:t xml:space="preserve">Fueron contrarios </w:t>
      </w:r>
      <w:r w:rsidR="00FB7BEB" w:rsidRPr="004C7791">
        <w:rPr>
          <w:rFonts w:ascii="Times New Roman" w:hAnsi="Times New Roman" w:cs="Times New Roman"/>
          <w:b/>
          <w:bCs/>
          <w:lang w:eastAsia="es-CL"/>
        </w:rPr>
        <w:t>a las normas que se consideran en esta materia la</w:t>
      </w:r>
      <w:r w:rsidR="003305FF" w:rsidRPr="004C7791">
        <w:rPr>
          <w:rFonts w:ascii="Times New Roman" w:hAnsi="Times New Roman" w:cs="Times New Roman"/>
          <w:bCs/>
          <w:lang w:eastAsia="es-CL"/>
        </w:rPr>
        <w:t xml:space="preserve"> Pontific</w:t>
      </w:r>
      <w:r w:rsidR="00FB7BEB" w:rsidRPr="004C7791">
        <w:rPr>
          <w:rFonts w:ascii="Times New Roman" w:hAnsi="Times New Roman" w:cs="Times New Roman"/>
          <w:bCs/>
          <w:lang w:eastAsia="es-CL"/>
        </w:rPr>
        <w:t xml:space="preserve">a Universidad Católica de Chile; Universidad de Los Andes; DUOC UC; Universidad de Chile; </w:t>
      </w:r>
      <w:r w:rsidR="00787249" w:rsidRPr="004C7791">
        <w:rPr>
          <w:rFonts w:ascii="Times New Roman" w:hAnsi="Times New Roman" w:cs="Times New Roman"/>
          <w:bCs/>
          <w:lang w:eastAsia="es-CL"/>
        </w:rPr>
        <w:t>Pontifica Univ</w:t>
      </w:r>
      <w:r w:rsidR="00FB7BEB" w:rsidRPr="004C7791">
        <w:rPr>
          <w:rFonts w:ascii="Times New Roman" w:hAnsi="Times New Roman" w:cs="Times New Roman"/>
          <w:bCs/>
          <w:lang w:eastAsia="es-CL"/>
        </w:rPr>
        <w:t xml:space="preserve">ersidad Católica de Valparaíso; </w:t>
      </w:r>
      <w:r w:rsidR="00787249" w:rsidRPr="004C7791">
        <w:rPr>
          <w:rFonts w:ascii="Times New Roman" w:hAnsi="Times New Roman" w:cs="Times New Roman"/>
          <w:spacing w:val="-3"/>
        </w:rPr>
        <w:t>Centro de Formación Técnica e Ins</w:t>
      </w:r>
      <w:r w:rsidR="00FB7BEB" w:rsidRPr="004C7791">
        <w:rPr>
          <w:rFonts w:ascii="Times New Roman" w:hAnsi="Times New Roman" w:cs="Times New Roman"/>
          <w:spacing w:val="-3"/>
        </w:rPr>
        <w:t xml:space="preserve">tituto Profesional Santo Tomás; Universidad Austral; </w:t>
      </w:r>
      <w:r w:rsidR="000366A1" w:rsidRPr="004C7791">
        <w:rPr>
          <w:rFonts w:ascii="Times New Roman" w:hAnsi="Times New Roman" w:cs="Times New Roman"/>
          <w:spacing w:val="-3"/>
        </w:rPr>
        <w:t>Corpor</w:t>
      </w:r>
      <w:r w:rsidR="00FB7BEB" w:rsidRPr="004C7791">
        <w:rPr>
          <w:rFonts w:ascii="Times New Roman" w:hAnsi="Times New Roman" w:cs="Times New Roman"/>
          <w:spacing w:val="-3"/>
        </w:rPr>
        <w:t xml:space="preserve">ación de Universidades Privadas; Universidad San Sebastián;  Universidad de Talca; </w:t>
      </w:r>
      <w:r w:rsidR="00AE2AAF">
        <w:rPr>
          <w:rFonts w:ascii="Times New Roman" w:hAnsi="Times New Roman" w:cs="Times New Roman"/>
          <w:spacing w:val="-3"/>
        </w:rPr>
        <w:t>Centro de Estudios Públicos;</w:t>
      </w:r>
      <w:r w:rsidR="00FB7BEB" w:rsidRPr="004C7791">
        <w:rPr>
          <w:rFonts w:ascii="Times New Roman" w:hAnsi="Times New Roman" w:cs="Times New Roman"/>
          <w:spacing w:val="-3"/>
        </w:rPr>
        <w:t xml:space="preserve"> Universidad de Viña del Mar; Mariana Aylwin; José Pablo Arellano; </w:t>
      </w:r>
      <w:r w:rsidR="007C0843" w:rsidRPr="004C7791">
        <w:rPr>
          <w:rFonts w:ascii="Times New Roman" w:hAnsi="Times New Roman" w:cs="Times New Roman"/>
          <w:spacing w:val="-3"/>
        </w:rPr>
        <w:t>Centro Justicia Educacional Pontifici</w:t>
      </w:r>
      <w:r w:rsidR="00FB7BEB" w:rsidRPr="004C7791">
        <w:rPr>
          <w:rFonts w:ascii="Times New Roman" w:hAnsi="Times New Roman" w:cs="Times New Roman"/>
          <w:spacing w:val="-3"/>
        </w:rPr>
        <w:t xml:space="preserve">a Universidad Católica de Chile; </w:t>
      </w:r>
      <w:r w:rsidR="007C0843" w:rsidRPr="004C7791">
        <w:rPr>
          <w:rFonts w:ascii="Times New Roman" w:hAnsi="Times New Roman" w:cs="Times New Roman"/>
          <w:spacing w:val="-3"/>
        </w:rPr>
        <w:t>Facultad de Economía y Negocios de la Universidad de Chile</w:t>
      </w:r>
      <w:r w:rsidR="00FB7BEB" w:rsidRPr="004C7791">
        <w:rPr>
          <w:rFonts w:ascii="Times New Roman" w:hAnsi="Times New Roman" w:cs="Times New Roman"/>
          <w:spacing w:val="-3"/>
        </w:rPr>
        <w:t xml:space="preserve"> (Mario </w:t>
      </w:r>
      <w:proofErr w:type="spellStart"/>
      <w:r w:rsidR="00FB7BEB" w:rsidRPr="004C7791">
        <w:rPr>
          <w:rFonts w:ascii="Times New Roman" w:hAnsi="Times New Roman" w:cs="Times New Roman"/>
          <w:spacing w:val="-3"/>
        </w:rPr>
        <w:t>Agosin</w:t>
      </w:r>
      <w:proofErr w:type="spellEnd"/>
      <w:r w:rsidR="00FB7BEB" w:rsidRPr="004C7791">
        <w:rPr>
          <w:rFonts w:ascii="Times New Roman" w:hAnsi="Times New Roman" w:cs="Times New Roman"/>
          <w:spacing w:val="-3"/>
        </w:rPr>
        <w:t xml:space="preserve">); </w:t>
      </w:r>
      <w:r w:rsidR="003D3E12" w:rsidRPr="004C7791">
        <w:rPr>
          <w:rFonts w:ascii="Times New Roman" w:hAnsi="Times New Roman" w:cs="Times New Roman"/>
          <w:spacing w:val="-3"/>
        </w:rPr>
        <w:t>Corporación Chileno-Alemana de Beneficencia (Clínica Alemana/UDD)</w:t>
      </w:r>
      <w:r w:rsidR="00AE2AAF">
        <w:rPr>
          <w:rFonts w:ascii="Times New Roman" w:hAnsi="Times New Roman" w:cs="Times New Roman"/>
          <w:spacing w:val="-3"/>
        </w:rPr>
        <w:t>, esta última, por cuanto la regulación del PL respecto a las personas relacionadas impedirá mantener el vínculo existente entre ambas entidades, por lo cual propusieron efectuar la enmienda pertinente para solucionar este problema.</w:t>
      </w:r>
    </w:p>
    <w:p w:rsidR="003D3E12" w:rsidRPr="004C7791" w:rsidRDefault="003D3E12" w:rsidP="007C0843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F83551" w:rsidP="00364A98">
      <w:pPr>
        <w:keepNext/>
        <w:keepLines/>
        <w:outlineLvl w:val="1"/>
        <w:rPr>
          <w:rFonts w:ascii="Times New Roman" w:hAnsi="Times New Roman" w:cs="Times New Roman"/>
          <w:b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IV) SISTEMA NACIONAL DE ASEGURAMIENTO DE LA CALIDAD DE LA EDUCACIÓN SUPERIOR / ACREDITACIÓN. </w:t>
      </w:r>
    </w:p>
    <w:p w:rsidR="00D87093" w:rsidRPr="004C7791" w:rsidRDefault="00D87093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>Se establece</w:t>
      </w:r>
      <w:r w:rsidR="002A3ADB" w:rsidRPr="004C7791">
        <w:rPr>
          <w:rFonts w:ascii="Times New Roman" w:hAnsi="Times New Roman" w:cs="Times New Roman"/>
          <w:spacing w:val="-3"/>
        </w:rPr>
        <w:t xml:space="preserve">n diversas modificaciones a la ley N° 20.129, que estableció un </w:t>
      </w:r>
      <w:r w:rsidRPr="004C7791">
        <w:rPr>
          <w:rFonts w:ascii="Times New Roman" w:hAnsi="Times New Roman" w:cs="Times New Roman"/>
          <w:spacing w:val="-3"/>
        </w:rPr>
        <w:t xml:space="preserve">Sistema </w:t>
      </w:r>
      <w:r w:rsidR="002A3ADB" w:rsidRPr="004C7791">
        <w:rPr>
          <w:rFonts w:ascii="Times New Roman" w:hAnsi="Times New Roman" w:cs="Times New Roman"/>
          <w:spacing w:val="-3"/>
        </w:rPr>
        <w:t xml:space="preserve">nacional </w:t>
      </w:r>
      <w:r w:rsidRPr="004C7791">
        <w:rPr>
          <w:rFonts w:ascii="Times New Roman" w:hAnsi="Times New Roman" w:cs="Times New Roman"/>
          <w:spacing w:val="-3"/>
        </w:rPr>
        <w:t xml:space="preserve">de Aseguramiento de la Calidad </w:t>
      </w:r>
      <w:r w:rsidR="002A3ADB" w:rsidRPr="004C7791">
        <w:rPr>
          <w:rFonts w:ascii="Times New Roman" w:hAnsi="Times New Roman" w:cs="Times New Roman"/>
          <w:spacing w:val="-3"/>
        </w:rPr>
        <w:t xml:space="preserve">&gt; el sistema estará </w:t>
      </w:r>
      <w:r w:rsidRPr="004C7791">
        <w:rPr>
          <w:rFonts w:ascii="Times New Roman" w:hAnsi="Times New Roman" w:cs="Times New Roman"/>
          <w:spacing w:val="-3"/>
        </w:rPr>
        <w:t xml:space="preserve">integrado por el Ministerio de Educación, a través de la Subsecretaría Educación Superior, el Consejo Nacional de Educación, </w:t>
      </w:r>
      <w:r w:rsidR="002A3ADB" w:rsidRPr="004C7791">
        <w:rPr>
          <w:rFonts w:ascii="Times New Roman" w:hAnsi="Times New Roman" w:cs="Times New Roman"/>
          <w:spacing w:val="-3"/>
        </w:rPr>
        <w:t xml:space="preserve">la Comisión nacional </w:t>
      </w:r>
      <w:r w:rsidR="003648AB" w:rsidRPr="004C7791">
        <w:rPr>
          <w:rFonts w:ascii="Times New Roman" w:hAnsi="Times New Roman" w:cs="Times New Roman"/>
          <w:spacing w:val="-3"/>
        </w:rPr>
        <w:t xml:space="preserve">de </w:t>
      </w:r>
      <w:r w:rsidR="003648AB" w:rsidRPr="004C7791">
        <w:rPr>
          <w:rFonts w:ascii="Times New Roman" w:hAnsi="Times New Roman" w:cs="Times New Roman"/>
          <w:spacing w:val="-3"/>
        </w:rPr>
        <w:lastRenderedPageBreak/>
        <w:t xml:space="preserve">Acreditación </w:t>
      </w:r>
      <w:r w:rsidR="002A3ADB" w:rsidRPr="004C7791">
        <w:rPr>
          <w:rFonts w:ascii="Times New Roman" w:hAnsi="Times New Roman" w:cs="Times New Roman"/>
          <w:spacing w:val="-3"/>
        </w:rPr>
        <w:t xml:space="preserve">y </w:t>
      </w:r>
      <w:r w:rsidRPr="004C7791">
        <w:rPr>
          <w:rFonts w:ascii="Times New Roman" w:hAnsi="Times New Roman" w:cs="Times New Roman"/>
          <w:spacing w:val="-3"/>
        </w:rPr>
        <w:t xml:space="preserve">la Superintendencia de </w:t>
      </w:r>
      <w:r w:rsidR="002A3ADB" w:rsidRPr="004C7791">
        <w:rPr>
          <w:rFonts w:ascii="Times New Roman" w:hAnsi="Times New Roman" w:cs="Times New Roman"/>
          <w:spacing w:val="-3"/>
        </w:rPr>
        <w:t xml:space="preserve">Educación Superior&gt; </w:t>
      </w:r>
      <w:r w:rsidR="00806BAD" w:rsidRPr="004C7791">
        <w:rPr>
          <w:rFonts w:ascii="Times New Roman" w:hAnsi="Times New Roman" w:cs="Times New Roman"/>
        </w:rPr>
        <w:t>licenciamiento de instituciones nuevas de educación superior y acreditación institucional de las instituciones de educación superior autónomas</w:t>
      </w:r>
    </w:p>
    <w:p w:rsidR="00D87093" w:rsidRPr="004C7791" w:rsidRDefault="00D87093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D87093" w:rsidRPr="004C7791" w:rsidRDefault="00B512E9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>N</w:t>
      </w:r>
      <w:r w:rsidR="00364A98" w:rsidRPr="004C7791">
        <w:rPr>
          <w:rFonts w:ascii="Times New Roman" w:hAnsi="Times New Roman" w:cs="Times New Roman"/>
          <w:b/>
          <w:spacing w:val="-3"/>
        </w:rPr>
        <w:t>ueva acreditación institucional</w:t>
      </w:r>
      <w:r w:rsidRPr="004C7791">
        <w:rPr>
          <w:rFonts w:ascii="Times New Roman" w:hAnsi="Times New Roman" w:cs="Times New Roman"/>
          <w:spacing w:val="-3"/>
        </w:rPr>
        <w:t xml:space="preserve">, (art.42) </w:t>
      </w:r>
      <w:r w:rsidR="00364A98" w:rsidRPr="004C7791">
        <w:rPr>
          <w:rFonts w:ascii="Times New Roman" w:hAnsi="Times New Roman" w:cs="Times New Roman"/>
          <w:spacing w:val="-3"/>
          <w:u w:val="single"/>
        </w:rPr>
        <w:t>será obligatoria</w:t>
      </w:r>
      <w:r w:rsidR="00364A98" w:rsidRPr="004C7791">
        <w:rPr>
          <w:rFonts w:ascii="Times New Roman" w:hAnsi="Times New Roman" w:cs="Times New Roman"/>
          <w:spacing w:val="-3"/>
        </w:rPr>
        <w:t xml:space="preserve"> para las instituciones d</w:t>
      </w:r>
      <w:r w:rsidR="002A3ADB" w:rsidRPr="004C7791">
        <w:rPr>
          <w:rFonts w:ascii="Times New Roman" w:hAnsi="Times New Roman" w:cs="Times New Roman"/>
          <w:spacing w:val="-3"/>
        </w:rPr>
        <w:t xml:space="preserve">e educación superior autónomas&gt; </w:t>
      </w:r>
      <w:r w:rsidR="00364A98" w:rsidRPr="004C7791">
        <w:rPr>
          <w:rFonts w:ascii="Times New Roman" w:hAnsi="Times New Roman" w:cs="Times New Roman"/>
          <w:spacing w:val="-3"/>
        </w:rPr>
        <w:t xml:space="preserve">consistirá en la evaluación y verificación del cumplimiento de los estándares de calidad </w:t>
      </w:r>
    </w:p>
    <w:p w:rsidR="00A32C21" w:rsidRPr="004C7791" w:rsidRDefault="00A32C21" w:rsidP="00AE066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</w:p>
    <w:p w:rsidR="00AE0668" w:rsidRPr="004C7791" w:rsidRDefault="00A32C21" w:rsidP="00AE0668">
      <w:pPr>
        <w:tabs>
          <w:tab w:val="left" w:pos="709"/>
          <w:tab w:val="left" w:pos="3544"/>
        </w:tabs>
        <w:rPr>
          <w:rFonts w:ascii="Times New Roman" w:hAnsi="Times New Roman" w:cs="Times New Roman"/>
          <w:bCs/>
          <w:lang w:eastAsia="es-CL"/>
        </w:rPr>
      </w:pPr>
      <w:r w:rsidRPr="004C7791">
        <w:rPr>
          <w:rFonts w:ascii="Times New Roman" w:hAnsi="Times New Roman" w:cs="Times New Roman"/>
          <w:b/>
          <w:spacing w:val="-3"/>
        </w:rPr>
        <w:t>A</w:t>
      </w:r>
      <w:r w:rsidR="00364A98" w:rsidRPr="004C7791">
        <w:rPr>
          <w:rFonts w:ascii="Times New Roman" w:hAnsi="Times New Roman" w:cs="Times New Roman"/>
          <w:b/>
          <w:spacing w:val="-3"/>
        </w:rPr>
        <w:t xml:space="preserve">creditación obligatoria de las carreras y programas conducentes a los títulos profesionales de </w:t>
      </w:r>
      <w:r w:rsidRPr="004C7791">
        <w:rPr>
          <w:rFonts w:ascii="Times New Roman" w:hAnsi="Times New Roman" w:cs="Times New Roman"/>
          <w:bCs/>
          <w:lang w:eastAsia="es-CL"/>
        </w:rPr>
        <w:t>Médico Cirujano, Cirujano Dentista, Enfermero, Matrón, Kinesiólogo, Terapeuta Ocupacional, Fonoaudiólogo, Nutricionista, Tecnólogo Médico, Químico Farmacéutico, Bioquímico, Profesor de Educación Básica, Profesor de Educación Media, Profesor de Educación Diferencial o Especial y Educador de Párvulos</w:t>
      </w:r>
      <w:r w:rsidR="003305FF" w:rsidRPr="004C7791">
        <w:rPr>
          <w:rFonts w:ascii="Times New Roman" w:hAnsi="Times New Roman" w:cs="Times New Roman"/>
          <w:bCs/>
          <w:lang w:eastAsia="es-CL"/>
        </w:rPr>
        <w:t>.</w:t>
      </w:r>
    </w:p>
    <w:p w:rsidR="003305FF" w:rsidRPr="004C7791" w:rsidRDefault="003305FF" w:rsidP="00AE0668">
      <w:pPr>
        <w:tabs>
          <w:tab w:val="left" w:pos="709"/>
          <w:tab w:val="left" w:pos="3544"/>
        </w:tabs>
        <w:rPr>
          <w:rFonts w:ascii="Times New Roman" w:hAnsi="Times New Roman" w:cs="Times New Roman"/>
          <w:bCs/>
          <w:lang w:eastAsia="es-CL"/>
        </w:rPr>
      </w:pPr>
    </w:p>
    <w:p w:rsidR="007C0843" w:rsidRPr="004C7791" w:rsidRDefault="00FB7BEB" w:rsidP="00FB7BEB">
      <w:pPr>
        <w:tabs>
          <w:tab w:val="left" w:pos="709"/>
          <w:tab w:val="left" w:pos="3544"/>
        </w:tabs>
        <w:rPr>
          <w:rFonts w:ascii="Times New Roman" w:hAnsi="Times New Roman" w:cs="Times New Roman"/>
          <w:bCs/>
          <w:lang w:eastAsia="es-CL"/>
        </w:rPr>
      </w:pPr>
      <w:r w:rsidRPr="004C7791">
        <w:rPr>
          <w:rFonts w:ascii="Times New Roman" w:hAnsi="Times New Roman" w:cs="Times New Roman"/>
          <w:b/>
          <w:bCs/>
          <w:lang w:eastAsia="es-CL"/>
        </w:rPr>
        <w:t xml:space="preserve">Fueron contestes con la regulación propuesta en esta materia </w:t>
      </w:r>
      <w:r w:rsidRPr="004C7791">
        <w:rPr>
          <w:rFonts w:ascii="Times New Roman" w:hAnsi="Times New Roman" w:cs="Times New Roman"/>
          <w:bCs/>
          <w:lang w:eastAsia="es-CL"/>
        </w:rPr>
        <w:t>D</w:t>
      </w:r>
      <w:r w:rsidR="003305FF" w:rsidRPr="004C7791">
        <w:rPr>
          <w:rFonts w:ascii="Times New Roman" w:hAnsi="Times New Roman" w:cs="Times New Roman"/>
          <w:bCs/>
          <w:lang w:eastAsia="es-CL"/>
        </w:rPr>
        <w:t>UOC UC, pero sin el sesgo estatal que se reconoce en las funci</w:t>
      </w:r>
      <w:r w:rsidRPr="004C7791">
        <w:rPr>
          <w:rFonts w:ascii="Times New Roman" w:hAnsi="Times New Roman" w:cs="Times New Roman"/>
          <w:bCs/>
          <w:lang w:eastAsia="es-CL"/>
        </w:rPr>
        <w:t xml:space="preserve">ones de la nueva Subsecretaría; </w:t>
      </w:r>
      <w:r w:rsidR="00043025" w:rsidRPr="004C7791">
        <w:rPr>
          <w:rFonts w:ascii="Times New Roman" w:hAnsi="Times New Roman" w:cs="Times New Roman"/>
          <w:bCs/>
          <w:lang w:eastAsia="es-CL"/>
        </w:rPr>
        <w:t>USACH, pero con mejoras en</w:t>
      </w:r>
      <w:r w:rsidRPr="004C7791">
        <w:rPr>
          <w:rFonts w:ascii="Times New Roman" w:hAnsi="Times New Roman" w:cs="Times New Roman"/>
          <w:bCs/>
          <w:lang w:eastAsia="es-CL"/>
        </w:rPr>
        <w:t xml:space="preserve"> la implementación del sistema; </w:t>
      </w:r>
      <w:r w:rsidR="00D402B8" w:rsidRPr="004C7791">
        <w:rPr>
          <w:rFonts w:ascii="Times New Roman" w:hAnsi="Times New Roman" w:cs="Times New Roman"/>
          <w:bCs/>
          <w:lang w:eastAsia="es-CL"/>
        </w:rPr>
        <w:t xml:space="preserve">Agrupación de Universidades </w:t>
      </w:r>
      <w:r w:rsidR="00F50D43">
        <w:rPr>
          <w:rFonts w:ascii="Times New Roman" w:hAnsi="Times New Roman" w:cs="Times New Roman"/>
          <w:bCs/>
          <w:lang w:eastAsia="es-CL"/>
        </w:rPr>
        <w:t>Regionales &gt; Sugiere</w:t>
      </w:r>
      <w:r w:rsidR="00D402B8" w:rsidRPr="004C7791">
        <w:rPr>
          <w:rFonts w:ascii="Times New Roman" w:hAnsi="Times New Roman" w:cs="Times New Roman"/>
          <w:bCs/>
          <w:lang w:eastAsia="es-CL"/>
        </w:rPr>
        <w:t xml:space="preserve"> que la CNA debe tener, al menos, un 50% de representación con integrantes de “efe</w:t>
      </w:r>
      <w:r w:rsidRPr="004C7791">
        <w:rPr>
          <w:rFonts w:ascii="Times New Roman" w:hAnsi="Times New Roman" w:cs="Times New Roman"/>
          <w:bCs/>
          <w:lang w:eastAsia="es-CL"/>
        </w:rPr>
        <w:t xml:space="preserve">ctiva trayectoria en regiones”; </w:t>
      </w:r>
      <w:r w:rsidR="00FE18D2" w:rsidRPr="004C7791">
        <w:rPr>
          <w:rFonts w:ascii="Times New Roman" w:hAnsi="Times New Roman" w:cs="Times New Roman"/>
          <w:bCs/>
          <w:lang w:eastAsia="es-CL"/>
        </w:rPr>
        <w:t>Un</w:t>
      </w:r>
      <w:r w:rsidRPr="004C7791">
        <w:rPr>
          <w:rFonts w:ascii="Times New Roman" w:hAnsi="Times New Roman" w:cs="Times New Roman"/>
          <w:bCs/>
          <w:lang w:eastAsia="es-CL"/>
        </w:rPr>
        <w:t xml:space="preserve">iversidad Central, con reparos y el </w:t>
      </w:r>
      <w:r w:rsidR="007C0843" w:rsidRPr="004C7791">
        <w:rPr>
          <w:rFonts w:ascii="Times New Roman" w:hAnsi="Times New Roman" w:cs="Times New Roman"/>
          <w:bCs/>
          <w:lang w:eastAsia="es-CL"/>
        </w:rPr>
        <w:t xml:space="preserve">Consejo para la Transparencia. </w:t>
      </w:r>
    </w:p>
    <w:p w:rsidR="003305FF" w:rsidRPr="004C7791" w:rsidRDefault="003305FF" w:rsidP="003305FF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bCs/>
          <w:lang w:eastAsia="es-CL"/>
        </w:rPr>
      </w:pPr>
    </w:p>
    <w:p w:rsidR="007C0843" w:rsidRPr="004C7791" w:rsidRDefault="00ED19A6" w:rsidP="007C0843">
      <w:pPr>
        <w:tabs>
          <w:tab w:val="left" w:pos="709"/>
          <w:tab w:val="left" w:pos="3544"/>
        </w:tabs>
        <w:rPr>
          <w:rFonts w:ascii="Times New Roman" w:hAnsi="Times New Roman" w:cs="Times New Roman"/>
          <w:bCs/>
          <w:lang w:eastAsia="es-CL"/>
        </w:rPr>
      </w:pPr>
      <w:r w:rsidRPr="004C7791">
        <w:rPr>
          <w:rFonts w:ascii="Times New Roman" w:hAnsi="Times New Roman" w:cs="Times New Roman"/>
          <w:b/>
          <w:bCs/>
          <w:lang w:eastAsia="es-CL"/>
        </w:rPr>
        <w:t xml:space="preserve">En cambio expresaron su opinión contraria </w:t>
      </w:r>
      <w:r w:rsidRPr="004C7791">
        <w:rPr>
          <w:rFonts w:ascii="Times New Roman" w:hAnsi="Times New Roman" w:cs="Times New Roman"/>
          <w:bCs/>
          <w:lang w:eastAsia="es-CL"/>
        </w:rPr>
        <w:t xml:space="preserve">la </w:t>
      </w:r>
      <w:r w:rsidR="003305FF" w:rsidRPr="004C7791">
        <w:rPr>
          <w:rFonts w:ascii="Times New Roman" w:hAnsi="Times New Roman" w:cs="Times New Roman"/>
          <w:bCs/>
          <w:lang w:eastAsia="es-CL"/>
        </w:rPr>
        <w:t>Universida</w:t>
      </w:r>
      <w:r w:rsidRPr="004C7791">
        <w:rPr>
          <w:rFonts w:ascii="Times New Roman" w:hAnsi="Times New Roman" w:cs="Times New Roman"/>
          <w:bCs/>
          <w:lang w:eastAsia="es-CL"/>
        </w:rPr>
        <w:t xml:space="preserve">d de Los Andes; </w:t>
      </w:r>
      <w:r w:rsidR="00D402B8" w:rsidRPr="004C7791">
        <w:rPr>
          <w:rFonts w:ascii="Times New Roman" w:hAnsi="Times New Roman" w:cs="Times New Roman"/>
          <w:bCs/>
          <w:lang w:eastAsia="es-CL"/>
        </w:rPr>
        <w:t>Co</w:t>
      </w:r>
      <w:r w:rsidRPr="004C7791">
        <w:rPr>
          <w:rFonts w:ascii="Times New Roman" w:hAnsi="Times New Roman" w:cs="Times New Roman"/>
          <w:bCs/>
          <w:lang w:eastAsia="es-CL"/>
        </w:rPr>
        <w:t xml:space="preserve">misión Nacional de Acreditación </w:t>
      </w:r>
      <w:r w:rsidR="00F50D43">
        <w:rPr>
          <w:rFonts w:ascii="Times New Roman" w:hAnsi="Times New Roman" w:cs="Times New Roman"/>
          <w:bCs/>
          <w:sz w:val="20"/>
          <w:szCs w:val="20"/>
          <w:lang w:eastAsia="es-CL"/>
        </w:rPr>
        <w:t>&gt;</w:t>
      </w:r>
      <w:r w:rsidR="00D402B8"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>Cuestiona la forma propuesta y los alcances de la acreditación, no el hecho de que exista una nueva manera de asegurar la calidad de la educación. También cuestionan la tensión que existe en el proyecto</w:t>
      </w:r>
      <w:r w:rsidR="00F50D43">
        <w:rPr>
          <w:rFonts w:ascii="Times New Roman" w:hAnsi="Times New Roman" w:cs="Times New Roman"/>
          <w:bCs/>
          <w:sz w:val="20"/>
          <w:szCs w:val="20"/>
          <w:lang w:eastAsia="es-CL"/>
        </w:rPr>
        <w:t xml:space="preserve"> entre calidad y autonomía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 xml:space="preserve">; </w:t>
      </w:r>
      <w:r w:rsidR="00F50D43">
        <w:rPr>
          <w:rFonts w:ascii="Times New Roman" w:hAnsi="Times New Roman" w:cs="Times New Roman"/>
          <w:bCs/>
          <w:lang w:eastAsia="es-CL"/>
        </w:rPr>
        <w:t>Universidad de Chile &gt;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>ya que e</w:t>
      </w:r>
      <w:r w:rsidR="006D22E0"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>l proyecto no considera a miembros con experiencia en universidades estatales, lo que es incongruente con las diferencias que existen entre una universidad privada y una estatal. Ausencia de equilibrio en la d</w:t>
      </w:r>
      <w:r w:rsidR="00F50D43">
        <w:rPr>
          <w:rFonts w:ascii="Times New Roman" w:hAnsi="Times New Roman" w:cs="Times New Roman"/>
          <w:bCs/>
          <w:sz w:val="20"/>
          <w:szCs w:val="20"/>
          <w:lang w:eastAsia="es-CL"/>
        </w:rPr>
        <w:t>esignación de pares evaluadores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 xml:space="preserve">; el </w:t>
      </w:r>
      <w:r w:rsidRPr="004C7791">
        <w:rPr>
          <w:rFonts w:ascii="Times New Roman" w:hAnsi="Times New Roman" w:cs="Times New Roman"/>
          <w:bCs/>
          <w:lang w:eastAsia="es-CL"/>
        </w:rPr>
        <w:t>Consejo de Rectores de Universidad</w:t>
      </w:r>
      <w:r w:rsidR="00963809">
        <w:rPr>
          <w:rFonts w:ascii="Times New Roman" w:hAnsi="Times New Roman" w:cs="Times New Roman"/>
          <w:bCs/>
          <w:lang w:eastAsia="es-CL"/>
        </w:rPr>
        <w:t>es chilenas (CRUCH)</w:t>
      </w:r>
      <w:r w:rsidRPr="004C7791">
        <w:rPr>
          <w:rFonts w:ascii="Times New Roman" w:hAnsi="Times New Roman" w:cs="Times New Roman"/>
          <w:bCs/>
          <w:lang w:eastAsia="es-CL"/>
        </w:rPr>
        <w:t xml:space="preserve"> </w:t>
      </w:r>
      <w:r w:rsidR="00F50D43">
        <w:rPr>
          <w:rFonts w:ascii="Times New Roman" w:hAnsi="Times New Roman" w:cs="Times New Roman"/>
          <w:bCs/>
          <w:sz w:val="20"/>
          <w:szCs w:val="20"/>
          <w:lang w:eastAsia="es-CL"/>
        </w:rPr>
        <w:t>&gt;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>por ser una r</w:t>
      </w:r>
      <w:r w:rsidR="00E01F16"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>egulación insuficiente, pues debiera avanzarse hacia una evaluación en base a resultados de carácter objetivo en los procesos académicos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 xml:space="preserve"> releva</w:t>
      </w:r>
      <w:r w:rsidR="00F50D43">
        <w:rPr>
          <w:rFonts w:ascii="Times New Roman" w:hAnsi="Times New Roman" w:cs="Times New Roman"/>
          <w:bCs/>
          <w:sz w:val="20"/>
          <w:szCs w:val="20"/>
          <w:lang w:eastAsia="es-CL"/>
        </w:rPr>
        <w:t>ntes;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 xml:space="preserve"> la </w:t>
      </w:r>
      <w:r w:rsidR="00E01F16" w:rsidRPr="004C7791">
        <w:rPr>
          <w:rFonts w:ascii="Times New Roman" w:hAnsi="Times New Roman" w:cs="Times New Roman"/>
          <w:bCs/>
          <w:lang w:eastAsia="es-CL"/>
        </w:rPr>
        <w:t>Universidad Técnica Fe</w:t>
      </w:r>
      <w:r w:rsidRPr="004C7791">
        <w:rPr>
          <w:rFonts w:ascii="Times New Roman" w:hAnsi="Times New Roman" w:cs="Times New Roman"/>
          <w:bCs/>
          <w:lang w:eastAsia="es-CL"/>
        </w:rPr>
        <w:t>derico Santa María, con reparos; la</w:t>
      </w:r>
      <w:r w:rsidR="00787249" w:rsidRPr="004C7791">
        <w:rPr>
          <w:rFonts w:ascii="Times New Roman" w:hAnsi="Times New Roman" w:cs="Times New Roman"/>
          <w:bCs/>
          <w:lang w:eastAsia="es-CL"/>
        </w:rPr>
        <w:t xml:space="preserve"> Pontifica Universidad Católica de Valparaíso</w:t>
      </w:r>
      <w:r w:rsidRPr="004C7791">
        <w:rPr>
          <w:rFonts w:ascii="Times New Roman" w:hAnsi="Times New Roman" w:cs="Times New Roman"/>
          <w:bCs/>
          <w:lang w:eastAsia="es-CL"/>
        </w:rPr>
        <w:t xml:space="preserve"> </w:t>
      </w:r>
      <w:r w:rsidR="00F50D43">
        <w:rPr>
          <w:rFonts w:ascii="Times New Roman" w:hAnsi="Times New Roman" w:cs="Times New Roman"/>
          <w:bCs/>
          <w:sz w:val="20"/>
          <w:szCs w:val="20"/>
          <w:lang w:eastAsia="es-CL"/>
        </w:rPr>
        <w:t>&gt;</w:t>
      </w:r>
      <w:r w:rsidRPr="004C7791">
        <w:rPr>
          <w:rFonts w:ascii="Times New Roman" w:hAnsi="Times New Roman" w:cs="Times New Roman"/>
          <w:bCs/>
          <w:sz w:val="20"/>
          <w:szCs w:val="20"/>
          <w:lang w:eastAsia="es-CL"/>
        </w:rPr>
        <w:t>ya que n</w:t>
      </w:r>
      <w:r w:rsidR="00787249" w:rsidRPr="004C7791">
        <w:rPr>
          <w:rFonts w:ascii="Times New Roman" w:hAnsi="Times New Roman" w:cs="Times New Roman"/>
          <w:bCs/>
          <w:sz w:val="20"/>
          <w:szCs w:val="20"/>
          <w:lang w:val="es-ES" w:eastAsia="es-CL"/>
        </w:rPr>
        <w:t>o se especifican la proporción y los criterios de selección, ni el contenido y profundidad de l</w:t>
      </w:r>
      <w:r w:rsidR="003C4E9B" w:rsidRPr="004C7791">
        <w:rPr>
          <w:rFonts w:ascii="Times New Roman" w:hAnsi="Times New Roman" w:cs="Times New Roman"/>
          <w:bCs/>
          <w:sz w:val="20"/>
          <w:szCs w:val="20"/>
          <w:lang w:val="es-ES" w:eastAsia="es-CL"/>
        </w:rPr>
        <w:t xml:space="preserve">a evaluación de los programas. </w:t>
      </w:r>
      <w:r w:rsidR="00787249" w:rsidRPr="004C7791">
        <w:rPr>
          <w:rFonts w:ascii="Times New Roman" w:hAnsi="Times New Roman" w:cs="Times New Roman"/>
          <w:bCs/>
          <w:sz w:val="20"/>
          <w:szCs w:val="20"/>
          <w:lang w:val="es-ES" w:eastAsia="es-CL"/>
        </w:rPr>
        <w:t>Esta acreditación puede ser inviable por razones prácticas y logísticas, considerando la complejidad de articular tal número de actores, criterios y énfasis en u</w:t>
      </w:r>
      <w:r w:rsidR="00F50D43">
        <w:rPr>
          <w:rFonts w:ascii="Times New Roman" w:hAnsi="Times New Roman" w:cs="Times New Roman"/>
          <w:bCs/>
          <w:sz w:val="20"/>
          <w:szCs w:val="20"/>
          <w:lang w:val="es-ES" w:eastAsia="es-CL"/>
        </w:rPr>
        <w:t>n periodo acotado de evaluación</w:t>
      </w:r>
      <w:r w:rsidRPr="004C7791">
        <w:rPr>
          <w:rFonts w:ascii="Times New Roman" w:hAnsi="Times New Roman" w:cs="Times New Roman"/>
          <w:bCs/>
          <w:sz w:val="20"/>
          <w:szCs w:val="20"/>
          <w:lang w:val="es-ES" w:eastAsia="es-CL"/>
        </w:rPr>
        <w:t xml:space="preserve">; </w:t>
      </w:r>
      <w:r w:rsidR="00787249" w:rsidRPr="004C7791">
        <w:rPr>
          <w:rFonts w:ascii="Times New Roman" w:hAnsi="Times New Roman" w:cs="Times New Roman"/>
          <w:bCs/>
          <w:lang w:eastAsia="es-CL"/>
        </w:rPr>
        <w:t>Centro de Formación Técnica e Ins</w:t>
      </w:r>
      <w:r w:rsidRPr="004C7791">
        <w:rPr>
          <w:rFonts w:ascii="Times New Roman" w:hAnsi="Times New Roman" w:cs="Times New Roman"/>
          <w:bCs/>
          <w:lang w:eastAsia="es-CL"/>
        </w:rPr>
        <w:t xml:space="preserve">tituto Profesional Santo Tomás; </w:t>
      </w:r>
      <w:r w:rsidR="00A269B8" w:rsidRPr="004C7791">
        <w:rPr>
          <w:rFonts w:ascii="Times New Roman" w:hAnsi="Times New Roman" w:cs="Times New Roman"/>
          <w:bCs/>
          <w:lang w:eastAsia="es-CL"/>
        </w:rPr>
        <w:t xml:space="preserve">Universidad Austral; </w:t>
      </w:r>
      <w:r w:rsidR="000366A1" w:rsidRPr="004C7791">
        <w:rPr>
          <w:rFonts w:ascii="Times New Roman" w:hAnsi="Times New Roman" w:cs="Times New Roman"/>
          <w:bCs/>
          <w:lang w:eastAsia="es-CL"/>
        </w:rPr>
        <w:t>Corporación de Universidades Privadas</w:t>
      </w:r>
      <w:r w:rsidR="00F50D43">
        <w:rPr>
          <w:rFonts w:ascii="Times New Roman" w:hAnsi="Times New Roman" w:cs="Times New Roman"/>
          <w:bCs/>
          <w:lang w:eastAsia="es-CL"/>
        </w:rPr>
        <w:t xml:space="preserve">; </w:t>
      </w:r>
      <w:r w:rsidR="00A269B8" w:rsidRPr="004C7791">
        <w:rPr>
          <w:rFonts w:ascii="Times New Roman" w:hAnsi="Times New Roman" w:cs="Times New Roman"/>
          <w:bCs/>
          <w:lang w:eastAsia="es-CL"/>
        </w:rPr>
        <w:t xml:space="preserve">Universidad San Sebastián; Universidad de Talca; Centro de Estudios Públicos; CONFECH; Universidad de Viña del Mar; Mariana Aylwin; José Pablo Arellano; </w:t>
      </w:r>
      <w:r w:rsidR="007C0843" w:rsidRPr="004C7791">
        <w:rPr>
          <w:rFonts w:ascii="Times New Roman" w:hAnsi="Times New Roman" w:cs="Times New Roman"/>
          <w:bCs/>
          <w:lang w:eastAsia="es-CL"/>
        </w:rPr>
        <w:t xml:space="preserve">Acción </w:t>
      </w:r>
      <w:r w:rsidR="00A269B8" w:rsidRPr="004C7791">
        <w:rPr>
          <w:rFonts w:ascii="Times New Roman" w:hAnsi="Times New Roman" w:cs="Times New Roman"/>
          <w:bCs/>
          <w:lang w:eastAsia="es-CL"/>
        </w:rPr>
        <w:t xml:space="preserve">Educar; </w:t>
      </w:r>
      <w:r w:rsidR="007C0843" w:rsidRPr="004C7791">
        <w:rPr>
          <w:rFonts w:ascii="Times New Roman" w:hAnsi="Times New Roman" w:cs="Times New Roman"/>
          <w:bCs/>
          <w:lang w:eastAsia="es-CL"/>
        </w:rPr>
        <w:t xml:space="preserve"> Centro Justicia Educacional Pontifici</w:t>
      </w:r>
      <w:r w:rsidR="00A269B8" w:rsidRPr="004C7791">
        <w:rPr>
          <w:rFonts w:ascii="Times New Roman" w:hAnsi="Times New Roman" w:cs="Times New Roman"/>
          <w:bCs/>
          <w:lang w:eastAsia="es-CL"/>
        </w:rPr>
        <w:t xml:space="preserve">a Universidad Católica de Chile; </w:t>
      </w:r>
      <w:r w:rsidR="007C0843" w:rsidRPr="004C7791">
        <w:rPr>
          <w:rFonts w:ascii="Times New Roman" w:hAnsi="Times New Roman" w:cs="Times New Roman"/>
          <w:bCs/>
          <w:lang w:eastAsia="es-CL"/>
        </w:rPr>
        <w:t>Facultad de Economía y Negocios de la Universidad de Chile.</w:t>
      </w:r>
    </w:p>
    <w:p w:rsidR="00A32C21" w:rsidRPr="004C7791" w:rsidRDefault="00A32C21" w:rsidP="00AE0668">
      <w:pPr>
        <w:tabs>
          <w:tab w:val="left" w:pos="709"/>
          <w:tab w:val="left" w:pos="3544"/>
        </w:tabs>
        <w:rPr>
          <w:rFonts w:ascii="Times New Roman" w:hAnsi="Times New Roman" w:cs="Times New Roman"/>
          <w:b/>
          <w:spacing w:val="-3"/>
        </w:rPr>
      </w:pPr>
    </w:p>
    <w:p w:rsidR="00364A98" w:rsidRPr="004C7791" w:rsidRDefault="00F47F0E" w:rsidP="00364A98">
      <w:pPr>
        <w:keepNext/>
        <w:keepLines/>
        <w:outlineLvl w:val="1"/>
        <w:rPr>
          <w:rFonts w:ascii="Times New Roman" w:hAnsi="Times New Roman" w:cs="Times New Roman"/>
          <w:b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V) </w:t>
      </w:r>
      <w:r w:rsidR="00364A98" w:rsidRPr="004C7791">
        <w:rPr>
          <w:rFonts w:ascii="Times New Roman" w:hAnsi="Times New Roman" w:cs="Times New Roman"/>
          <w:b/>
          <w:spacing w:val="-3"/>
        </w:rPr>
        <w:t xml:space="preserve">FINANCIAMIENTO </w:t>
      </w:r>
      <w:r w:rsidR="00A32C21" w:rsidRPr="004C7791">
        <w:rPr>
          <w:rFonts w:ascii="Times New Roman" w:hAnsi="Times New Roman" w:cs="Times New Roman"/>
          <w:b/>
          <w:spacing w:val="-3"/>
        </w:rPr>
        <w:t xml:space="preserve">INSTITUCIONAL PARA LA GRATUIDAD </w:t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3305FF" w:rsidRPr="004C7791" w:rsidRDefault="002513DC" w:rsidP="00F47F0E">
      <w:pPr>
        <w:tabs>
          <w:tab w:val="left" w:pos="709"/>
          <w:tab w:val="left" w:pos="3544"/>
        </w:tabs>
        <w:rPr>
          <w:rFonts w:ascii="Times New Roman" w:hAnsi="Times New Roman" w:cs="Times New Roman"/>
        </w:rPr>
      </w:pPr>
      <w:r w:rsidRPr="004C7791">
        <w:rPr>
          <w:rFonts w:ascii="Times New Roman" w:hAnsi="Times New Roman" w:cs="Times New Roman"/>
        </w:rPr>
        <w:t xml:space="preserve">Las universidades, institutos profesionales y centros de formación técnica, que cumplan con los requisitos señalados en esta ley, </w:t>
      </w:r>
      <w:r w:rsidR="00A32C21" w:rsidRPr="004C7791">
        <w:rPr>
          <w:rFonts w:ascii="Times New Roman" w:hAnsi="Times New Roman" w:cs="Times New Roman"/>
        </w:rPr>
        <w:t>PODRÁN ACCEDER a</w:t>
      </w:r>
      <w:r w:rsidRPr="004C7791">
        <w:rPr>
          <w:rFonts w:ascii="Times New Roman" w:hAnsi="Times New Roman" w:cs="Times New Roman"/>
        </w:rPr>
        <w:t>l financiamiento institucional para la gratuidad</w:t>
      </w:r>
      <w:r w:rsidR="00F47F0E" w:rsidRPr="004C7791">
        <w:rPr>
          <w:rFonts w:ascii="Times New Roman" w:hAnsi="Times New Roman" w:cs="Times New Roman"/>
        </w:rPr>
        <w:t xml:space="preserve"> y que cumplan con las condiciones que establece la ley (arancel regulado, fijación de precios, Comité de expertos</w:t>
      </w:r>
      <w:r w:rsidR="003305FF" w:rsidRPr="004C7791">
        <w:rPr>
          <w:rFonts w:ascii="Times New Roman" w:hAnsi="Times New Roman" w:cs="Times New Roman"/>
        </w:rPr>
        <w:t>.</w:t>
      </w:r>
    </w:p>
    <w:p w:rsidR="003305FF" w:rsidRPr="004C7791" w:rsidRDefault="003305FF" w:rsidP="00F47F0E">
      <w:pPr>
        <w:tabs>
          <w:tab w:val="left" w:pos="709"/>
          <w:tab w:val="left" w:pos="3544"/>
        </w:tabs>
        <w:rPr>
          <w:rFonts w:ascii="Times New Roman" w:hAnsi="Times New Roman" w:cs="Times New Roman"/>
        </w:rPr>
      </w:pPr>
    </w:p>
    <w:p w:rsidR="003305FF" w:rsidRPr="004C7791" w:rsidRDefault="004C7791" w:rsidP="004C7791">
      <w:pPr>
        <w:tabs>
          <w:tab w:val="left" w:pos="709"/>
          <w:tab w:val="left" w:pos="3544"/>
        </w:tabs>
        <w:rPr>
          <w:rFonts w:ascii="Times New Roman" w:hAnsi="Times New Roman" w:cs="Times New Roman"/>
        </w:rPr>
      </w:pPr>
      <w:r w:rsidRPr="004C7791">
        <w:rPr>
          <w:rFonts w:ascii="Times New Roman" w:hAnsi="Times New Roman" w:cs="Times New Roman"/>
          <w:b/>
        </w:rPr>
        <w:t xml:space="preserve">Esta regulación fue compartida por la </w:t>
      </w:r>
      <w:r w:rsidR="00FE18D2" w:rsidRPr="004C7791">
        <w:rPr>
          <w:rFonts w:ascii="Times New Roman" w:hAnsi="Times New Roman" w:cs="Times New Roman"/>
        </w:rPr>
        <w:t xml:space="preserve">Universidad Central, con reparos. </w:t>
      </w:r>
    </w:p>
    <w:p w:rsidR="003305FF" w:rsidRPr="004C7791" w:rsidRDefault="003305FF" w:rsidP="003305FF">
      <w:pPr>
        <w:tabs>
          <w:tab w:val="left" w:pos="709"/>
          <w:tab w:val="left" w:pos="3544"/>
        </w:tabs>
        <w:rPr>
          <w:rFonts w:ascii="Times New Roman" w:hAnsi="Times New Roman" w:cs="Times New Roman"/>
          <w:b/>
        </w:rPr>
      </w:pPr>
    </w:p>
    <w:p w:rsidR="007C0843" w:rsidRPr="004C7791" w:rsidRDefault="004C7791" w:rsidP="004C7791">
      <w:pPr>
        <w:tabs>
          <w:tab w:val="left" w:pos="709"/>
          <w:tab w:val="left" w:pos="3544"/>
        </w:tabs>
        <w:rPr>
          <w:rFonts w:ascii="Times New Roman" w:hAnsi="Times New Roman" w:cs="Times New Roman"/>
        </w:rPr>
      </w:pPr>
      <w:r w:rsidRPr="004C7791">
        <w:rPr>
          <w:rFonts w:ascii="Times New Roman" w:hAnsi="Times New Roman" w:cs="Times New Roman"/>
          <w:b/>
        </w:rPr>
        <w:t xml:space="preserve">En cambio, no la compartieron, la </w:t>
      </w:r>
      <w:r w:rsidR="003305FF" w:rsidRPr="004C7791">
        <w:rPr>
          <w:rFonts w:ascii="Times New Roman" w:hAnsi="Times New Roman" w:cs="Times New Roman"/>
        </w:rPr>
        <w:t>Pontific</w:t>
      </w:r>
      <w:r w:rsidRPr="004C7791">
        <w:rPr>
          <w:rFonts w:ascii="Times New Roman" w:hAnsi="Times New Roman" w:cs="Times New Roman"/>
        </w:rPr>
        <w:t xml:space="preserve">a Universidad Católica de Chile; Universidad de Los Andes; DUOC UC; </w:t>
      </w:r>
      <w:r w:rsidR="00043025" w:rsidRPr="004C7791">
        <w:rPr>
          <w:rFonts w:ascii="Times New Roman" w:hAnsi="Times New Roman" w:cs="Times New Roman"/>
        </w:rPr>
        <w:t>USACH</w:t>
      </w:r>
      <w:r w:rsidR="00F50D43">
        <w:rPr>
          <w:rFonts w:ascii="Times New Roman" w:hAnsi="Times New Roman" w:cs="Times New Roman"/>
        </w:rPr>
        <w:t xml:space="preserve"> &gt;</w:t>
      </w:r>
      <w:r w:rsidR="00D402B8" w:rsidRPr="004C7791">
        <w:rPr>
          <w:rFonts w:ascii="Times New Roman" w:hAnsi="Times New Roman" w:cs="Times New Roman"/>
        </w:rPr>
        <w:t xml:space="preserve">en contra de </w:t>
      </w:r>
      <w:r w:rsidRPr="004C7791">
        <w:rPr>
          <w:rFonts w:ascii="Times New Roman" w:hAnsi="Times New Roman" w:cs="Times New Roman"/>
        </w:rPr>
        <w:t>l</w:t>
      </w:r>
      <w:r w:rsidR="00D402B8" w:rsidRPr="004C7791">
        <w:rPr>
          <w:rFonts w:ascii="Times New Roman" w:hAnsi="Times New Roman" w:cs="Times New Roman"/>
        </w:rPr>
        <w:t>a form</w:t>
      </w:r>
      <w:r w:rsidR="006D22E0" w:rsidRPr="004C7791">
        <w:rPr>
          <w:rFonts w:ascii="Times New Roman" w:hAnsi="Times New Roman" w:cs="Times New Roman"/>
        </w:rPr>
        <w:t>a sugerida, no del fondo de la propuesta</w:t>
      </w:r>
      <w:r w:rsidRPr="004C7791">
        <w:rPr>
          <w:rFonts w:ascii="Times New Roman" w:hAnsi="Times New Roman" w:cs="Times New Roman"/>
        </w:rPr>
        <w:t xml:space="preserve">; </w:t>
      </w:r>
      <w:r w:rsidR="00D402B8" w:rsidRPr="004C7791">
        <w:rPr>
          <w:rFonts w:ascii="Times New Roman" w:hAnsi="Times New Roman" w:cs="Times New Roman"/>
        </w:rPr>
        <w:t>Agrupaci</w:t>
      </w:r>
      <w:r w:rsidRPr="004C7791">
        <w:rPr>
          <w:rFonts w:ascii="Times New Roman" w:hAnsi="Times New Roman" w:cs="Times New Roman"/>
        </w:rPr>
        <w:t xml:space="preserve">ón de Universidades Regionales; </w:t>
      </w:r>
      <w:r w:rsidR="006D22E0" w:rsidRPr="004C7791">
        <w:rPr>
          <w:rFonts w:ascii="Times New Roman" w:hAnsi="Times New Roman" w:cs="Times New Roman"/>
        </w:rPr>
        <w:t>Universidad de Chile</w:t>
      </w:r>
      <w:r w:rsidRPr="004C7791">
        <w:rPr>
          <w:rFonts w:ascii="Times New Roman" w:hAnsi="Times New Roman" w:cs="Times New Roman"/>
        </w:rPr>
        <w:t xml:space="preserve"> </w:t>
      </w:r>
      <w:r w:rsidR="00F50D43">
        <w:rPr>
          <w:rFonts w:ascii="Times New Roman" w:hAnsi="Times New Roman" w:cs="Times New Roman"/>
          <w:sz w:val="20"/>
          <w:szCs w:val="20"/>
        </w:rPr>
        <w:t>&gt;</w:t>
      </w:r>
      <w:r w:rsidRPr="004C7791">
        <w:rPr>
          <w:rFonts w:ascii="Times New Roman" w:hAnsi="Times New Roman" w:cs="Times New Roman"/>
          <w:sz w:val="20"/>
          <w:szCs w:val="20"/>
        </w:rPr>
        <w:t xml:space="preserve">ya que en </w:t>
      </w:r>
      <w:r w:rsidR="006D22E0" w:rsidRPr="004C7791">
        <w:rPr>
          <w:rFonts w:ascii="Times New Roman" w:hAnsi="Times New Roman" w:cs="Times New Roman"/>
          <w:sz w:val="20"/>
          <w:szCs w:val="20"/>
        </w:rPr>
        <w:t xml:space="preserve">el caso de las universidades estatales, corresponde establecer normas preventivas en el proyecto de ley sobre universidades estatales bajo el principio de que el Estado cumpla su responsabilidad </w:t>
      </w:r>
      <w:r w:rsidR="00F50D43">
        <w:rPr>
          <w:rFonts w:ascii="Times New Roman" w:hAnsi="Times New Roman" w:cs="Times New Roman"/>
          <w:sz w:val="20"/>
          <w:szCs w:val="20"/>
        </w:rPr>
        <w:t>establecida en la Constitución;</w:t>
      </w:r>
      <w:r w:rsidRPr="004C7791">
        <w:rPr>
          <w:rFonts w:ascii="Times New Roman" w:hAnsi="Times New Roman" w:cs="Times New Roman"/>
          <w:sz w:val="20"/>
          <w:szCs w:val="20"/>
        </w:rPr>
        <w:t xml:space="preserve"> </w:t>
      </w:r>
      <w:r w:rsidR="00E01F16" w:rsidRPr="004C7791">
        <w:rPr>
          <w:rFonts w:ascii="Times New Roman" w:hAnsi="Times New Roman" w:cs="Times New Roman"/>
        </w:rPr>
        <w:t>CRU</w:t>
      </w:r>
      <w:r w:rsidRPr="004C7791">
        <w:rPr>
          <w:rFonts w:ascii="Times New Roman" w:hAnsi="Times New Roman" w:cs="Times New Roman"/>
        </w:rPr>
        <w:t xml:space="preserve">CH </w:t>
      </w:r>
      <w:r w:rsidR="00F50D43">
        <w:rPr>
          <w:rFonts w:ascii="Times New Roman" w:hAnsi="Times New Roman" w:cs="Times New Roman"/>
          <w:sz w:val="20"/>
          <w:szCs w:val="20"/>
        </w:rPr>
        <w:t>&gt;</w:t>
      </w:r>
      <w:r w:rsidRPr="004C7791">
        <w:rPr>
          <w:rFonts w:ascii="Times New Roman" w:hAnsi="Times New Roman" w:cs="Times New Roman"/>
          <w:sz w:val="20"/>
          <w:szCs w:val="20"/>
        </w:rPr>
        <w:t xml:space="preserve"> e</w:t>
      </w:r>
      <w:r w:rsidR="00E01F16" w:rsidRPr="004C7791">
        <w:rPr>
          <w:rFonts w:ascii="Times New Roman" w:hAnsi="Times New Roman" w:cs="Times New Roman"/>
          <w:sz w:val="20"/>
          <w:szCs w:val="20"/>
        </w:rPr>
        <w:t>l diseño del proyecto produce ventajas en favor de un tipo de instituciones que quedan en libertad de acción en materia de aranceles y matrículas con respect</w:t>
      </w:r>
      <w:r w:rsidR="00422773">
        <w:rPr>
          <w:rFonts w:ascii="Times New Roman" w:hAnsi="Times New Roman" w:cs="Times New Roman"/>
          <w:sz w:val="20"/>
          <w:szCs w:val="20"/>
        </w:rPr>
        <w:t>o a las que acceden a gratuidad</w:t>
      </w:r>
      <w:r w:rsidRPr="004C7791">
        <w:rPr>
          <w:rFonts w:ascii="Times New Roman" w:hAnsi="Times New Roman" w:cs="Times New Roman"/>
          <w:sz w:val="20"/>
          <w:szCs w:val="20"/>
        </w:rPr>
        <w:t xml:space="preserve">; </w:t>
      </w:r>
      <w:r w:rsidR="00E01F16" w:rsidRPr="004C7791">
        <w:rPr>
          <w:rFonts w:ascii="Times New Roman" w:hAnsi="Times New Roman" w:cs="Times New Roman"/>
        </w:rPr>
        <w:t>Universid</w:t>
      </w:r>
      <w:r w:rsidRPr="004C7791">
        <w:rPr>
          <w:rFonts w:ascii="Times New Roman" w:hAnsi="Times New Roman" w:cs="Times New Roman"/>
        </w:rPr>
        <w:t xml:space="preserve">ad Técnica Federico Santa María; la </w:t>
      </w:r>
      <w:r w:rsidR="00787249" w:rsidRPr="004C7791">
        <w:rPr>
          <w:rFonts w:ascii="Times New Roman" w:hAnsi="Times New Roman" w:cs="Times New Roman"/>
        </w:rPr>
        <w:t>Pontifica Universidad Católica de Valparaíso</w:t>
      </w:r>
      <w:r w:rsidR="00422773">
        <w:rPr>
          <w:rFonts w:ascii="Times New Roman" w:hAnsi="Times New Roman" w:cs="Times New Roman"/>
        </w:rPr>
        <w:t>&gt;</w:t>
      </w:r>
      <w:r w:rsidRPr="004C7791">
        <w:rPr>
          <w:rFonts w:ascii="Times New Roman" w:hAnsi="Times New Roman" w:cs="Times New Roman"/>
          <w:sz w:val="20"/>
          <w:szCs w:val="20"/>
        </w:rPr>
        <w:t>toda vez que e</w:t>
      </w:r>
      <w:r w:rsidR="00787249" w:rsidRPr="004C7791">
        <w:rPr>
          <w:rFonts w:ascii="Times New Roman" w:hAnsi="Times New Roman" w:cs="Times New Roman"/>
          <w:sz w:val="20"/>
          <w:szCs w:val="20"/>
        </w:rPr>
        <w:t xml:space="preserve">l proyecto no aborda el financiamiento institucional, por lo tanto, no se contemplan Fondos Basales (a excepción del Aporte Fiscal Directo). </w:t>
      </w:r>
      <w:r w:rsidR="00CA40B1" w:rsidRPr="004C7791">
        <w:rPr>
          <w:rFonts w:ascii="Times New Roman" w:hAnsi="Times New Roman" w:cs="Times New Roman"/>
          <w:sz w:val="20"/>
          <w:szCs w:val="20"/>
        </w:rPr>
        <w:t xml:space="preserve">Financiar los estudios superiores  de los ricos con recursos de todos los chilenos  es claramente regresivo y va en la dirección contraria de la lucha contra la desigualdad, en relación </w:t>
      </w:r>
      <w:r w:rsidR="00B006AE" w:rsidRPr="004C7791">
        <w:rPr>
          <w:rFonts w:ascii="Times New Roman" w:hAnsi="Times New Roman" w:cs="Times New Roman"/>
          <w:sz w:val="20"/>
          <w:szCs w:val="20"/>
        </w:rPr>
        <w:t>con lo</w:t>
      </w:r>
      <w:r w:rsidR="00422773">
        <w:rPr>
          <w:rFonts w:ascii="Times New Roman" w:hAnsi="Times New Roman" w:cs="Times New Roman"/>
          <w:sz w:val="20"/>
          <w:szCs w:val="20"/>
        </w:rPr>
        <w:t xml:space="preserve"> cual hay consenso en el país</w:t>
      </w:r>
      <w:r w:rsidRPr="004C7791">
        <w:rPr>
          <w:rFonts w:ascii="Times New Roman" w:hAnsi="Times New Roman" w:cs="Times New Roman"/>
          <w:sz w:val="20"/>
          <w:szCs w:val="20"/>
        </w:rPr>
        <w:t xml:space="preserve">; </w:t>
      </w:r>
      <w:r w:rsidR="00787249" w:rsidRPr="004C7791">
        <w:rPr>
          <w:rFonts w:ascii="Times New Roman" w:hAnsi="Times New Roman" w:cs="Times New Roman"/>
        </w:rPr>
        <w:t>Centro de Formación Técnica e In</w:t>
      </w:r>
      <w:r w:rsidRPr="004C7791">
        <w:rPr>
          <w:rFonts w:ascii="Times New Roman" w:hAnsi="Times New Roman" w:cs="Times New Roman"/>
        </w:rPr>
        <w:t xml:space="preserve">stituto Profesional Santo Tomás; Universidad Austral; </w:t>
      </w:r>
      <w:r w:rsidR="000366A1" w:rsidRPr="004C7791">
        <w:rPr>
          <w:rFonts w:ascii="Times New Roman" w:hAnsi="Times New Roman" w:cs="Times New Roman"/>
        </w:rPr>
        <w:t>Corporación de Universidades Privadas</w:t>
      </w:r>
      <w:r w:rsidRPr="004C7791">
        <w:rPr>
          <w:rFonts w:ascii="Times New Roman" w:hAnsi="Times New Roman" w:cs="Times New Roman"/>
        </w:rPr>
        <w:t xml:space="preserve">; Universidad San Sebastián; Universidad de Talca; Centro de Estudios Públicos; CONFECH; Universidad de Viña del Mar; Mariana Aylwin; José Pablo Arellano; Acción Educar y la </w:t>
      </w:r>
      <w:r w:rsidR="007C0843" w:rsidRPr="004C7791">
        <w:rPr>
          <w:rFonts w:ascii="Times New Roman" w:hAnsi="Times New Roman" w:cs="Times New Roman"/>
        </w:rPr>
        <w:t>Facultad de Economía y Negocios de la Universidad de Chile.</w:t>
      </w:r>
    </w:p>
    <w:p w:rsidR="00604B84" w:rsidRPr="004C7791" w:rsidRDefault="00604B84" w:rsidP="00604B84">
      <w:pPr>
        <w:tabs>
          <w:tab w:val="left" w:pos="709"/>
          <w:tab w:val="left" w:pos="3544"/>
        </w:tabs>
        <w:rPr>
          <w:rFonts w:ascii="Times New Roman" w:hAnsi="Times New Roman" w:cs="Times New Roman"/>
        </w:rPr>
      </w:pPr>
    </w:p>
    <w:p w:rsidR="00604B84" w:rsidRPr="004C7791" w:rsidRDefault="00422773" w:rsidP="00604B84">
      <w:pPr>
        <w:tabs>
          <w:tab w:val="left" w:pos="709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Sin perjuicio de lo señalado precedentemente, e</w:t>
      </w:r>
      <w:r w:rsidR="00604B84" w:rsidRPr="004C7791">
        <w:rPr>
          <w:rFonts w:ascii="Times New Roman" w:hAnsi="Times New Roman" w:cs="Times New Roman"/>
          <w:b/>
        </w:rPr>
        <w:t>l argumento central de quienes se oponen al mecanismo de financiamiento</w:t>
      </w:r>
      <w:r w:rsidR="00604B84" w:rsidRPr="004C7791">
        <w:rPr>
          <w:rFonts w:ascii="Times New Roman" w:hAnsi="Times New Roman" w:cs="Times New Roman"/>
        </w:rPr>
        <w:t>, radica en que el proyecto no propone gratuidad universal, sino que en la medida que el crecimiento del país lo permita. La ponderación de gratuidad, becas y créditos debiera realizarse año a año por medio de la Ley de Presupuestos, considerando que existen otras prioridades sociales que el país debe atender. Así, el financiamiento de las instituciones por medio</w:t>
      </w:r>
      <w:r w:rsidR="00B006AE" w:rsidRPr="004C7791">
        <w:rPr>
          <w:rFonts w:ascii="Times New Roman" w:hAnsi="Times New Roman" w:cs="Times New Roman"/>
        </w:rPr>
        <w:t xml:space="preserve"> de los aportes basales resulta esencial</w:t>
      </w:r>
      <w:r w:rsidR="00604B84" w:rsidRPr="004C7791">
        <w:rPr>
          <w:rFonts w:ascii="Times New Roman" w:hAnsi="Times New Roman" w:cs="Times New Roman"/>
        </w:rPr>
        <w:t xml:space="preserve"> para desarrollar proyecto</w:t>
      </w:r>
      <w:r w:rsidR="00B006AE" w:rsidRPr="004C7791">
        <w:rPr>
          <w:rFonts w:ascii="Times New Roman" w:hAnsi="Times New Roman" w:cs="Times New Roman"/>
        </w:rPr>
        <w:t>s</w:t>
      </w:r>
      <w:r w:rsidR="00604B84" w:rsidRPr="004C7791">
        <w:rPr>
          <w:rFonts w:ascii="Times New Roman" w:hAnsi="Times New Roman" w:cs="Times New Roman"/>
        </w:rPr>
        <w:t xml:space="preserve"> de investigación y nuevos conocimientos.</w:t>
      </w:r>
    </w:p>
    <w:p w:rsidR="00364A98" w:rsidRPr="004C7791" w:rsidRDefault="00364A98" w:rsidP="00364A98">
      <w:pPr>
        <w:tabs>
          <w:tab w:val="left" w:pos="709"/>
          <w:tab w:val="left" w:pos="3544"/>
        </w:tabs>
        <w:rPr>
          <w:rFonts w:ascii="Times New Roman" w:hAnsi="Times New Roman" w:cs="Times New Roman"/>
          <w:spacing w:val="-3"/>
        </w:rPr>
      </w:pPr>
    </w:p>
    <w:p w:rsidR="004C7791" w:rsidRPr="004C7791" w:rsidRDefault="00020BA9" w:rsidP="004C7791">
      <w:pPr>
        <w:keepNext/>
        <w:keepLines/>
        <w:outlineLvl w:val="1"/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b/>
          <w:spacing w:val="-3"/>
        </w:rPr>
        <w:t xml:space="preserve">VI) </w:t>
      </w:r>
      <w:r w:rsidR="004C7791" w:rsidRPr="004C7791">
        <w:rPr>
          <w:rFonts w:ascii="Times New Roman" w:hAnsi="Times New Roman" w:cs="Times New Roman"/>
          <w:b/>
          <w:spacing w:val="-3"/>
        </w:rPr>
        <w:t xml:space="preserve">OTROS ASPECTOS DE RELEVANCIA&gt; </w:t>
      </w:r>
      <w:r w:rsidR="004C7791" w:rsidRPr="004C7791">
        <w:rPr>
          <w:rFonts w:ascii="Times New Roman" w:hAnsi="Times New Roman" w:cs="Times New Roman"/>
          <w:spacing w:val="-3"/>
        </w:rPr>
        <w:t xml:space="preserve">1) </w:t>
      </w:r>
      <w:r w:rsidR="00B006AE" w:rsidRPr="004C7791">
        <w:rPr>
          <w:rFonts w:ascii="Times New Roman" w:hAnsi="Times New Roman" w:cs="Times New Roman"/>
          <w:spacing w:val="-3"/>
        </w:rPr>
        <w:t>Universidades regionales</w:t>
      </w:r>
      <w:r w:rsidR="00422773">
        <w:rPr>
          <w:rFonts w:ascii="Times New Roman" w:hAnsi="Times New Roman" w:cs="Times New Roman"/>
          <w:spacing w:val="-3"/>
        </w:rPr>
        <w:t xml:space="preserve"> /2) Rol público de las Universidade</w:t>
      </w:r>
      <w:r w:rsidR="004C7791" w:rsidRPr="004C7791">
        <w:rPr>
          <w:rFonts w:ascii="Times New Roman" w:hAnsi="Times New Roman" w:cs="Times New Roman"/>
          <w:spacing w:val="-3"/>
        </w:rPr>
        <w:t>s no estatales del CRUCH.</w:t>
      </w:r>
    </w:p>
    <w:p w:rsidR="004C7791" w:rsidRPr="004C7791" w:rsidRDefault="004C7791" w:rsidP="004C7791">
      <w:pPr>
        <w:keepNext/>
        <w:keepLines/>
        <w:outlineLvl w:val="1"/>
        <w:rPr>
          <w:rFonts w:ascii="Times New Roman" w:hAnsi="Times New Roman" w:cs="Times New Roman"/>
          <w:spacing w:val="-3"/>
        </w:rPr>
      </w:pPr>
    </w:p>
    <w:p w:rsidR="00D402B8" w:rsidRPr="004C7791" w:rsidRDefault="005D2D85" w:rsidP="004C7791">
      <w:pPr>
        <w:pStyle w:val="Prrafodelista"/>
        <w:keepNext/>
        <w:keepLines/>
        <w:numPr>
          <w:ilvl w:val="0"/>
          <w:numId w:val="22"/>
        </w:numPr>
        <w:spacing w:line="240" w:lineRule="auto"/>
        <w:ind w:left="0" w:firstLine="0"/>
        <w:outlineLvl w:val="1"/>
        <w:rPr>
          <w:rFonts w:ascii="Times New Roman" w:hAnsi="Times New Roman" w:cs="Times New Roman"/>
          <w:spacing w:val="-3"/>
          <w:sz w:val="22"/>
          <w:szCs w:val="22"/>
        </w:rPr>
      </w:pPr>
      <w:r w:rsidRPr="004C7791">
        <w:rPr>
          <w:rFonts w:ascii="Times New Roman" w:hAnsi="Times New Roman" w:cs="Times New Roman"/>
          <w:spacing w:val="-3"/>
          <w:sz w:val="22"/>
          <w:szCs w:val="22"/>
        </w:rPr>
        <w:t>Si bien el proyecto no se refiere específicamente a</w:t>
      </w:r>
      <w:r w:rsidR="004C7791" w:rsidRPr="004C7791">
        <w:rPr>
          <w:rFonts w:ascii="Times New Roman" w:hAnsi="Times New Roman" w:cs="Times New Roman"/>
          <w:spacing w:val="-3"/>
          <w:sz w:val="22"/>
          <w:szCs w:val="22"/>
        </w:rPr>
        <w:t xml:space="preserve">l tema de </w:t>
      </w:r>
      <w:proofErr w:type="spellStart"/>
      <w:r w:rsidR="004C7791" w:rsidRPr="004C7791">
        <w:rPr>
          <w:rFonts w:ascii="Times New Roman" w:hAnsi="Times New Roman" w:cs="Times New Roman"/>
          <w:spacing w:val="-3"/>
          <w:sz w:val="22"/>
          <w:szCs w:val="22"/>
        </w:rPr>
        <w:t>Ues</w:t>
      </w:r>
      <w:proofErr w:type="spellEnd"/>
      <w:r w:rsidR="004C7791" w:rsidRPr="004C7791">
        <w:rPr>
          <w:rFonts w:ascii="Times New Roman" w:hAnsi="Times New Roman" w:cs="Times New Roman"/>
          <w:spacing w:val="-3"/>
          <w:sz w:val="22"/>
          <w:szCs w:val="22"/>
        </w:rPr>
        <w:t xml:space="preserve"> regionales</w:t>
      </w:r>
      <w:r w:rsidRPr="004C7791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4C7791" w:rsidRPr="004C7791">
        <w:rPr>
          <w:rFonts w:ascii="Times New Roman" w:hAnsi="Times New Roman" w:cs="Times New Roman"/>
          <w:spacing w:val="-3"/>
          <w:sz w:val="22"/>
          <w:szCs w:val="22"/>
        </w:rPr>
        <w:t>hubo una opinión crítica a esta ausencia de regulación por las siguientes casas de estudio</w:t>
      </w:r>
      <w:r w:rsidR="00B006AE" w:rsidRPr="004C7791">
        <w:rPr>
          <w:rFonts w:ascii="Times New Roman" w:hAnsi="Times New Roman" w:cs="Times New Roman"/>
          <w:spacing w:val="-3"/>
          <w:sz w:val="22"/>
          <w:szCs w:val="22"/>
        </w:rPr>
        <w:t>:</w:t>
      </w:r>
    </w:p>
    <w:p w:rsidR="005D2D85" w:rsidRPr="004C7791" w:rsidRDefault="005D2D85" w:rsidP="003305FF">
      <w:pPr>
        <w:tabs>
          <w:tab w:val="left" w:pos="0"/>
        </w:tabs>
        <w:rPr>
          <w:rFonts w:ascii="Times New Roman" w:hAnsi="Times New Roman" w:cs="Times New Roman"/>
          <w:b/>
          <w:spacing w:val="-3"/>
        </w:rPr>
      </w:pPr>
    </w:p>
    <w:p w:rsidR="000366A1" w:rsidRPr="004C7791" w:rsidRDefault="00D402B8" w:rsidP="003305FF">
      <w:pPr>
        <w:tabs>
          <w:tab w:val="left" w:pos="0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>a) Agrupación de Univ</w:t>
      </w:r>
      <w:r w:rsidR="00422773">
        <w:rPr>
          <w:rFonts w:ascii="Times New Roman" w:hAnsi="Times New Roman" w:cs="Times New Roman"/>
          <w:spacing w:val="-3"/>
        </w:rPr>
        <w:t>ersidades Regionales &gt;</w:t>
      </w:r>
      <w:r w:rsidRPr="004C7791">
        <w:rPr>
          <w:rFonts w:ascii="Times New Roman" w:hAnsi="Times New Roman" w:cs="Times New Roman"/>
          <w:spacing w:val="-3"/>
        </w:rPr>
        <w:t xml:space="preserve"> el proyecto no considera instrumentos idóneos para la contribución efectiva de las Universidades Regionales </w:t>
      </w:r>
      <w:r w:rsidR="000366A1" w:rsidRPr="004C7791">
        <w:rPr>
          <w:rFonts w:ascii="Times New Roman" w:hAnsi="Times New Roman" w:cs="Times New Roman"/>
          <w:spacing w:val="-3"/>
        </w:rPr>
        <w:t>en el desarrollo territorial.</w:t>
      </w:r>
    </w:p>
    <w:p w:rsidR="00D402B8" w:rsidRPr="004C7791" w:rsidRDefault="00D402B8" w:rsidP="003305FF">
      <w:pPr>
        <w:tabs>
          <w:tab w:val="left" w:pos="0"/>
        </w:tabs>
        <w:rPr>
          <w:rFonts w:ascii="Times New Roman" w:hAnsi="Times New Roman" w:cs="Times New Roman"/>
          <w:spacing w:val="-3"/>
        </w:rPr>
      </w:pPr>
      <w:r w:rsidRPr="004C7791">
        <w:rPr>
          <w:rFonts w:ascii="Times New Roman" w:hAnsi="Times New Roman" w:cs="Times New Roman"/>
          <w:spacing w:val="-3"/>
        </w:rPr>
        <w:t xml:space="preserve">b) </w:t>
      </w:r>
      <w:r w:rsidR="004C7791" w:rsidRPr="004C7791">
        <w:rPr>
          <w:rFonts w:ascii="Times New Roman" w:hAnsi="Times New Roman" w:cs="Times New Roman"/>
          <w:spacing w:val="-3"/>
        </w:rPr>
        <w:t>Consejo de Rectores de Universidad</w:t>
      </w:r>
      <w:r w:rsidR="00963809">
        <w:rPr>
          <w:rFonts w:ascii="Times New Roman" w:hAnsi="Times New Roman" w:cs="Times New Roman"/>
          <w:spacing w:val="-3"/>
        </w:rPr>
        <w:t>es chilenas (CRUCH)</w:t>
      </w:r>
      <w:r w:rsidR="001F0C9F">
        <w:rPr>
          <w:rFonts w:ascii="Times New Roman" w:hAnsi="Times New Roman" w:cs="Times New Roman"/>
          <w:spacing w:val="-3"/>
        </w:rPr>
        <w:t xml:space="preserve"> </w:t>
      </w:r>
      <w:r w:rsidR="004C7791" w:rsidRPr="004C7791">
        <w:rPr>
          <w:rFonts w:ascii="Times New Roman" w:hAnsi="Times New Roman" w:cs="Times New Roman"/>
          <w:spacing w:val="-3"/>
        </w:rPr>
        <w:t xml:space="preserve">y Universidad Técnica Federico </w:t>
      </w:r>
      <w:r w:rsidR="00422773">
        <w:rPr>
          <w:rFonts w:ascii="Times New Roman" w:hAnsi="Times New Roman" w:cs="Times New Roman"/>
          <w:spacing w:val="-3"/>
        </w:rPr>
        <w:t xml:space="preserve">Santa María&gt; la iniciática </w:t>
      </w:r>
      <w:r w:rsidR="00E01F16" w:rsidRPr="004C7791">
        <w:rPr>
          <w:rFonts w:ascii="Times New Roman" w:hAnsi="Times New Roman" w:cs="Times New Roman"/>
          <w:spacing w:val="-3"/>
        </w:rPr>
        <w:t xml:space="preserve">no favorece una política pública específica para estas instituciones. </w:t>
      </w:r>
    </w:p>
    <w:p w:rsidR="00787249" w:rsidRPr="004C7791" w:rsidRDefault="004C7791" w:rsidP="003305FF">
      <w:pPr>
        <w:tabs>
          <w:tab w:val="left" w:pos="0"/>
        </w:tabs>
        <w:rPr>
          <w:rFonts w:ascii="Times New Roman" w:hAnsi="Times New Roman" w:cs="Times New Roman"/>
          <w:spacing w:val="-3"/>
          <w:lang w:val="es-ES"/>
        </w:rPr>
      </w:pPr>
      <w:r w:rsidRPr="004C7791">
        <w:rPr>
          <w:rFonts w:ascii="Times New Roman" w:hAnsi="Times New Roman" w:cs="Times New Roman"/>
          <w:spacing w:val="-3"/>
        </w:rPr>
        <w:t>c</w:t>
      </w:r>
      <w:r w:rsidR="00787249" w:rsidRPr="004C7791">
        <w:rPr>
          <w:rFonts w:ascii="Times New Roman" w:hAnsi="Times New Roman" w:cs="Times New Roman"/>
          <w:spacing w:val="-3"/>
        </w:rPr>
        <w:t>) Pontifica Uni</w:t>
      </w:r>
      <w:r w:rsidR="00422773">
        <w:rPr>
          <w:rFonts w:ascii="Times New Roman" w:hAnsi="Times New Roman" w:cs="Times New Roman"/>
          <w:spacing w:val="-3"/>
        </w:rPr>
        <w:t>versidad Católica de Valparaíso&gt;</w:t>
      </w:r>
      <w:r w:rsidR="00787249" w:rsidRPr="004C7791">
        <w:rPr>
          <w:rFonts w:ascii="Times New Roman" w:hAnsi="Times New Roman" w:cs="Times New Roman"/>
          <w:spacing w:val="-3"/>
          <w:lang w:val="es-ES"/>
        </w:rPr>
        <w:t xml:space="preserve"> </w:t>
      </w:r>
      <w:r w:rsidR="00422773">
        <w:rPr>
          <w:rFonts w:ascii="Times New Roman" w:hAnsi="Times New Roman" w:cs="Times New Roman"/>
          <w:spacing w:val="-3"/>
          <w:lang w:val="es-ES"/>
        </w:rPr>
        <w:t xml:space="preserve">PL </w:t>
      </w:r>
      <w:r w:rsidR="00787249" w:rsidRPr="004C7791">
        <w:rPr>
          <w:rFonts w:ascii="Times New Roman" w:hAnsi="Times New Roman" w:cs="Times New Roman"/>
          <w:spacing w:val="-3"/>
          <w:lang w:val="es-ES"/>
        </w:rPr>
        <w:t>omite un estímulo explícito al desarrollo de las universidades que cumplen sus tareas en regiones -sean estatales o no- y que son claves en el desarrollo científico, cultural y económic</w:t>
      </w:r>
      <w:r w:rsidR="00B006AE" w:rsidRPr="004C7791">
        <w:rPr>
          <w:rFonts w:ascii="Times New Roman" w:hAnsi="Times New Roman" w:cs="Times New Roman"/>
          <w:spacing w:val="-3"/>
          <w:lang w:val="es-ES"/>
        </w:rPr>
        <w:t>o de sus comunidades. Considera</w:t>
      </w:r>
      <w:r w:rsidR="00787249" w:rsidRPr="004C7791">
        <w:rPr>
          <w:rFonts w:ascii="Times New Roman" w:hAnsi="Times New Roman" w:cs="Times New Roman"/>
          <w:spacing w:val="-3"/>
          <w:lang w:val="es-ES"/>
        </w:rPr>
        <w:t xml:space="preserve"> que de materializarse, constituiría una nueva oportunidad perdida para actuar en favor de la descentralización y las oportunidades que ella representa.</w:t>
      </w:r>
    </w:p>
    <w:p w:rsidR="000366A1" w:rsidRPr="004C7791" w:rsidRDefault="00422773" w:rsidP="003305FF">
      <w:pPr>
        <w:tabs>
          <w:tab w:val="left" w:pos="0"/>
        </w:tabs>
        <w:rPr>
          <w:rFonts w:ascii="Times New Roman" w:hAnsi="Times New Roman" w:cs="Times New Roman"/>
          <w:spacing w:val="-3"/>
          <w:lang w:val="es-ES"/>
        </w:rPr>
      </w:pPr>
      <w:r>
        <w:rPr>
          <w:rFonts w:ascii="Times New Roman" w:hAnsi="Times New Roman" w:cs="Times New Roman"/>
          <w:spacing w:val="-3"/>
          <w:lang w:val="es-ES"/>
        </w:rPr>
        <w:t xml:space="preserve">d) Universidad Austral&gt; </w:t>
      </w:r>
      <w:r w:rsidR="000366A1" w:rsidRPr="004C7791">
        <w:rPr>
          <w:rFonts w:ascii="Times New Roman" w:hAnsi="Times New Roman" w:cs="Times New Roman"/>
          <w:spacing w:val="-3"/>
          <w:lang w:val="es-ES"/>
        </w:rPr>
        <w:t xml:space="preserve">Se debe incorporar un cambio sustantivo en los indicadores de asignación de recursos institucionales del Estado a las Universidades Regionales, de manera de corregir las desventajas que estas tienen para desarrollar sus actividades. </w:t>
      </w:r>
    </w:p>
    <w:p w:rsidR="00FE18D2" w:rsidRPr="004C7791" w:rsidRDefault="00FE18D2" w:rsidP="003305FF">
      <w:pPr>
        <w:tabs>
          <w:tab w:val="left" w:pos="0"/>
        </w:tabs>
        <w:rPr>
          <w:rFonts w:ascii="Times New Roman" w:hAnsi="Times New Roman" w:cs="Times New Roman"/>
          <w:spacing w:val="-3"/>
          <w:lang w:val="es-ES"/>
        </w:rPr>
      </w:pPr>
      <w:r w:rsidRPr="004C7791">
        <w:rPr>
          <w:rFonts w:ascii="Times New Roman" w:hAnsi="Times New Roman" w:cs="Times New Roman"/>
          <w:spacing w:val="-3"/>
          <w:lang w:val="es-ES"/>
        </w:rPr>
        <w:t xml:space="preserve">e) Universidad de Talca. </w:t>
      </w:r>
    </w:p>
    <w:p w:rsidR="00FE18D2" w:rsidRPr="004C7791" w:rsidRDefault="00FE18D2" w:rsidP="003305FF">
      <w:pPr>
        <w:tabs>
          <w:tab w:val="left" w:pos="0"/>
        </w:tabs>
        <w:rPr>
          <w:rFonts w:ascii="Times New Roman" w:hAnsi="Times New Roman" w:cs="Times New Roman"/>
          <w:spacing w:val="-3"/>
          <w:lang w:val="es-ES"/>
        </w:rPr>
      </w:pPr>
    </w:p>
    <w:p w:rsidR="005B1A7F" w:rsidRPr="00422773" w:rsidRDefault="00422773" w:rsidP="00422773">
      <w:pPr>
        <w:tabs>
          <w:tab w:val="left" w:pos="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  <w:lang w:val="es-ES"/>
        </w:rPr>
        <w:t xml:space="preserve">2) </w:t>
      </w:r>
      <w:r w:rsidR="004C7791" w:rsidRPr="00422773">
        <w:rPr>
          <w:rFonts w:ascii="Times New Roman" w:hAnsi="Times New Roman" w:cs="Times New Roman"/>
          <w:spacing w:val="-3"/>
        </w:rPr>
        <w:t>L</w:t>
      </w:r>
      <w:r w:rsidR="00FE18D2" w:rsidRPr="00422773">
        <w:rPr>
          <w:rFonts w:ascii="Times New Roman" w:hAnsi="Times New Roman" w:cs="Times New Roman"/>
          <w:spacing w:val="-3"/>
        </w:rPr>
        <w:t>as universidades del G-9 y otras privadas fuera de este grupo,</w:t>
      </w:r>
      <w:r w:rsidR="004C7791" w:rsidRPr="00422773">
        <w:rPr>
          <w:rFonts w:ascii="Times New Roman" w:hAnsi="Times New Roman" w:cs="Times New Roman"/>
          <w:spacing w:val="-3"/>
        </w:rPr>
        <w:t xml:space="preserve"> expresaron que 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“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Falta </w:t>
      </w:r>
      <w:r w:rsidR="004C7791" w:rsidRPr="00422773">
        <w:rPr>
          <w:rFonts w:ascii="Times New Roman" w:hAnsi="Times New Roman" w:cs="Times New Roman"/>
          <w:spacing w:val="-3"/>
          <w:lang w:val="es-ES_tradnl"/>
        </w:rPr>
        <w:t xml:space="preserve">en la iniciativa legal 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>un necesario reconocimiento del rol público e histórico de las universidades no estatales del CRUCH.</w:t>
      </w:r>
      <w:r w:rsidR="00F564A8" w:rsidRPr="00422773">
        <w:rPr>
          <w:rFonts w:ascii="Times New Roman" w:hAnsi="Times New Roman" w:cs="Times New Roman"/>
          <w:spacing w:val="-3"/>
        </w:rPr>
        <w:t xml:space="preserve"> 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Este reconocimiento </w:t>
      </w:r>
      <w:r w:rsidR="00B006AE" w:rsidRPr="00422773">
        <w:rPr>
          <w:rFonts w:ascii="Times New Roman" w:hAnsi="Times New Roman" w:cs="Times New Roman"/>
          <w:spacing w:val="-3"/>
          <w:lang w:val="es-ES_tradnl"/>
        </w:rPr>
        <w:t xml:space="preserve">se consagraba 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>inicialmente, sin emb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argo fue retirado. Por otro lado, el rol histórico de las Universidades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 Estatales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 xml:space="preserve"> sí es reconocido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 en 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el proyecto de l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ey de 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dichas instituciones</w:t>
      </w:r>
      <w:r w:rsidR="00B006AE" w:rsidRPr="00422773">
        <w:rPr>
          <w:rFonts w:ascii="Times New Roman" w:hAnsi="Times New Roman" w:cs="Times New Roman"/>
          <w:spacing w:val="-3"/>
          <w:lang w:val="es-ES_tradnl"/>
        </w:rPr>
        <w:t xml:space="preserve"> (en actual tramitación en diputados)</w:t>
      </w:r>
      <w:r w:rsidR="004C7791" w:rsidRPr="00422773">
        <w:rPr>
          <w:rFonts w:ascii="Times New Roman" w:hAnsi="Times New Roman" w:cs="Times New Roman"/>
          <w:spacing w:val="-3"/>
          <w:lang w:val="es-ES_tradnl"/>
        </w:rPr>
        <w:t xml:space="preserve">. </w:t>
      </w:r>
      <w:r w:rsidR="004C7791" w:rsidRPr="00422773">
        <w:rPr>
          <w:rFonts w:ascii="Times New Roman" w:hAnsi="Times New Roman" w:cs="Times New Roman"/>
          <w:spacing w:val="-3"/>
        </w:rPr>
        <w:t>L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as Universidades NO Estatales del CRUCH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dependerán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 de la Ley de Presupuesto, que no tiene tratamiento permanente y genera ince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>r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>tidumbre en presupuestos y planificación de largo plazo</w:t>
      </w:r>
      <w:r w:rsidR="00F564A8" w:rsidRPr="00422773">
        <w:rPr>
          <w:rFonts w:ascii="Times New Roman" w:hAnsi="Times New Roman" w:cs="Times New Roman"/>
          <w:spacing w:val="-3"/>
          <w:lang w:val="es-ES_tradnl"/>
        </w:rPr>
        <w:t xml:space="preserve"> de estas instituciones”</w:t>
      </w:r>
      <w:r w:rsidR="00CA40B1" w:rsidRPr="00422773">
        <w:rPr>
          <w:rFonts w:ascii="Times New Roman" w:hAnsi="Times New Roman" w:cs="Times New Roman"/>
          <w:spacing w:val="-3"/>
          <w:lang w:val="es-ES_tradnl"/>
        </w:rPr>
        <w:t xml:space="preserve">. </w:t>
      </w:r>
    </w:p>
    <w:p w:rsidR="00FE18D2" w:rsidRPr="004C7791" w:rsidRDefault="00FE18D2" w:rsidP="00FE18D2">
      <w:pPr>
        <w:tabs>
          <w:tab w:val="left" w:pos="0"/>
        </w:tabs>
        <w:rPr>
          <w:rFonts w:ascii="Times New Roman" w:hAnsi="Times New Roman" w:cs="Times New Roman"/>
          <w:spacing w:val="-3"/>
        </w:rPr>
      </w:pPr>
    </w:p>
    <w:p w:rsidR="00020BA9" w:rsidRPr="004C7791" w:rsidRDefault="00020BA9" w:rsidP="00020BA9">
      <w:pPr>
        <w:pStyle w:val="Prrafodelista"/>
        <w:tabs>
          <w:tab w:val="left" w:pos="709"/>
          <w:tab w:val="left" w:pos="2835"/>
        </w:tabs>
        <w:spacing w:line="240" w:lineRule="auto"/>
        <w:ind w:left="0"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4C7791">
        <w:rPr>
          <w:rFonts w:ascii="Times New Roman" w:hAnsi="Times New Roman" w:cs="Times New Roman"/>
          <w:spacing w:val="-3"/>
          <w:sz w:val="22"/>
          <w:szCs w:val="22"/>
        </w:rPr>
        <w:t>&amp; &amp; &amp;</w:t>
      </w:r>
    </w:p>
    <w:sectPr w:rsidR="00020BA9" w:rsidRPr="004C7791" w:rsidSect="00907630">
      <w:headerReference w:type="default" r:id="rId9"/>
      <w:pgSz w:w="12242" w:h="20163" w:code="5"/>
      <w:pgMar w:top="2835" w:right="1701" w:bottom="2268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74" w:rsidRDefault="00826574" w:rsidP="00D87093">
      <w:r>
        <w:separator/>
      </w:r>
    </w:p>
  </w:endnote>
  <w:endnote w:type="continuationSeparator" w:id="0">
    <w:p w:rsidR="00826574" w:rsidRDefault="00826574" w:rsidP="00D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74" w:rsidRDefault="00826574" w:rsidP="00D87093">
      <w:r>
        <w:separator/>
      </w:r>
    </w:p>
  </w:footnote>
  <w:footnote w:type="continuationSeparator" w:id="0">
    <w:p w:rsidR="00826574" w:rsidRDefault="00826574" w:rsidP="00D87093">
      <w:r>
        <w:continuationSeparator/>
      </w:r>
    </w:p>
  </w:footnote>
  <w:footnote w:id="1">
    <w:p w:rsidR="00422773" w:rsidRPr="00422773" w:rsidRDefault="00422773">
      <w:pPr>
        <w:pStyle w:val="Textonotapie"/>
        <w:rPr>
          <w:rFonts w:ascii="Times New Roman" w:hAnsi="Times New Roman" w:cs="Times New Roman"/>
        </w:rPr>
      </w:pPr>
      <w:r w:rsidRPr="00422773">
        <w:rPr>
          <w:rStyle w:val="Refdenotaalpie"/>
          <w:rFonts w:ascii="Times New Roman" w:hAnsi="Times New Roman" w:cs="Times New Roman"/>
        </w:rPr>
        <w:footnoteRef/>
      </w:r>
      <w:r w:rsidRPr="00422773">
        <w:rPr>
          <w:rFonts w:ascii="Times New Roman" w:hAnsi="Times New Roman" w:cs="Times New Roman"/>
        </w:rPr>
        <w:t xml:space="preserve"> Documento de trabajo elaborado por la Secretar</w:t>
      </w:r>
      <w:r>
        <w:rPr>
          <w:rFonts w:ascii="Times New Roman" w:hAnsi="Times New Roman" w:cs="Times New Roman"/>
        </w:rPr>
        <w:t>ía de la Comisión de Educación y Cultura</w:t>
      </w:r>
      <w:r w:rsidRPr="0042277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91432"/>
      <w:docPartObj>
        <w:docPartGallery w:val="Page Numbers (Top of Page)"/>
        <w:docPartUnique/>
      </w:docPartObj>
    </w:sdtPr>
    <w:sdtEndPr/>
    <w:sdtContent>
      <w:p w:rsidR="00D87093" w:rsidRDefault="00D870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D4" w:rsidRPr="00A047D4">
          <w:rPr>
            <w:noProof/>
            <w:lang w:val="es-ES"/>
          </w:rPr>
          <w:t>1</w:t>
        </w:r>
        <w:r>
          <w:fldChar w:fldCharType="end"/>
        </w:r>
      </w:p>
    </w:sdtContent>
  </w:sdt>
  <w:p w:rsidR="00D87093" w:rsidRPr="00A047D4" w:rsidRDefault="00A047D4" w:rsidP="00A047D4">
    <w:pPr>
      <w:pStyle w:val="Encabezado"/>
      <w:jc w:val="center"/>
      <w:rPr>
        <w:sz w:val="36"/>
        <w:szCs w:val="36"/>
      </w:rPr>
    </w:pPr>
    <w:r w:rsidRPr="00A047D4">
      <w:rPr>
        <w:sz w:val="36"/>
        <w:szCs w:val="36"/>
      </w:rPr>
      <w:t>ANEXO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3F"/>
    <w:multiLevelType w:val="hybridMultilevel"/>
    <w:tmpl w:val="CC847A4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381"/>
    <w:multiLevelType w:val="multilevel"/>
    <w:tmpl w:val="1F4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0105"/>
    <w:multiLevelType w:val="hybridMultilevel"/>
    <w:tmpl w:val="18E805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1E81"/>
    <w:multiLevelType w:val="hybridMultilevel"/>
    <w:tmpl w:val="063A17CA"/>
    <w:lvl w:ilvl="0" w:tplc="2A661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A6122"/>
    <w:multiLevelType w:val="hybridMultilevel"/>
    <w:tmpl w:val="2EEEB3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18DC"/>
    <w:multiLevelType w:val="hybridMultilevel"/>
    <w:tmpl w:val="8B7224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4310"/>
    <w:multiLevelType w:val="hybridMultilevel"/>
    <w:tmpl w:val="5372A532"/>
    <w:lvl w:ilvl="0" w:tplc="E4867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444EFD"/>
    <w:multiLevelType w:val="hybridMultilevel"/>
    <w:tmpl w:val="E578D456"/>
    <w:lvl w:ilvl="0" w:tplc="681EA6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38D5"/>
    <w:multiLevelType w:val="hybridMultilevel"/>
    <w:tmpl w:val="F4E24B92"/>
    <w:lvl w:ilvl="0" w:tplc="A77A8FB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89756">
      <w:start w:val="1113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0033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0938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4091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6DEF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EF1F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449D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4DD9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82213"/>
    <w:multiLevelType w:val="hybridMultilevel"/>
    <w:tmpl w:val="0F98B6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680D71"/>
    <w:multiLevelType w:val="hybridMultilevel"/>
    <w:tmpl w:val="3AA06494"/>
    <w:lvl w:ilvl="0" w:tplc="3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3B1053B"/>
    <w:multiLevelType w:val="hybridMultilevel"/>
    <w:tmpl w:val="B9F2EE9C"/>
    <w:lvl w:ilvl="0" w:tplc="8E40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C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6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2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4D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A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2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29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7C3E3A"/>
    <w:multiLevelType w:val="hybridMultilevel"/>
    <w:tmpl w:val="595201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B33D8"/>
    <w:multiLevelType w:val="hybridMultilevel"/>
    <w:tmpl w:val="954E74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45D53"/>
    <w:multiLevelType w:val="hybridMultilevel"/>
    <w:tmpl w:val="3EA6EE9A"/>
    <w:lvl w:ilvl="0" w:tplc="1AF8DC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92C30"/>
    <w:multiLevelType w:val="hybridMultilevel"/>
    <w:tmpl w:val="BFBAD50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31130B"/>
    <w:multiLevelType w:val="hybridMultilevel"/>
    <w:tmpl w:val="855CC3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17B3"/>
    <w:multiLevelType w:val="hybridMultilevel"/>
    <w:tmpl w:val="B08432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C79A8"/>
    <w:multiLevelType w:val="hybridMultilevel"/>
    <w:tmpl w:val="08DC39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9666A"/>
    <w:multiLevelType w:val="hybridMultilevel"/>
    <w:tmpl w:val="05CCAF54"/>
    <w:lvl w:ilvl="0" w:tplc="977CEE2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794E0489"/>
    <w:multiLevelType w:val="hybridMultilevel"/>
    <w:tmpl w:val="40A8DA72"/>
    <w:lvl w:ilvl="0" w:tplc="340A0019">
      <w:start w:val="1"/>
      <w:numFmt w:val="lowerLetter"/>
      <w:lvlText w:val="%1.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>
    <w:nsid w:val="7B8206C1"/>
    <w:multiLevelType w:val="hybridMultilevel"/>
    <w:tmpl w:val="B582EBD4"/>
    <w:lvl w:ilvl="0" w:tplc="E67EFF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3"/>
  </w:num>
  <w:num w:numId="5">
    <w:abstractNumId w:val="12"/>
  </w:num>
  <w:num w:numId="6">
    <w:abstractNumId w:val="10"/>
  </w:num>
  <w:num w:numId="7">
    <w:abstractNumId w:val="21"/>
  </w:num>
  <w:num w:numId="8">
    <w:abstractNumId w:val="9"/>
  </w:num>
  <w:num w:numId="9">
    <w:abstractNumId w:val="15"/>
  </w:num>
  <w:num w:numId="10">
    <w:abstractNumId w:val="16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14"/>
  </w:num>
  <w:num w:numId="20">
    <w:abstractNumId w:val="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7C"/>
    <w:rsid w:val="00020BA9"/>
    <w:rsid w:val="000366A1"/>
    <w:rsid w:val="00043025"/>
    <w:rsid w:val="00053F7F"/>
    <w:rsid w:val="00080517"/>
    <w:rsid w:val="000D32FB"/>
    <w:rsid w:val="00133FC2"/>
    <w:rsid w:val="00193A60"/>
    <w:rsid w:val="001B69D0"/>
    <w:rsid w:val="001F0C9F"/>
    <w:rsid w:val="002070DC"/>
    <w:rsid w:val="002513DC"/>
    <w:rsid w:val="002A3ADB"/>
    <w:rsid w:val="002F547C"/>
    <w:rsid w:val="003305FF"/>
    <w:rsid w:val="0035606B"/>
    <w:rsid w:val="003631FC"/>
    <w:rsid w:val="003648AB"/>
    <w:rsid w:val="00364A98"/>
    <w:rsid w:val="003C4E9B"/>
    <w:rsid w:val="003D3E12"/>
    <w:rsid w:val="00422773"/>
    <w:rsid w:val="004264F7"/>
    <w:rsid w:val="004467FC"/>
    <w:rsid w:val="004648CC"/>
    <w:rsid w:val="004C7791"/>
    <w:rsid w:val="00587703"/>
    <w:rsid w:val="00590DD4"/>
    <w:rsid w:val="005B1A7F"/>
    <w:rsid w:val="005B25E0"/>
    <w:rsid w:val="005D2D85"/>
    <w:rsid w:val="00604B84"/>
    <w:rsid w:val="00631184"/>
    <w:rsid w:val="00641A6A"/>
    <w:rsid w:val="006D05F3"/>
    <w:rsid w:val="006D22E0"/>
    <w:rsid w:val="006F6348"/>
    <w:rsid w:val="007664A3"/>
    <w:rsid w:val="00787249"/>
    <w:rsid w:val="00790678"/>
    <w:rsid w:val="007C0843"/>
    <w:rsid w:val="00806BAD"/>
    <w:rsid w:val="00826574"/>
    <w:rsid w:val="00845FD4"/>
    <w:rsid w:val="008510FC"/>
    <w:rsid w:val="0087266E"/>
    <w:rsid w:val="008734FD"/>
    <w:rsid w:val="00875F19"/>
    <w:rsid w:val="008A2AC3"/>
    <w:rsid w:val="008A4B60"/>
    <w:rsid w:val="008C533B"/>
    <w:rsid w:val="00907630"/>
    <w:rsid w:val="00953889"/>
    <w:rsid w:val="00953FBC"/>
    <w:rsid w:val="00963809"/>
    <w:rsid w:val="009E062D"/>
    <w:rsid w:val="00A047D4"/>
    <w:rsid w:val="00A269B8"/>
    <w:rsid w:val="00A32C21"/>
    <w:rsid w:val="00AB2E10"/>
    <w:rsid w:val="00AE0668"/>
    <w:rsid w:val="00AE2AAF"/>
    <w:rsid w:val="00AE3E3E"/>
    <w:rsid w:val="00B006AE"/>
    <w:rsid w:val="00B512E9"/>
    <w:rsid w:val="00B8786F"/>
    <w:rsid w:val="00C6424D"/>
    <w:rsid w:val="00CA40B1"/>
    <w:rsid w:val="00D24588"/>
    <w:rsid w:val="00D402B8"/>
    <w:rsid w:val="00D87093"/>
    <w:rsid w:val="00DA1753"/>
    <w:rsid w:val="00DD0D23"/>
    <w:rsid w:val="00DD569B"/>
    <w:rsid w:val="00DE24ED"/>
    <w:rsid w:val="00E01F16"/>
    <w:rsid w:val="00E05258"/>
    <w:rsid w:val="00E95A66"/>
    <w:rsid w:val="00EA5B0A"/>
    <w:rsid w:val="00ED19A6"/>
    <w:rsid w:val="00ED56C8"/>
    <w:rsid w:val="00EE5E47"/>
    <w:rsid w:val="00F47F0E"/>
    <w:rsid w:val="00F50D43"/>
    <w:rsid w:val="00F564A8"/>
    <w:rsid w:val="00F83551"/>
    <w:rsid w:val="00FB7BEB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0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5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F547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4">
    <w:name w:val="heading 4"/>
    <w:basedOn w:val="Normal"/>
    <w:link w:val="Ttulo4Car"/>
    <w:uiPriority w:val="9"/>
    <w:qFormat/>
    <w:rsid w:val="002F547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F547C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2F547C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64A98"/>
    <w:pPr>
      <w:spacing w:line="276" w:lineRule="auto"/>
      <w:ind w:left="720"/>
      <w:contextualSpacing/>
    </w:pPr>
    <w:rPr>
      <w:rFonts w:ascii="Courier New" w:eastAsia="Calibri" w:hAnsi="Courier New" w:cs="Courier New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7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093"/>
  </w:style>
  <w:style w:type="paragraph" w:styleId="Piedepgina">
    <w:name w:val="footer"/>
    <w:basedOn w:val="Normal"/>
    <w:link w:val="PiedepginaCar"/>
    <w:uiPriority w:val="99"/>
    <w:unhideWhenUsed/>
    <w:rsid w:val="00D87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093"/>
  </w:style>
  <w:style w:type="paragraph" w:styleId="Sinespaciado">
    <w:name w:val="No Spacing"/>
    <w:basedOn w:val="Normal"/>
    <w:link w:val="SinespaciadoCar"/>
    <w:uiPriority w:val="1"/>
    <w:qFormat/>
    <w:rsid w:val="008A2AC3"/>
    <w:pPr>
      <w:spacing w:line="276" w:lineRule="auto"/>
    </w:pPr>
    <w:rPr>
      <w:rFonts w:ascii="Courier New" w:eastAsia="Calibri" w:hAnsi="Courier New" w:cs="Courier New"/>
      <w:sz w:val="24"/>
      <w:szCs w:val="24"/>
      <w:lang w:val="es-ES"/>
    </w:rPr>
  </w:style>
  <w:style w:type="character" w:customStyle="1" w:styleId="SinespaciadoCar">
    <w:name w:val="Sin espaciado Car"/>
    <w:link w:val="Sinespaciado"/>
    <w:uiPriority w:val="1"/>
    <w:rsid w:val="008A2AC3"/>
    <w:rPr>
      <w:rFonts w:ascii="Courier New" w:eastAsia="Calibri" w:hAnsi="Courier New" w:cs="Courier New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05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2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2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525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E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0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5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F547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4">
    <w:name w:val="heading 4"/>
    <w:basedOn w:val="Normal"/>
    <w:link w:val="Ttulo4Car"/>
    <w:uiPriority w:val="9"/>
    <w:qFormat/>
    <w:rsid w:val="002F547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F547C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2F547C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64A98"/>
    <w:pPr>
      <w:spacing w:line="276" w:lineRule="auto"/>
      <w:ind w:left="720"/>
      <w:contextualSpacing/>
    </w:pPr>
    <w:rPr>
      <w:rFonts w:ascii="Courier New" w:eastAsia="Calibri" w:hAnsi="Courier New" w:cs="Courier New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87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093"/>
  </w:style>
  <w:style w:type="paragraph" w:styleId="Piedepgina">
    <w:name w:val="footer"/>
    <w:basedOn w:val="Normal"/>
    <w:link w:val="PiedepginaCar"/>
    <w:uiPriority w:val="99"/>
    <w:unhideWhenUsed/>
    <w:rsid w:val="00D87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093"/>
  </w:style>
  <w:style w:type="paragraph" w:styleId="Sinespaciado">
    <w:name w:val="No Spacing"/>
    <w:basedOn w:val="Normal"/>
    <w:link w:val="SinespaciadoCar"/>
    <w:uiPriority w:val="1"/>
    <w:qFormat/>
    <w:rsid w:val="008A2AC3"/>
    <w:pPr>
      <w:spacing w:line="276" w:lineRule="auto"/>
    </w:pPr>
    <w:rPr>
      <w:rFonts w:ascii="Courier New" w:eastAsia="Calibri" w:hAnsi="Courier New" w:cs="Courier New"/>
      <w:sz w:val="24"/>
      <w:szCs w:val="24"/>
      <w:lang w:val="es-ES"/>
    </w:rPr>
  </w:style>
  <w:style w:type="character" w:customStyle="1" w:styleId="SinespaciadoCar">
    <w:name w:val="Sin espaciado Car"/>
    <w:link w:val="Sinespaciado"/>
    <w:uiPriority w:val="1"/>
    <w:rsid w:val="008A2AC3"/>
    <w:rPr>
      <w:rFonts w:ascii="Courier New" w:eastAsia="Calibri" w:hAnsi="Courier New" w:cs="Courier New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05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25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2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525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E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1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F499-4C49-44BD-A138-36B380AA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2345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Comisiones</dc:creator>
  <cp:lastModifiedBy>drobles</cp:lastModifiedBy>
  <cp:revision>3</cp:revision>
  <cp:lastPrinted>2017-12-13T12:25:00Z</cp:lastPrinted>
  <dcterms:created xsi:type="dcterms:W3CDTF">2017-12-06T15:44:00Z</dcterms:created>
  <dcterms:modified xsi:type="dcterms:W3CDTF">2017-12-13T12:25:00Z</dcterms:modified>
</cp:coreProperties>
</file>