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72" w:rsidRPr="006F4E2F" w:rsidRDefault="004B1BF1" w:rsidP="00851542">
      <w:pPr>
        <w:widowControl w:val="0"/>
        <w:spacing w:line="240" w:lineRule="auto"/>
        <w:ind w:left="6372"/>
        <w:jc w:val="both"/>
        <w:rPr>
          <w:rFonts w:eastAsia="Cambria" w:cs="Arial"/>
          <w:color w:val="000000"/>
          <w:lang w:val="es-ES" w:eastAsia="es-ES"/>
        </w:rPr>
      </w:pPr>
      <w:bookmarkStart w:id="0" w:name="_GoBack"/>
      <w:bookmarkEnd w:id="0"/>
      <w:r w:rsidRPr="006F4E2F">
        <w:rPr>
          <w:rFonts w:eastAsia="Cambria" w:cs="Arial"/>
          <w:color w:val="000000"/>
          <w:lang w:val="es-ES" w:eastAsia="es-ES"/>
        </w:rPr>
        <w:t xml:space="preserve">Noviembre </w:t>
      </w:r>
      <w:r w:rsidR="00381072" w:rsidRPr="006F4E2F">
        <w:rPr>
          <w:rFonts w:eastAsia="Cambria" w:cs="Arial"/>
          <w:color w:val="000000"/>
          <w:lang w:val="es-ES" w:eastAsia="es-ES"/>
        </w:rPr>
        <w:t>de 2017</w:t>
      </w:r>
    </w:p>
    <w:p w:rsidR="00381072" w:rsidRPr="006F4E2F" w:rsidRDefault="00381072" w:rsidP="00BF33F3">
      <w:pPr>
        <w:widowControl w:val="0"/>
        <w:spacing w:line="240" w:lineRule="auto"/>
        <w:jc w:val="both"/>
        <w:rPr>
          <w:rFonts w:eastAsia="Cambria" w:cs="Arial"/>
          <w:b/>
          <w:color w:val="000000"/>
          <w:u w:val="single"/>
          <w:lang w:val="es-ES" w:eastAsia="es-ES"/>
        </w:rPr>
      </w:pPr>
      <w:r w:rsidRPr="006F4E2F">
        <w:rPr>
          <w:rFonts w:eastAsia="Cambria" w:cs="Arial"/>
          <w:b/>
          <w:color w:val="000000"/>
          <w:u w:val="single"/>
          <w:lang w:val="es-ES" w:eastAsia="es-ES"/>
        </w:rPr>
        <w:t>Proyecto de Ley</w:t>
      </w:r>
      <w:r w:rsidR="004B1BF1" w:rsidRPr="006F4E2F">
        <w:rPr>
          <w:rFonts w:eastAsia="Cambria" w:cs="Arial"/>
          <w:b/>
          <w:color w:val="000000"/>
          <w:u w:val="single"/>
          <w:lang w:val="es-ES" w:eastAsia="es-ES"/>
        </w:rPr>
        <w:t xml:space="preserve"> sobre Matrimonio Igualitario, Boletín 11422-07</w:t>
      </w:r>
      <w:r w:rsidRPr="006F4E2F">
        <w:rPr>
          <w:rFonts w:eastAsia="Cambria" w:cs="Arial"/>
          <w:b/>
          <w:color w:val="000000"/>
          <w:u w:val="single"/>
          <w:lang w:val="es-ES" w:eastAsia="es-ES"/>
        </w:rPr>
        <w:t xml:space="preserve"> </w:t>
      </w:r>
      <w:r w:rsidR="00E9197D" w:rsidRPr="006F4E2F">
        <w:rPr>
          <w:rFonts w:eastAsia="Cambria" w:cs="Arial"/>
          <w:b/>
          <w:color w:val="000000"/>
          <w:u w:val="single"/>
          <w:lang w:val="es-ES" w:eastAsia="es-ES"/>
        </w:rPr>
        <w:br/>
      </w:r>
      <w:r w:rsidR="00D714EC" w:rsidRPr="006F4E2F">
        <w:rPr>
          <w:rFonts w:eastAsia="Cambria" w:cs="Arial"/>
          <w:color w:val="000000"/>
          <w:lang w:val="es-ES" w:eastAsia="es-ES"/>
        </w:rPr>
        <w:t>Primer</w:t>
      </w:r>
      <w:r w:rsidRPr="006F4E2F">
        <w:rPr>
          <w:rFonts w:eastAsia="Cambria" w:cs="Arial"/>
          <w:color w:val="000000"/>
          <w:lang w:val="es-ES" w:eastAsia="es-ES"/>
        </w:rPr>
        <w:t xml:space="preserve"> trámite constitucional. Discusión General, </w:t>
      </w:r>
      <w:r w:rsidR="00E93003" w:rsidRPr="006F4E2F">
        <w:rPr>
          <w:rFonts w:eastAsia="Cambria" w:cs="Arial"/>
          <w:bCs/>
          <w:color w:val="000000"/>
          <w:lang w:eastAsia="es-ES"/>
        </w:rPr>
        <w:t xml:space="preserve">Comisión de Constitución, Legislación, Justicia y Reglamento del </w:t>
      </w:r>
      <w:r w:rsidR="00D714EC" w:rsidRPr="006F4E2F">
        <w:rPr>
          <w:rFonts w:eastAsia="Cambria" w:cs="Arial"/>
          <w:color w:val="000000"/>
          <w:lang w:val="es-ES" w:eastAsia="es-ES"/>
        </w:rPr>
        <w:t>Senado</w:t>
      </w:r>
      <w:r w:rsidR="00E93003" w:rsidRPr="006F4E2F">
        <w:rPr>
          <w:rFonts w:eastAsia="Cambria" w:cs="Arial"/>
          <w:color w:val="000000"/>
          <w:lang w:val="es-ES" w:eastAsia="es-ES"/>
        </w:rPr>
        <w:t xml:space="preserve">. </w:t>
      </w:r>
    </w:p>
    <w:p w:rsidR="000B7FD7" w:rsidRPr="006F4E2F" w:rsidRDefault="000B7FD7" w:rsidP="00BF33F3">
      <w:pPr>
        <w:pStyle w:val="Prrafodelista"/>
        <w:widowControl w:val="0"/>
        <w:numPr>
          <w:ilvl w:val="0"/>
          <w:numId w:val="2"/>
        </w:numPr>
        <w:spacing w:line="240" w:lineRule="auto"/>
        <w:jc w:val="both"/>
        <w:rPr>
          <w:rFonts w:eastAsia="Cambria" w:cs="Arial"/>
          <w:b/>
          <w:color w:val="000000"/>
          <w:lang w:val="es-ES" w:eastAsia="es-ES"/>
        </w:rPr>
      </w:pPr>
      <w:r w:rsidRPr="006F4E2F">
        <w:rPr>
          <w:rFonts w:eastAsia="Cambria" w:cs="Arial"/>
          <w:b/>
          <w:color w:val="000000"/>
          <w:u w:val="single"/>
          <w:lang w:val="es-ES" w:eastAsia="es-ES"/>
        </w:rPr>
        <w:t xml:space="preserve">¿Por qué es necesario que haya </w:t>
      </w:r>
      <w:r w:rsidR="00200158">
        <w:rPr>
          <w:rFonts w:eastAsia="Cambria" w:cs="Arial"/>
          <w:b/>
          <w:color w:val="000000"/>
          <w:u w:val="single"/>
          <w:lang w:val="es-ES" w:eastAsia="es-ES"/>
        </w:rPr>
        <w:t xml:space="preserve">una ley sobre </w:t>
      </w:r>
      <w:r w:rsidRPr="006F4E2F">
        <w:rPr>
          <w:rFonts w:eastAsia="Cambria" w:cs="Arial"/>
          <w:b/>
          <w:color w:val="000000"/>
          <w:u w:val="single"/>
          <w:lang w:val="es-ES" w:eastAsia="es-ES"/>
        </w:rPr>
        <w:t xml:space="preserve">matrimonio igualitario en Chile? </w:t>
      </w:r>
    </w:p>
    <w:p w:rsidR="007A6BD6" w:rsidRPr="006F4E2F" w:rsidRDefault="007A6BD6" w:rsidP="00BF33F3">
      <w:pPr>
        <w:pStyle w:val="Prrafodelista"/>
        <w:widowControl w:val="0"/>
        <w:spacing w:line="240" w:lineRule="auto"/>
        <w:ind w:left="1080"/>
        <w:jc w:val="both"/>
        <w:rPr>
          <w:rFonts w:eastAsia="Cambria" w:cs="Arial"/>
          <w:b/>
          <w:color w:val="000000"/>
          <w:u w:val="single"/>
          <w:lang w:val="es-ES" w:eastAsia="es-ES"/>
        </w:rPr>
      </w:pPr>
    </w:p>
    <w:p w:rsidR="007A6BD6" w:rsidRPr="006F4E2F" w:rsidRDefault="007A6BD6" w:rsidP="00BF33F3">
      <w:pPr>
        <w:pStyle w:val="Prrafodelista"/>
        <w:numPr>
          <w:ilvl w:val="0"/>
          <w:numId w:val="3"/>
        </w:numPr>
        <w:jc w:val="both"/>
        <w:rPr>
          <w:rFonts w:cs="Arial"/>
          <w:b/>
          <w:u w:val="single"/>
        </w:rPr>
      </w:pPr>
      <w:r w:rsidRPr="006F4E2F">
        <w:rPr>
          <w:rFonts w:cs="Arial"/>
          <w:b/>
          <w:u w:val="single"/>
        </w:rPr>
        <w:t xml:space="preserve">Derecho a la protección de la familia </w:t>
      </w:r>
    </w:p>
    <w:p w:rsidR="00AA581F" w:rsidRDefault="00AA581F" w:rsidP="00AA581F">
      <w:pPr>
        <w:jc w:val="both"/>
        <w:rPr>
          <w:rFonts w:cs="Arial"/>
          <w:bCs/>
          <w:lang w:val="es-ES"/>
        </w:rPr>
      </w:pPr>
      <w:r w:rsidRPr="006F4E2F">
        <w:rPr>
          <w:rFonts w:cs="Arial"/>
          <w:lang w:val="es-ES"/>
        </w:rPr>
        <w:t xml:space="preserve">La Constitución </w:t>
      </w:r>
      <w:r w:rsidR="00C93D64" w:rsidRPr="006F4E2F">
        <w:rPr>
          <w:rFonts w:cs="Arial"/>
          <w:lang w:val="es-ES"/>
        </w:rPr>
        <w:t>Política</w:t>
      </w:r>
      <w:r w:rsidRPr="006F4E2F">
        <w:rPr>
          <w:rFonts w:cs="Arial"/>
          <w:lang w:val="es-ES"/>
        </w:rPr>
        <w:t xml:space="preserve"> señala que la familia es el núcleo fundamental de la sociedad, y que es deber del Estado dar protección a esta y propender a su fortalecimiento.</w:t>
      </w:r>
      <w:r w:rsidR="00777BA7" w:rsidRPr="006F4E2F">
        <w:rPr>
          <w:rFonts w:cs="Arial"/>
          <w:lang w:val="es-ES"/>
        </w:rPr>
        <w:t xml:space="preserve"> Tanto la Corte Interamericana de Derechos Humanos</w:t>
      </w:r>
      <w:r w:rsidR="00C93D64" w:rsidRPr="006F4E2F">
        <w:rPr>
          <w:rFonts w:cs="Arial"/>
          <w:lang w:val="es-ES"/>
        </w:rPr>
        <w:t xml:space="preserve"> (Corte IDH)</w:t>
      </w:r>
      <w:r w:rsidR="00777BA7" w:rsidRPr="006F4E2F">
        <w:rPr>
          <w:rFonts w:cs="Arial"/>
          <w:lang w:val="es-ES"/>
        </w:rPr>
        <w:t xml:space="preserve"> como los tribunales nacionales han señalado que </w:t>
      </w:r>
      <w:r w:rsidRPr="006F4E2F">
        <w:rPr>
          <w:rFonts w:cs="Arial"/>
          <w:bCs/>
          <w:lang w:val="es-ES"/>
        </w:rPr>
        <w:t>“no se encuentra determinado un concepto cerrado de familia, ni mucho menos se protege sólo un modelo “tradicional” de la misma”</w:t>
      </w:r>
      <w:r w:rsidRPr="006F4E2F">
        <w:rPr>
          <w:rFonts w:cs="Arial"/>
          <w:bCs/>
          <w:vertAlign w:val="superscript"/>
          <w:lang w:val="es-ES"/>
        </w:rPr>
        <w:footnoteReference w:id="1"/>
      </w:r>
      <w:r w:rsidR="00A23EBE" w:rsidRPr="006F4E2F">
        <w:rPr>
          <w:rFonts w:cs="Arial"/>
          <w:bCs/>
          <w:lang w:val="es-ES"/>
        </w:rPr>
        <w:t>.</w:t>
      </w:r>
      <w:r w:rsidRPr="006F4E2F">
        <w:rPr>
          <w:rFonts w:cs="Arial"/>
          <w:bCs/>
          <w:lang w:val="es-ES"/>
        </w:rPr>
        <w:t xml:space="preserve"> </w:t>
      </w:r>
      <w:r w:rsidR="00FD1D04" w:rsidRPr="006F4E2F">
        <w:rPr>
          <w:rFonts w:cs="Arial"/>
          <w:bCs/>
          <w:lang w:val="es-ES"/>
        </w:rPr>
        <w:t xml:space="preserve">Por </w:t>
      </w:r>
      <w:r w:rsidR="00A23EBE" w:rsidRPr="006F4E2F">
        <w:rPr>
          <w:rFonts w:cs="Arial"/>
          <w:bCs/>
          <w:lang w:val="es-ES"/>
        </w:rPr>
        <w:t>ende</w:t>
      </w:r>
      <w:r w:rsidR="00FD1D04" w:rsidRPr="006F4E2F">
        <w:rPr>
          <w:rFonts w:cs="Arial"/>
          <w:bCs/>
          <w:lang w:val="es-ES"/>
        </w:rPr>
        <w:t xml:space="preserve">, es deber del Estado proteger todos los tipos de familia, independientemente de la orientación sexual de quienes la conforman. </w:t>
      </w:r>
    </w:p>
    <w:p w:rsidR="00BF2002" w:rsidRPr="00BF2002" w:rsidRDefault="00BF2002" w:rsidP="00BF2002">
      <w:pPr>
        <w:jc w:val="both"/>
        <w:rPr>
          <w:rFonts w:cs="Arial"/>
        </w:rPr>
      </w:pPr>
      <w:r w:rsidRPr="00BF2002">
        <w:rPr>
          <w:rFonts w:cs="Arial"/>
        </w:rPr>
        <w:t>El Derecho a la protección a la familia está consagrado en el artículo 19 N°4 de la Constitución, como también en diversos instrumentos internacionales</w:t>
      </w:r>
      <w:r w:rsidRPr="00BF2002">
        <w:rPr>
          <w:rFonts w:cs="Arial"/>
          <w:vertAlign w:val="superscript"/>
        </w:rPr>
        <w:footnoteReference w:id="2"/>
      </w:r>
      <w:r w:rsidRPr="00BF2002">
        <w:rPr>
          <w:rFonts w:cs="Arial"/>
        </w:rPr>
        <w:t xml:space="preserve"> ratificados por Chile. En todos estos no solo se señala que la familia es el elemento fundamental de la sociedad y que debe ser protegida por el Estado, sino que además consagran expresamente el derecho a contraer matrimonio, por tanto el derecho a contraer matrimonio es un derecho humano. Igualmente, la ley 19.947 que estable la nueva ley de matrimonio civil, señala en el artículo 2° que la facultad de contraer matrimonio es un derecho esencial inherente a la persona humana. </w:t>
      </w:r>
    </w:p>
    <w:p w:rsidR="00115A25" w:rsidRPr="006F4E2F" w:rsidRDefault="007A6BD6" w:rsidP="00BF33F3">
      <w:pPr>
        <w:pStyle w:val="Prrafodelista"/>
        <w:numPr>
          <w:ilvl w:val="0"/>
          <w:numId w:val="3"/>
        </w:numPr>
        <w:jc w:val="both"/>
        <w:rPr>
          <w:rFonts w:cs="Arial"/>
          <w:b/>
          <w:u w:val="single"/>
        </w:rPr>
      </w:pPr>
      <w:r w:rsidRPr="006F4E2F">
        <w:rPr>
          <w:rFonts w:cs="Arial"/>
          <w:b/>
          <w:u w:val="single"/>
        </w:rPr>
        <w:t xml:space="preserve">Derecho a la Igualdad y no discriminación </w:t>
      </w:r>
      <w:r w:rsidR="007E445A" w:rsidRPr="006F4E2F">
        <w:rPr>
          <w:rFonts w:cs="Arial"/>
          <w:b/>
          <w:u w:val="single"/>
        </w:rPr>
        <w:t xml:space="preserve"> </w:t>
      </w:r>
    </w:p>
    <w:p w:rsidR="00D0037B" w:rsidRPr="006F4E2F" w:rsidRDefault="00E1367C" w:rsidP="00E1367C">
      <w:pPr>
        <w:jc w:val="both"/>
        <w:rPr>
          <w:rFonts w:cs="Arial"/>
          <w:lang w:val="es-ES"/>
        </w:rPr>
      </w:pPr>
      <w:r w:rsidRPr="006F4E2F">
        <w:rPr>
          <w:rFonts w:cs="Arial"/>
        </w:rPr>
        <w:t>La</w:t>
      </w:r>
      <w:r w:rsidR="001233FF" w:rsidRPr="006F4E2F">
        <w:rPr>
          <w:rFonts w:cs="Arial"/>
        </w:rPr>
        <w:t xml:space="preserve"> </w:t>
      </w:r>
      <w:r w:rsidRPr="006F4E2F">
        <w:rPr>
          <w:rFonts w:cs="Arial"/>
        </w:rPr>
        <w:t>Constitución</w:t>
      </w:r>
      <w:r w:rsidR="001233FF" w:rsidRPr="006F4E2F">
        <w:rPr>
          <w:rFonts w:cs="Arial"/>
        </w:rPr>
        <w:t xml:space="preserve"> </w:t>
      </w:r>
      <w:r w:rsidRPr="006F4E2F">
        <w:rPr>
          <w:rFonts w:cs="Arial"/>
        </w:rPr>
        <w:t xml:space="preserve">Política en el </w:t>
      </w:r>
      <w:r w:rsidR="00BB6614" w:rsidRPr="006F4E2F">
        <w:rPr>
          <w:rFonts w:cs="Arial"/>
          <w:lang w:val="es-ES"/>
        </w:rPr>
        <w:t>artículo</w:t>
      </w:r>
      <w:r w:rsidR="001233FF" w:rsidRPr="006F4E2F">
        <w:rPr>
          <w:rFonts w:cs="Arial"/>
          <w:lang w:val="es-ES"/>
        </w:rPr>
        <w:t xml:space="preserve"> 1°</w:t>
      </w:r>
      <w:r w:rsidRPr="006F4E2F">
        <w:rPr>
          <w:rFonts w:cs="Arial"/>
          <w:lang w:val="es-ES"/>
        </w:rPr>
        <w:t xml:space="preserve"> señala que l</w:t>
      </w:r>
      <w:r w:rsidR="00D0037B" w:rsidRPr="006F4E2F">
        <w:rPr>
          <w:rFonts w:cs="Arial"/>
          <w:lang w:val="es-ES"/>
        </w:rPr>
        <w:t>as personas nacen libres e iguales en dignidad y derechos</w:t>
      </w:r>
      <w:r w:rsidR="00BF2002">
        <w:rPr>
          <w:rFonts w:cs="Arial"/>
          <w:lang w:val="es-ES"/>
        </w:rPr>
        <w:t xml:space="preserve">, y en el artículo 19 N°2 consagra el derecho fundamental de igualdad ante la ley. </w:t>
      </w:r>
    </w:p>
    <w:p w:rsidR="00CF191F" w:rsidRDefault="00CF191F" w:rsidP="00CF191F">
      <w:pPr>
        <w:spacing w:after="160"/>
        <w:jc w:val="both"/>
        <w:rPr>
          <w:rFonts w:cs="Arial"/>
        </w:rPr>
      </w:pPr>
      <w:r w:rsidRPr="006F4E2F">
        <w:rPr>
          <w:rFonts w:cs="Arial"/>
          <w:lang w:val="es-ES"/>
        </w:rPr>
        <w:t xml:space="preserve">La Corte Interamericana de Derechos Humanos al respecto ha señalado que </w:t>
      </w:r>
      <w:r w:rsidRPr="006F4E2F">
        <w:rPr>
          <w:rFonts w:cs="Arial"/>
        </w:rPr>
        <w:t>“</w:t>
      </w:r>
      <w:r w:rsidR="000A307E" w:rsidRPr="006F4E2F">
        <w:rPr>
          <w:rFonts w:cs="Arial"/>
        </w:rPr>
        <w:t>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w:t>
      </w:r>
      <w:r w:rsidRPr="006F4E2F">
        <w:rPr>
          <w:rFonts w:cs="Arial"/>
        </w:rPr>
        <w:t>deran incursos en tal situación.”</w:t>
      </w:r>
      <w:r w:rsidR="00977123">
        <w:rPr>
          <w:rStyle w:val="Refdenotaalpie"/>
        </w:rPr>
        <w:footnoteReference w:id="3"/>
      </w:r>
      <w:r w:rsidRPr="006F4E2F">
        <w:rPr>
          <w:rFonts w:cs="Arial"/>
        </w:rPr>
        <w:t xml:space="preserve"> Esto es justamente lo que pasa con las personas de la diversidad sexual, </w:t>
      </w:r>
      <w:r w:rsidR="0003485A" w:rsidRPr="006F4E2F">
        <w:rPr>
          <w:rFonts w:cs="Arial"/>
        </w:rPr>
        <w:t xml:space="preserve">ya que se les niega del goce de derechos que sí se reconocen al resto de la población, </w:t>
      </w:r>
      <w:r w:rsidR="0028635E" w:rsidRPr="006F4E2F">
        <w:rPr>
          <w:rFonts w:cs="Arial"/>
        </w:rPr>
        <w:t xml:space="preserve">como lo es el acceso al matrimonio. </w:t>
      </w:r>
    </w:p>
    <w:p w:rsidR="0061517F" w:rsidRDefault="0061517F" w:rsidP="00CF191F">
      <w:pPr>
        <w:spacing w:after="160"/>
        <w:jc w:val="both"/>
        <w:rPr>
          <w:rFonts w:cs="Arial"/>
          <w:b/>
        </w:rPr>
      </w:pPr>
      <w:r w:rsidRPr="00FC7A79">
        <w:rPr>
          <w:rFonts w:cs="Arial"/>
          <w:b/>
        </w:rPr>
        <w:t>¿Por qué no es suficiente el Acuerdo de Unión Civil para las parejas del mismo sexo?</w:t>
      </w:r>
    </w:p>
    <w:p w:rsidR="002A0EDA" w:rsidRPr="002A0EDA" w:rsidRDefault="002A0EDA" w:rsidP="00CF191F">
      <w:pPr>
        <w:spacing w:after="160"/>
        <w:jc w:val="both"/>
        <w:rPr>
          <w:rFonts w:cs="Arial"/>
        </w:rPr>
      </w:pPr>
      <w:r>
        <w:rPr>
          <w:rFonts w:cs="Arial"/>
        </w:rPr>
        <w:lastRenderedPageBreak/>
        <w:t xml:space="preserve">Si bien el Acuerdo de Unión Civil fue un avance en materia de protección de las familias conformadas por parejas del mismo sexo, esta contiene algunas deficiencias, como por ejemplo no permite que los convivientes civiles sean carga familiar. No obstante, </w:t>
      </w:r>
      <w:r w:rsidR="00083289">
        <w:rPr>
          <w:rFonts w:cs="Arial"/>
        </w:rPr>
        <w:t xml:space="preserve">el principal problema </w:t>
      </w:r>
      <w:r>
        <w:rPr>
          <w:rFonts w:cs="Arial"/>
        </w:rPr>
        <w:t xml:space="preserve">es </w:t>
      </w:r>
      <w:r w:rsidR="00921ABF">
        <w:rPr>
          <w:rFonts w:cs="Arial"/>
        </w:rPr>
        <w:t xml:space="preserve">que no contempla derechos filiativos, </w:t>
      </w:r>
      <w:r w:rsidR="00840C13">
        <w:rPr>
          <w:rFonts w:cs="Arial"/>
        </w:rPr>
        <w:t xml:space="preserve">por </w:t>
      </w:r>
      <w:r w:rsidR="00DC5AD6">
        <w:rPr>
          <w:rFonts w:cs="Arial"/>
        </w:rPr>
        <w:t>tanto, los</w:t>
      </w:r>
      <w:r w:rsidR="00120982">
        <w:rPr>
          <w:rFonts w:cs="Arial"/>
        </w:rPr>
        <w:t xml:space="preserve"> </w:t>
      </w:r>
      <w:r w:rsidR="00840C13">
        <w:rPr>
          <w:rFonts w:cs="Arial"/>
        </w:rPr>
        <w:t xml:space="preserve">hijos </w:t>
      </w:r>
      <w:r w:rsidR="00120982">
        <w:rPr>
          <w:rFonts w:cs="Arial"/>
        </w:rPr>
        <w:t>de las parejas del mismo sexo quedan en una situación de vulnerabilidad</w:t>
      </w:r>
      <w:r w:rsidR="00083289">
        <w:rPr>
          <w:rFonts w:cs="Arial"/>
        </w:rPr>
        <w:t xml:space="preserve">, ya que no pueden tener la filiación determinada respecto a ambos padres o madres. </w:t>
      </w:r>
    </w:p>
    <w:p w:rsidR="005F3676" w:rsidRDefault="00120982" w:rsidP="00BF33F3">
      <w:pPr>
        <w:jc w:val="both"/>
        <w:rPr>
          <w:rFonts w:cs="Arial"/>
        </w:rPr>
      </w:pPr>
      <w:r>
        <w:rPr>
          <w:rFonts w:cs="Arial"/>
        </w:rPr>
        <w:t>Por otra parte, e</w:t>
      </w:r>
      <w:r w:rsidR="005F3676" w:rsidRPr="006F4E2F">
        <w:rPr>
          <w:rFonts w:cs="Arial"/>
        </w:rPr>
        <w:t xml:space="preserve">n una sociedad </w:t>
      </w:r>
      <w:r w:rsidR="00083289" w:rsidRPr="006F4E2F">
        <w:rPr>
          <w:rFonts w:cs="Arial"/>
        </w:rPr>
        <w:t xml:space="preserve">democrática </w:t>
      </w:r>
      <w:r w:rsidR="00083289">
        <w:rPr>
          <w:rFonts w:cs="Arial"/>
        </w:rPr>
        <w:t xml:space="preserve">y en virtud del derecho a la igualdad y no discriminación, </w:t>
      </w:r>
      <w:r w:rsidR="005F3676" w:rsidRPr="006F4E2F">
        <w:rPr>
          <w:rFonts w:cs="Arial"/>
        </w:rPr>
        <w:t xml:space="preserve">es inaceptable que existan instituciones a las que no pueden acceder ciertas personas en razón de su orientación sexual. </w:t>
      </w:r>
      <w:r w:rsidR="004164D6" w:rsidRPr="006F4E2F">
        <w:rPr>
          <w:rFonts w:cs="Arial"/>
        </w:rPr>
        <w:t>El matrimonio es el único contrato en Chile que impide celebrarlo a ciertas personas en razón de su orientación sexual</w:t>
      </w:r>
      <w:r w:rsidR="00DC5AD6">
        <w:rPr>
          <w:rFonts w:cs="Arial"/>
        </w:rPr>
        <w:t xml:space="preserve"> y en este sentido c</w:t>
      </w:r>
      <w:r w:rsidR="000076D4">
        <w:rPr>
          <w:rFonts w:cs="Arial"/>
        </w:rPr>
        <w:t xml:space="preserve">abe </w:t>
      </w:r>
      <w:r w:rsidR="00DC5AD6">
        <w:rPr>
          <w:rFonts w:cs="Arial"/>
        </w:rPr>
        <w:t xml:space="preserve">señalar </w:t>
      </w:r>
      <w:r w:rsidR="000076D4">
        <w:rPr>
          <w:rFonts w:cs="Arial"/>
        </w:rPr>
        <w:t xml:space="preserve">que el Estado ya fue condenado </w:t>
      </w:r>
      <w:r w:rsidR="00507BF6">
        <w:rPr>
          <w:rFonts w:cs="Arial"/>
        </w:rPr>
        <w:t>internacionalmente por</w:t>
      </w:r>
      <w:r w:rsidR="00DC5AD6">
        <w:rPr>
          <w:rFonts w:cs="Arial"/>
        </w:rPr>
        <w:t xml:space="preserve"> la Corte Interamericana de Derechos Humanos </w:t>
      </w:r>
      <w:r w:rsidR="000076D4">
        <w:rPr>
          <w:rFonts w:cs="Arial"/>
        </w:rPr>
        <w:t>en el Caso Atala Riffo el año 2012</w:t>
      </w:r>
      <w:r w:rsidR="00DC5AD6">
        <w:rPr>
          <w:rFonts w:cs="Arial"/>
        </w:rPr>
        <w:t>,</w:t>
      </w:r>
      <w:r w:rsidR="000076D4">
        <w:rPr>
          <w:rFonts w:cs="Arial"/>
        </w:rPr>
        <w:t xml:space="preserve"> </w:t>
      </w:r>
      <w:r w:rsidR="00581F4C">
        <w:rPr>
          <w:rFonts w:cs="Arial"/>
        </w:rPr>
        <w:t xml:space="preserve">por discriminar en razón de la orientación sexual. </w:t>
      </w:r>
    </w:p>
    <w:p w:rsidR="007E445A" w:rsidRPr="006F4E2F" w:rsidRDefault="00507BF6" w:rsidP="00BF33F3">
      <w:pPr>
        <w:jc w:val="both"/>
        <w:rPr>
          <w:rFonts w:cs="Arial"/>
        </w:rPr>
      </w:pPr>
      <w:r>
        <w:rPr>
          <w:rFonts w:cs="Arial"/>
        </w:rPr>
        <w:t>En rigor, aunque</w:t>
      </w:r>
      <w:r w:rsidR="00DC5AD6">
        <w:rPr>
          <w:rFonts w:cs="Arial"/>
        </w:rPr>
        <w:t xml:space="preserve"> el Acuerdo de Unión Civil consagrara los mismos derechos que el matrimonio, e impidiera el acceso a este a las parejas del mismo sexo, el Estado seguiría perpetuando la discriminación estructural que hay hacia las personas de la diversidad sexual</w:t>
      </w:r>
      <w:r>
        <w:rPr>
          <w:rFonts w:cs="Arial"/>
        </w:rPr>
        <w:t xml:space="preserve">, ya que el matrimonio no solo tiene efectos jurídicos, sino que además, tiene un valor simbólico. Por tanto, el Estado debe permitir que todas las personas accedan a esta institución, en igualdad de condiciones, independientemente de su orientación sexual. </w:t>
      </w:r>
    </w:p>
    <w:p w:rsidR="00564A9D" w:rsidRPr="006F4E2F" w:rsidRDefault="00564A9D" w:rsidP="00BF33F3">
      <w:pPr>
        <w:pStyle w:val="Prrafodelista"/>
        <w:ind w:left="1080"/>
        <w:jc w:val="both"/>
        <w:rPr>
          <w:rFonts w:cs="Arial"/>
          <w:b/>
          <w:u w:val="single"/>
        </w:rPr>
      </w:pPr>
    </w:p>
    <w:p w:rsidR="00564A9D" w:rsidRPr="006F4E2F" w:rsidRDefault="00292C54" w:rsidP="00292C54">
      <w:pPr>
        <w:pStyle w:val="Prrafodelista"/>
        <w:numPr>
          <w:ilvl w:val="0"/>
          <w:numId w:val="2"/>
        </w:numPr>
        <w:jc w:val="both"/>
        <w:rPr>
          <w:rFonts w:cs="Arial"/>
          <w:b/>
          <w:u w:val="single"/>
        </w:rPr>
      </w:pPr>
      <w:r>
        <w:rPr>
          <w:rFonts w:cs="Arial"/>
          <w:b/>
          <w:u w:val="single"/>
        </w:rPr>
        <w:t>Aspectos fundamentales que debe contener una lee de matrimonio igualitario:</w:t>
      </w:r>
      <w:r w:rsidRPr="006F4E2F">
        <w:rPr>
          <w:rFonts w:cs="Arial"/>
          <w:b/>
          <w:u w:val="single"/>
        </w:rPr>
        <w:t xml:space="preserve"> </w:t>
      </w:r>
    </w:p>
    <w:p w:rsidR="004F33EA" w:rsidRDefault="00081176" w:rsidP="00081176">
      <w:pPr>
        <w:jc w:val="both"/>
        <w:rPr>
          <w:rFonts w:cs="Arial"/>
        </w:rPr>
      </w:pPr>
      <w:r>
        <w:rPr>
          <w:rFonts w:cs="Arial"/>
        </w:rPr>
        <w:t xml:space="preserve">Cabe señalar que el matrimonio igualitario </w:t>
      </w:r>
      <w:r w:rsidR="00680FC3">
        <w:rPr>
          <w:rFonts w:cs="Arial"/>
        </w:rPr>
        <w:t>debe contemplar l</w:t>
      </w:r>
      <w:r w:rsidR="004F33EA" w:rsidRPr="00081176">
        <w:rPr>
          <w:rFonts w:cs="Arial"/>
        </w:rPr>
        <w:t xml:space="preserve">os mismos derechos que </w:t>
      </w:r>
      <w:r w:rsidR="00680FC3">
        <w:rPr>
          <w:rFonts w:cs="Arial"/>
        </w:rPr>
        <w:t>se consagran par</w:t>
      </w:r>
      <w:r w:rsidR="007F49AE">
        <w:rPr>
          <w:rFonts w:cs="Arial"/>
        </w:rPr>
        <w:t xml:space="preserve">a las parejas de distinto sexo. </w:t>
      </w:r>
    </w:p>
    <w:p w:rsidR="00CA2D46" w:rsidRDefault="003D32B1" w:rsidP="003D32B1">
      <w:pPr>
        <w:jc w:val="both"/>
        <w:rPr>
          <w:rFonts w:cs="Arial"/>
        </w:rPr>
      </w:pPr>
      <w:r>
        <w:rPr>
          <w:rFonts w:cs="Arial"/>
          <w:lang w:val="es-ES"/>
        </w:rPr>
        <w:t xml:space="preserve">1. </w:t>
      </w:r>
      <w:r w:rsidRPr="007F49AE">
        <w:rPr>
          <w:rFonts w:cs="Arial"/>
          <w:b/>
          <w:lang w:val="es-ES"/>
        </w:rPr>
        <w:t>D</w:t>
      </w:r>
      <w:r w:rsidR="004F33EA" w:rsidRPr="007F49AE">
        <w:rPr>
          <w:rFonts w:cs="Arial"/>
          <w:b/>
        </w:rPr>
        <w:t>erechos f</w:t>
      </w:r>
      <w:r w:rsidR="00776367" w:rsidRPr="007F49AE">
        <w:rPr>
          <w:rFonts w:cs="Arial"/>
          <w:b/>
        </w:rPr>
        <w:t>iliativos:</w:t>
      </w:r>
      <w:r w:rsidR="0062013B">
        <w:rPr>
          <w:rFonts w:cs="Arial"/>
        </w:rPr>
        <w:t xml:space="preserve"> </w:t>
      </w:r>
    </w:p>
    <w:p w:rsidR="00187F34" w:rsidRDefault="0062013B" w:rsidP="003D32B1">
      <w:pPr>
        <w:jc w:val="both"/>
        <w:rPr>
          <w:rFonts w:cs="Arial"/>
        </w:rPr>
      </w:pPr>
      <w:r w:rsidRPr="0062013B">
        <w:rPr>
          <w:rFonts w:cs="Arial"/>
        </w:rPr>
        <w:t>La filiación es el víncu</w:t>
      </w:r>
      <w:r w:rsidR="00446BD3">
        <w:rPr>
          <w:rFonts w:cs="Arial"/>
        </w:rPr>
        <w:t xml:space="preserve">lo </w:t>
      </w:r>
      <w:r w:rsidR="00CA2D46">
        <w:rPr>
          <w:rFonts w:cs="Arial"/>
        </w:rPr>
        <w:t xml:space="preserve">jurídico </w:t>
      </w:r>
      <w:r w:rsidR="00CA2D46" w:rsidRPr="0062013B">
        <w:rPr>
          <w:rFonts w:cs="Arial"/>
        </w:rPr>
        <w:t>entre</w:t>
      </w:r>
      <w:r w:rsidR="00821323">
        <w:rPr>
          <w:rFonts w:cs="Arial"/>
        </w:rPr>
        <w:t xml:space="preserve"> los padres y/o madres e hijos. Actualmente, </w:t>
      </w:r>
      <w:r w:rsidR="00255393">
        <w:rPr>
          <w:rFonts w:cs="Arial"/>
        </w:rPr>
        <w:t>no existe reconocimiento expreso de la filiación por parte de parejas del mismo sexo respecto de sus hijos</w:t>
      </w:r>
      <w:r w:rsidR="00821323">
        <w:rPr>
          <w:rFonts w:cs="Arial"/>
        </w:rPr>
        <w:t xml:space="preserve">, a pesar de que ambos hayan tenido la voluntad procreacional o que ambos </w:t>
      </w:r>
      <w:r w:rsidR="00255393">
        <w:rPr>
          <w:rFonts w:cs="Arial"/>
        </w:rPr>
        <w:t xml:space="preserve">los </w:t>
      </w:r>
      <w:r w:rsidR="00821323">
        <w:rPr>
          <w:rFonts w:cs="Arial"/>
        </w:rPr>
        <w:t>críen</w:t>
      </w:r>
      <w:r w:rsidR="002B13EC">
        <w:rPr>
          <w:rFonts w:cs="Arial"/>
        </w:rPr>
        <w:t xml:space="preserve">. Esta situación </w:t>
      </w:r>
      <w:r w:rsidR="00821323">
        <w:rPr>
          <w:rFonts w:cs="Arial"/>
        </w:rPr>
        <w:t>deja</w:t>
      </w:r>
      <w:r w:rsidR="002B13EC">
        <w:rPr>
          <w:rFonts w:cs="Arial"/>
        </w:rPr>
        <w:t xml:space="preserve"> a niños, </w:t>
      </w:r>
      <w:r w:rsidR="00821323">
        <w:rPr>
          <w:rFonts w:cs="Arial"/>
        </w:rPr>
        <w:t>niñas</w:t>
      </w:r>
      <w:r w:rsidR="002B13EC">
        <w:rPr>
          <w:rFonts w:cs="Arial"/>
        </w:rPr>
        <w:t xml:space="preserve"> y adolescentes </w:t>
      </w:r>
      <w:r w:rsidR="00821323">
        <w:rPr>
          <w:rFonts w:cs="Arial"/>
        </w:rPr>
        <w:t xml:space="preserve"> en una si</w:t>
      </w:r>
      <w:r w:rsidR="002B13EC">
        <w:rPr>
          <w:rFonts w:cs="Arial"/>
        </w:rPr>
        <w:t xml:space="preserve">tuación de total desprotección,  privándolos del derecho a la protección a su familia, de la certeza jurídica en </w:t>
      </w:r>
      <w:r w:rsidR="002B13EC" w:rsidRPr="002B13EC">
        <w:rPr>
          <w:rFonts w:cs="Arial"/>
        </w:rPr>
        <w:t>sus relaciones familiares</w:t>
      </w:r>
      <w:r w:rsidR="00395088">
        <w:rPr>
          <w:rFonts w:cs="Arial"/>
        </w:rPr>
        <w:t xml:space="preserve">, </w:t>
      </w:r>
      <w:r w:rsidR="008E0B10">
        <w:rPr>
          <w:rFonts w:cs="Arial"/>
        </w:rPr>
        <w:t xml:space="preserve">del derecho a la igualdad de todos los hijos, lo que fue zanjado en el año 1.999, </w:t>
      </w:r>
      <w:r w:rsidR="00395088">
        <w:rPr>
          <w:rFonts w:cs="Arial"/>
        </w:rPr>
        <w:t xml:space="preserve">de su derecho a la identidad y de otros derechos que se desprenden de la </w:t>
      </w:r>
      <w:r w:rsidR="00187F34">
        <w:rPr>
          <w:rFonts w:cs="Arial"/>
        </w:rPr>
        <w:t xml:space="preserve">filiación, tales como el derecho al cuidado personal, derecho de alimentos, derechos hereditarios, entre otros. </w:t>
      </w:r>
    </w:p>
    <w:p w:rsidR="006B47E1" w:rsidRPr="00DB2832" w:rsidRDefault="00821323" w:rsidP="006B47E1">
      <w:pPr>
        <w:jc w:val="both"/>
        <w:rPr>
          <w:rFonts w:cs="Arial"/>
        </w:rPr>
      </w:pPr>
      <w:r>
        <w:rPr>
          <w:rFonts w:cs="Arial"/>
        </w:rPr>
        <w:t xml:space="preserve">Es por esto, que el proyecto de matrimonio igualitario debe establecer </w:t>
      </w:r>
      <w:r w:rsidR="00255393">
        <w:rPr>
          <w:rFonts w:cs="Arial"/>
        </w:rPr>
        <w:t xml:space="preserve">expresamente </w:t>
      </w:r>
      <w:r>
        <w:rPr>
          <w:rFonts w:cs="Arial"/>
        </w:rPr>
        <w:t>la filiación re</w:t>
      </w:r>
      <w:r w:rsidR="00531529">
        <w:rPr>
          <w:rFonts w:cs="Arial"/>
        </w:rPr>
        <w:t xml:space="preserve">specto a ambas madres o padres, </w:t>
      </w:r>
      <w:r w:rsidR="006B47E1">
        <w:rPr>
          <w:rFonts w:cs="Arial"/>
        </w:rPr>
        <w:t>de los hijos ya</w:t>
      </w:r>
      <w:r w:rsidR="00106325">
        <w:rPr>
          <w:rFonts w:cs="Arial"/>
        </w:rPr>
        <w:t xml:space="preserve"> existentes y </w:t>
      </w:r>
      <w:r w:rsidR="006B47E1">
        <w:rPr>
          <w:rFonts w:cs="Arial"/>
        </w:rPr>
        <w:t xml:space="preserve">de </w:t>
      </w:r>
      <w:r w:rsidR="00106325">
        <w:rPr>
          <w:rFonts w:cs="Arial"/>
        </w:rPr>
        <w:t xml:space="preserve">los que nacerán. De lo contrario, el </w:t>
      </w:r>
      <w:r w:rsidR="00531529">
        <w:rPr>
          <w:rFonts w:cs="Arial"/>
        </w:rPr>
        <w:t>Estado</w:t>
      </w:r>
      <w:r w:rsidR="00106325">
        <w:rPr>
          <w:rFonts w:cs="Arial"/>
        </w:rPr>
        <w:t xml:space="preserve"> va en contra de su deber de protección especial de </w:t>
      </w:r>
      <w:r w:rsidR="00C80020">
        <w:rPr>
          <w:rFonts w:cs="Arial"/>
        </w:rPr>
        <w:t xml:space="preserve">niños, niñas y adolescentes, </w:t>
      </w:r>
      <w:r w:rsidR="006B47E1">
        <w:rPr>
          <w:rFonts w:cs="Arial"/>
        </w:rPr>
        <w:t xml:space="preserve">discriminándolos y dejándolos en una </w:t>
      </w:r>
      <w:r w:rsidRPr="00821323">
        <w:rPr>
          <w:rFonts w:cs="Arial"/>
        </w:rPr>
        <w:t xml:space="preserve">situación de </w:t>
      </w:r>
      <w:r w:rsidR="00255393">
        <w:rPr>
          <w:rFonts w:cs="Arial"/>
        </w:rPr>
        <w:t>suma vulnerabilidad,</w:t>
      </w:r>
      <w:r w:rsidRPr="00821323">
        <w:rPr>
          <w:rFonts w:cs="Arial"/>
        </w:rPr>
        <w:t xml:space="preserve"> </w:t>
      </w:r>
      <w:r w:rsidR="00C80020">
        <w:rPr>
          <w:rFonts w:cs="Arial"/>
        </w:rPr>
        <w:t xml:space="preserve">simplemente </w:t>
      </w:r>
      <w:r w:rsidRPr="00821323">
        <w:rPr>
          <w:rFonts w:cs="Arial"/>
        </w:rPr>
        <w:t>por la orientación sexual de sus padres o madres.</w:t>
      </w:r>
      <w:r>
        <w:rPr>
          <w:rFonts w:cs="Arial"/>
        </w:rPr>
        <w:br/>
      </w:r>
      <w:r w:rsidR="0062013B">
        <w:rPr>
          <w:rFonts w:cs="Arial"/>
        </w:rPr>
        <w:br/>
      </w:r>
      <w:r w:rsidR="00845F59" w:rsidRPr="00DB2832">
        <w:rPr>
          <w:rFonts w:cs="Arial"/>
        </w:rPr>
        <w:t xml:space="preserve">2. </w:t>
      </w:r>
      <w:r w:rsidR="00845F59" w:rsidRPr="00DB2832">
        <w:rPr>
          <w:rFonts w:cs="Arial"/>
          <w:b/>
        </w:rPr>
        <w:t>Adopción:</w:t>
      </w:r>
      <w:r w:rsidR="00845F59" w:rsidRPr="00DB2832">
        <w:rPr>
          <w:rFonts w:cs="Arial"/>
        </w:rPr>
        <w:t xml:space="preserve"> </w:t>
      </w:r>
    </w:p>
    <w:p w:rsidR="00D4376B" w:rsidRPr="00DB2832" w:rsidRDefault="005F2D14" w:rsidP="00D4376B">
      <w:pPr>
        <w:jc w:val="both"/>
        <w:rPr>
          <w:rFonts w:cs="Arial"/>
          <w:lang w:val="es-ES"/>
        </w:rPr>
      </w:pPr>
      <w:r w:rsidRPr="00DB2832">
        <w:rPr>
          <w:rFonts w:cs="Arial"/>
        </w:rPr>
        <w:lastRenderedPageBreak/>
        <w:t xml:space="preserve">El proyecto de matrimonio igualitario debe garantizar que las parejas del mismo sexo </w:t>
      </w:r>
      <w:r w:rsidR="008048F8" w:rsidRPr="00DB2832">
        <w:rPr>
          <w:rFonts w:cs="Arial"/>
        </w:rPr>
        <w:t>puedan adoptar</w:t>
      </w:r>
      <w:r w:rsidR="001F665B">
        <w:rPr>
          <w:rFonts w:cs="Arial"/>
        </w:rPr>
        <w:t xml:space="preserve"> en las mismas condiciones que las parejas de distinto sexo</w:t>
      </w:r>
      <w:r w:rsidR="008048F8" w:rsidRPr="00DB2832">
        <w:rPr>
          <w:rFonts w:cs="Arial"/>
        </w:rPr>
        <w:t xml:space="preserve">, </w:t>
      </w:r>
      <w:r w:rsidR="00B5287D" w:rsidRPr="00DB2832">
        <w:rPr>
          <w:rFonts w:cs="Arial"/>
        </w:rPr>
        <w:t>centrándose en las habilidades parentales de los padre</w:t>
      </w:r>
      <w:r w:rsidR="00D4376B" w:rsidRPr="00DB2832">
        <w:rPr>
          <w:rFonts w:cs="Arial"/>
        </w:rPr>
        <w:t xml:space="preserve">s/madres y no en la orientación sexual de estos, ya que tal como han señalado los tribunales nacionales </w:t>
      </w:r>
      <w:r w:rsidR="00D4376B" w:rsidRPr="00DB2832">
        <w:rPr>
          <w:rFonts w:cs="Arial"/>
          <w:lang w:val="es-ES"/>
        </w:rPr>
        <w:t>“la orientación sexual de los padres no es una consideración relevante en nuestro ordenamiento jurídico.”</w:t>
      </w:r>
      <w:r w:rsidR="00D4376B" w:rsidRPr="00DB2832">
        <w:rPr>
          <w:rFonts w:cs="Arial"/>
          <w:vertAlign w:val="superscript"/>
          <w:lang w:val="es-ES"/>
        </w:rPr>
        <w:t xml:space="preserve"> </w:t>
      </w:r>
      <w:r w:rsidR="00D4376B" w:rsidRPr="00DB2832">
        <w:rPr>
          <w:rFonts w:cs="Arial"/>
          <w:vertAlign w:val="superscript"/>
          <w:lang w:val="es-ES"/>
        </w:rPr>
        <w:footnoteReference w:id="4"/>
      </w:r>
      <w:r w:rsidR="00D4376B" w:rsidRPr="00DB2832">
        <w:rPr>
          <w:rFonts w:cs="Arial"/>
          <w:lang w:val="es-ES"/>
        </w:rPr>
        <w:t xml:space="preserve"> </w:t>
      </w:r>
    </w:p>
    <w:p w:rsidR="00375007" w:rsidRPr="00DB2832" w:rsidRDefault="00CA2D46" w:rsidP="006B47E1">
      <w:pPr>
        <w:jc w:val="both"/>
        <w:rPr>
          <w:rFonts w:cs="Arial"/>
        </w:rPr>
      </w:pPr>
      <w:r w:rsidRPr="00DB2832">
        <w:rPr>
          <w:rFonts w:cs="Arial"/>
        </w:rPr>
        <w:t xml:space="preserve">3. </w:t>
      </w:r>
      <w:r w:rsidRPr="00DB2832">
        <w:rPr>
          <w:rFonts w:cs="Arial"/>
          <w:b/>
        </w:rPr>
        <w:t>Técnicas de Reproducción Asistida</w:t>
      </w:r>
      <w:r w:rsidRPr="00DB2832">
        <w:rPr>
          <w:rFonts w:cs="Arial"/>
        </w:rPr>
        <w:t xml:space="preserve"> </w:t>
      </w:r>
    </w:p>
    <w:p w:rsidR="00062F29" w:rsidRDefault="007F0596" w:rsidP="00DB2832">
      <w:pPr>
        <w:spacing w:after="160" w:line="259" w:lineRule="auto"/>
        <w:jc w:val="both"/>
        <w:rPr>
          <w:rFonts w:cs="Arial"/>
        </w:rPr>
      </w:pPr>
      <w:r>
        <w:rPr>
          <w:rFonts w:cs="Arial"/>
        </w:rPr>
        <w:t>E</w:t>
      </w:r>
      <w:r w:rsidR="00375007" w:rsidRPr="00DB2832">
        <w:rPr>
          <w:rFonts w:cs="Arial"/>
        </w:rPr>
        <w:t xml:space="preserve">l artículo 182 del Código Civil establece que el padre y la madre del hijo concebido mediante la aplicación de técnicas de reproducción humana asistida son el hombre y la mujer que se sometieron a estas y </w:t>
      </w:r>
      <w:r w:rsidR="000D06BB">
        <w:rPr>
          <w:rFonts w:cs="Arial"/>
        </w:rPr>
        <w:t xml:space="preserve">en el segundo inciso establece </w:t>
      </w:r>
      <w:r w:rsidR="00375007" w:rsidRPr="00DB2832">
        <w:rPr>
          <w:rFonts w:cs="Arial"/>
        </w:rPr>
        <w:t>que no podrá impugnarse ni reclamarse una filiación distinta</w:t>
      </w:r>
      <w:r>
        <w:rPr>
          <w:rFonts w:cs="Arial"/>
        </w:rPr>
        <w:t xml:space="preserve">. </w:t>
      </w:r>
      <w:r w:rsidR="00375007" w:rsidRPr="00DB2832">
        <w:rPr>
          <w:rFonts w:cs="Arial"/>
        </w:rPr>
        <w:t xml:space="preserve"> </w:t>
      </w:r>
      <w:r w:rsidR="003D6468">
        <w:rPr>
          <w:rFonts w:cs="Arial"/>
        </w:rPr>
        <w:t>El proyecto de ley</w:t>
      </w:r>
      <w:r w:rsidR="00375007" w:rsidRPr="00DB2832">
        <w:rPr>
          <w:rFonts w:cs="Arial"/>
        </w:rPr>
        <w:t xml:space="preserve"> </w:t>
      </w:r>
      <w:r w:rsidR="003D6468">
        <w:rPr>
          <w:rFonts w:cs="Arial"/>
        </w:rPr>
        <w:t>agrega</w:t>
      </w:r>
      <w:r w:rsidR="00AA7120">
        <w:rPr>
          <w:rFonts w:cs="Arial"/>
        </w:rPr>
        <w:t xml:space="preserve"> un inciso final el cual señala que</w:t>
      </w:r>
      <w:r w:rsidR="00375007" w:rsidRPr="00DB2832">
        <w:rPr>
          <w:rFonts w:cs="Arial"/>
        </w:rPr>
        <w:t xml:space="preserve"> “sin perjuicio de lo dispuesto en los incisos anteriores, tratándose de una pareja de mujeres, la filiación del hijo concebido mediante la aplicación de técnicas de reproducción humana asistida se determinará conforme a lo dispuesto en los artículos 183, 187 y 188”. </w:t>
      </w:r>
      <w:r w:rsidR="000D06BB">
        <w:rPr>
          <w:rFonts w:cs="Arial"/>
        </w:rPr>
        <w:t xml:space="preserve">Agregar este inciso al final del artículo en vez de </w:t>
      </w:r>
      <w:r w:rsidR="0070129F">
        <w:rPr>
          <w:rFonts w:cs="Arial"/>
        </w:rPr>
        <w:t>incluirlo</w:t>
      </w:r>
      <w:r w:rsidR="000D06BB">
        <w:rPr>
          <w:rFonts w:cs="Arial"/>
        </w:rPr>
        <w:t xml:space="preserve"> antes del segundo inciso o </w:t>
      </w:r>
      <w:r w:rsidR="0070129F">
        <w:rPr>
          <w:rFonts w:cs="Arial"/>
        </w:rPr>
        <w:t>haber establecido que</w:t>
      </w:r>
      <w:r w:rsidR="000D06BB">
        <w:rPr>
          <w:rFonts w:cs="Arial"/>
        </w:rPr>
        <w:t xml:space="preserve"> la filiación queda determinada respecto a las personas que se someten a la técnica de reproducción asistida, podría generar un problema, </w:t>
      </w:r>
      <w:r w:rsidR="00137C67">
        <w:rPr>
          <w:rFonts w:cs="Arial"/>
        </w:rPr>
        <w:t xml:space="preserve">ya que no queda claro si la filiación de los niños y niñas que nacen a través de la mencionada técnica </w:t>
      </w:r>
      <w:r w:rsidR="00A30336">
        <w:rPr>
          <w:rFonts w:cs="Arial"/>
        </w:rPr>
        <w:t xml:space="preserve">a la cual se sometieron dos mujeres </w:t>
      </w:r>
      <w:r w:rsidR="00062F29">
        <w:rPr>
          <w:rFonts w:cs="Arial"/>
        </w:rPr>
        <w:t xml:space="preserve">se podrá impugnar o reclamar una filiación distinta. </w:t>
      </w:r>
      <w:r w:rsidR="00336593">
        <w:rPr>
          <w:rFonts w:cs="Arial"/>
        </w:rPr>
        <w:t>Si solo en estos casos se</w:t>
      </w:r>
      <w:r w:rsidR="00331C7C">
        <w:rPr>
          <w:rFonts w:cs="Arial"/>
        </w:rPr>
        <w:t xml:space="preserve"> pu</w:t>
      </w:r>
      <w:r w:rsidR="00336593">
        <w:rPr>
          <w:rFonts w:cs="Arial"/>
        </w:rPr>
        <w:t xml:space="preserve">diera </w:t>
      </w:r>
      <w:r w:rsidR="00331C7C">
        <w:rPr>
          <w:rFonts w:cs="Arial"/>
        </w:rPr>
        <w:t xml:space="preserve">reclamar o impugnar </w:t>
      </w:r>
      <w:r w:rsidR="00AA7120">
        <w:rPr>
          <w:rFonts w:cs="Arial"/>
        </w:rPr>
        <w:t>la filiación</w:t>
      </w:r>
      <w:r w:rsidR="009447B3">
        <w:rPr>
          <w:rFonts w:cs="Arial"/>
        </w:rPr>
        <w:t>, sería discriminatorio</w:t>
      </w:r>
      <w:r w:rsidR="00AA7120">
        <w:rPr>
          <w:rFonts w:cs="Arial"/>
        </w:rPr>
        <w:t>,</w:t>
      </w:r>
      <w:r w:rsidR="009447B3">
        <w:rPr>
          <w:rFonts w:cs="Arial"/>
        </w:rPr>
        <w:t xml:space="preserve"> </w:t>
      </w:r>
      <w:r w:rsidR="00AA7120">
        <w:rPr>
          <w:rFonts w:cs="Arial"/>
        </w:rPr>
        <w:t>debido a</w:t>
      </w:r>
      <w:r w:rsidR="009447B3">
        <w:rPr>
          <w:rFonts w:cs="Arial"/>
        </w:rPr>
        <w:t xml:space="preserve"> que el artículo 182 es claro en establecer que no se podrá </w:t>
      </w:r>
      <w:r w:rsidR="002A0EDA">
        <w:rPr>
          <w:rFonts w:cs="Arial"/>
        </w:rPr>
        <w:t>impugnar ni reclamar una filiación distinta</w:t>
      </w:r>
      <w:r w:rsidR="009447B3">
        <w:rPr>
          <w:rFonts w:cs="Arial"/>
        </w:rPr>
        <w:t>, ya que el legislador entendió que la voluntad procreacional o el ánimo de acogida están por sobre el aporte genético</w:t>
      </w:r>
      <w:r w:rsidR="00ED364A">
        <w:rPr>
          <w:rStyle w:val="Refdenotaalpie"/>
        </w:rPr>
        <w:footnoteReference w:id="5"/>
      </w:r>
      <w:r w:rsidR="009447B3">
        <w:rPr>
          <w:rFonts w:cs="Arial"/>
        </w:rPr>
        <w:t xml:space="preserve">, </w:t>
      </w:r>
      <w:r w:rsidR="00AA7120">
        <w:rPr>
          <w:rFonts w:cs="Arial"/>
        </w:rPr>
        <w:t xml:space="preserve">y que además debe garantizar la certeza jurídica en las relaciones familiares, especialmente cuando se trata de niños y niñas. </w:t>
      </w:r>
    </w:p>
    <w:p w:rsidR="00081176" w:rsidRPr="00081176" w:rsidRDefault="00081176" w:rsidP="00E75975">
      <w:pPr>
        <w:tabs>
          <w:tab w:val="left" w:pos="2805"/>
        </w:tabs>
        <w:ind w:left="360"/>
        <w:jc w:val="both"/>
        <w:rPr>
          <w:rFonts w:cs="Arial"/>
          <w:b/>
          <w:u w:val="single"/>
        </w:rPr>
      </w:pPr>
    </w:p>
    <w:p w:rsidR="00081176" w:rsidRDefault="00081176" w:rsidP="00081176">
      <w:pPr>
        <w:jc w:val="both"/>
        <w:rPr>
          <w:rFonts w:cs="Arial"/>
          <w:b/>
          <w:u w:val="single"/>
        </w:rPr>
      </w:pPr>
      <w:r w:rsidRPr="00081176">
        <w:rPr>
          <w:rFonts w:cs="Arial"/>
          <w:b/>
        </w:rPr>
        <w:t>III.</w:t>
      </w:r>
      <w:r>
        <w:rPr>
          <w:rFonts w:cs="Arial"/>
        </w:rPr>
        <w:tab/>
        <w:t xml:space="preserve">    </w:t>
      </w:r>
      <w:r w:rsidRPr="00081176">
        <w:rPr>
          <w:rFonts w:cs="Arial"/>
          <w:b/>
          <w:u w:val="single"/>
        </w:rPr>
        <w:t xml:space="preserve">Derecho Comparado </w:t>
      </w:r>
    </w:p>
    <w:p w:rsidR="00B57E00" w:rsidRPr="00B57E00" w:rsidRDefault="00B57E00" w:rsidP="00081176">
      <w:pPr>
        <w:jc w:val="both"/>
        <w:rPr>
          <w:rFonts w:cs="Arial"/>
        </w:rPr>
      </w:pPr>
      <w:r>
        <w:rPr>
          <w:rFonts w:cs="Arial"/>
        </w:rPr>
        <w:t>Desde el año 2001</w:t>
      </w:r>
      <w:r w:rsidR="00B154FE">
        <w:rPr>
          <w:rFonts w:cs="Arial"/>
        </w:rPr>
        <w:t xml:space="preserve"> Holanda es el primer país que cuenta con matrimonio igualitario. Desde entonces,  </w:t>
      </w:r>
      <w:r>
        <w:rPr>
          <w:rFonts w:cs="Arial"/>
        </w:rPr>
        <w:t xml:space="preserve">cada vez son más los países que </w:t>
      </w:r>
      <w:r w:rsidR="00B154FE">
        <w:rPr>
          <w:rFonts w:cs="Arial"/>
        </w:rPr>
        <w:t xml:space="preserve">se han sumado, siendo 25 en total: </w:t>
      </w:r>
      <w:r w:rsidRPr="00B57E00">
        <w:rPr>
          <w:rFonts w:cs="Arial"/>
        </w:rPr>
        <w:t>Argentina, Bélgica, Brasil, Canadá, Colombia, Dinamarca, España, Estados Unidos, Finlandia, Francia, Irlanda, Islandia, Luxemburgo, México, Noruega, Nueva Zelanda, Portugal, Reino Unido, Suecia, Sudáfrica, Uruguay, Groenlandia, Bermudas y Taiwán.</w:t>
      </w:r>
    </w:p>
    <w:sectPr w:rsidR="00B57E00" w:rsidRPr="00B57E00">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A8E" w:rsidRDefault="00B27A8E" w:rsidP="00F5231B">
      <w:pPr>
        <w:spacing w:after="0" w:line="240" w:lineRule="auto"/>
      </w:pPr>
      <w:r>
        <w:separator/>
      </w:r>
    </w:p>
  </w:endnote>
  <w:endnote w:type="continuationSeparator" w:id="0">
    <w:p w:rsidR="00B27A8E" w:rsidRDefault="00B27A8E" w:rsidP="00F5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A8E" w:rsidRDefault="00B27A8E" w:rsidP="00F5231B">
      <w:pPr>
        <w:spacing w:after="0" w:line="240" w:lineRule="auto"/>
      </w:pPr>
      <w:r>
        <w:separator/>
      </w:r>
    </w:p>
  </w:footnote>
  <w:footnote w:type="continuationSeparator" w:id="0">
    <w:p w:rsidR="00B27A8E" w:rsidRDefault="00B27A8E" w:rsidP="00F5231B">
      <w:pPr>
        <w:spacing w:after="0" w:line="240" w:lineRule="auto"/>
      </w:pPr>
      <w:r>
        <w:continuationSeparator/>
      </w:r>
    </w:p>
  </w:footnote>
  <w:footnote w:id="1">
    <w:p w:rsidR="00AA581F" w:rsidRPr="00507BF6" w:rsidRDefault="00AA581F" w:rsidP="00507BF6">
      <w:pPr>
        <w:pStyle w:val="Textonotapie"/>
        <w:jc w:val="both"/>
        <w:rPr>
          <w:rFonts w:cs="Arial"/>
          <w:sz w:val="18"/>
          <w:szCs w:val="18"/>
          <w:lang w:val="es-ES"/>
        </w:rPr>
      </w:pPr>
      <w:r w:rsidRPr="00507BF6">
        <w:rPr>
          <w:rStyle w:val="Refdenotaalpie"/>
          <w:rFonts w:ascii="Arial" w:hAnsi="Arial" w:cs="Arial"/>
          <w:sz w:val="18"/>
          <w:szCs w:val="18"/>
        </w:rPr>
        <w:footnoteRef/>
      </w:r>
      <w:r w:rsidRPr="00507BF6">
        <w:rPr>
          <w:rFonts w:cs="Arial"/>
          <w:sz w:val="18"/>
          <w:szCs w:val="18"/>
        </w:rPr>
        <w:t xml:space="preserve"> </w:t>
      </w:r>
      <w:r w:rsidRPr="00507BF6">
        <w:rPr>
          <w:rFonts w:cs="Arial"/>
          <w:sz w:val="18"/>
          <w:szCs w:val="18"/>
          <w:lang w:val="es-ES"/>
        </w:rPr>
        <w:t>Corte IDH. Caso Atala Riffo y niñas Vs. Chile.</w:t>
      </w:r>
      <w:r w:rsidR="00C93D64" w:rsidRPr="00507BF6">
        <w:rPr>
          <w:rFonts w:cs="Arial"/>
          <w:sz w:val="18"/>
          <w:szCs w:val="18"/>
          <w:lang w:val="es-ES"/>
        </w:rPr>
        <w:t xml:space="preserve"> P</w:t>
      </w:r>
      <w:r w:rsidRPr="00507BF6">
        <w:rPr>
          <w:rFonts w:cs="Arial"/>
          <w:sz w:val="18"/>
          <w:szCs w:val="18"/>
          <w:lang w:val="es-ES"/>
        </w:rPr>
        <w:t>árr.136.</w:t>
      </w:r>
    </w:p>
  </w:footnote>
  <w:footnote w:id="2">
    <w:p w:rsidR="00BF2002" w:rsidRPr="00507BF6" w:rsidRDefault="00BF2002" w:rsidP="00507BF6">
      <w:pPr>
        <w:pStyle w:val="Textonotapie"/>
        <w:jc w:val="both"/>
        <w:rPr>
          <w:rFonts w:cs="Arial"/>
          <w:sz w:val="18"/>
          <w:szCs w:val="18"/>
          <w:lang w:val="es-ES"/>
        </w:rPr>
      </w:pPr>
      <w:r w:rsidRPr="00507BF6">
        <w:rPr>
          <w:rStyle w:val="Refdenotaalpie"/>
          <w:rFonts w:ascii="Arial" w:hAnsi="Arial" w:cs="Arial"/>
          <w:sz w:val="18"/>
          <w:szCs w:val="18"/>
        </w:rPr>
        <w:footnoteRef/>
      </w:r>
      <w:r w:rsidRPr="00507BF6">
        <w:rPr>
          <w:rFonts w:cs="Arial"/>
          <w:sz w:val="18"/>
          <w:szCs w:val="18"/>
        </w:rPr>
        <w:t xml:space="preserve"> Tales como: Convención Americana sobre Derechos Humanos, Declaración Universal de Derechos Humanos, </w:t>
      </w:r>
      <w:r w:rsidRPr="00507BF6">
        <w:rPr>
          <w:rFonts w:cs="Arial"/>
          <w:sz w:val="18"/>
          <w:szCs w:val="18"/>
          <w:vertAlign w:val="superscript"/>
        </w:rPr>
        <w:t xml:space="preserve"> </w:t>
      </w:r>
      <w:r w:rsidRPr="00507BF6">
        <w:rPr>
          <w:rFonts w:cs="Arial"/>
          <w:sz w:val="18"/>
          <w:szCs w:val="18"/>
        </w:rPr>
        <w:t>en el Pacto Internacional de Derechos Civiles y Políticos, entre otros.</w:t>
      </w:r>
    </w:p>
  </w:footnote>
  <w:footnote w:id="3">
    <w:p w:rsidR="00977123" w:rsidRPr="00507BF6" w:rsidRDefault="00977123" w:rsidP="00507BF6">
      <w:pPr>
        <w:pStyle w:val="Textonotapie"/>
        <w:jc w:val="both"/>
        <w:rPr>
          <w:rFonts w:cs="Arial"/>
          <w:sz w:val="18"/>
          <w:szCs w:val="18"/>
        </w:rPr>
      </w:pPr>
      <w:r w:rsidRPr="00507BF6">
        <w:rPr>
          <w:rStyle w:val="Refdenotaalpie"/>
          <w:rFonts w:ascii="Arial" w:hAnsi="Arial" w:cs="Arial"/>
          <w:sz w:val="18"/>
          <w:szCs w:val="18"/>
        </w:rPr>
        <w:footnoteRef/>
      </w:r>
      <w:r w:rsidRPr="00507BF6">
        <w:rPr>
          <w:rFonts w:cs="Arial"/>
          <w:sz w:val="18"/>
          <w:szCs w:val="18"/>
        </w:rPr>
        <w:t xml:space="preserve"> </w:t>
      </w:r>
      <w:r w:rsidRPr="00507BF6">
        <w:rPr>
          <w:rFonts w:cs="Arial"/>
          <w:sz w:val="18"/>
          <w:szCs w:val="18"/>
          <w:lang w:val="es-ES"/>
        </w:rPr>
        <w:t xml:space="preserve">Corte IDH. Caso Atala Riffo y niñas Vs. Chile. Párr.79. </w:t>
      </w:r>
    </w:p>
  </w:footnote>
  <w:footnote w:id="4">
    <w:p w:rsidR="00D4376B" w:rsidRPr="00507BF6" w:rsidRDefault="00D4376B" w:rsidP="00507BF6">
      <w:pPr>
        <w:pStyle w:val="Textonotapie"/>
        <w:jc w:val="both"/>
        <w:rPr>
          <w:rFonts w:cs="Arial"/>
          <w:sz w:val="18"/>
          <w:szCs w:val="18"/>
          <w:lang w:val="es-ES"/>
        </w:rPr>
      </w:pPr>
      <w:r w:rsidRPr="00507BF6">
        <w:rPr>
          <w:rStyle w:val="Refdenotaalpie"/>
          <w:rFonts w:ascii="Arial" w:hAnsi="Arial" w:cs="Arial"/>
          <w:sz w:val="18"/>
          <w:szCs w:val="18"/>
        </w:rPr>
        <w:footnoteRef/>
      </w:r>
      <w:r w:rsidRPr="00507BF6">
        <w:rPr>
          <w:rFonts w:cs="Arial"/>
          <w:sz w:val="18"/>
          <w:szCs w:val="18"/>
        </w:rPr>
        <w:t xml:space="preserve"> </w:t>
      </w:r>
      <w:r w:rsidRPr="00507BF6">
        <w:rPr>
          <w:rFonts w:cs="Arial"/>
          <w:sz w:val="18"/>
          <w:szCs w:val="18"/>
          <w:lang w:val="es-ES"/>
        </w:rPr>
        <w:t xml:space="preserve">Corte de Apelaciones de Santiago. Sentencia Rol: Nº 1889-2016, de 22 de noviembre de 2016. Considerando segundo. </w:t>
      </w:r>
    </w:p>
  </w:footnote>
  <w:footnote w:id="5">
    <w:p w:rsidR="00ED364A" w:rsidRPr="00507BF6" w:rsidRDefault="00ED364A" w:rsidP="00507BF6">
      <w:pPr>
        <w:pStyle w:val="Textonotapie"/>
        <w:jc w:val="both"/>
        <w:rPr>
          <w:rFonts w:cs="Arial"/>
          <w:sz w:val="18"/>
          <w:szCs w:val="18"/>
          <w:lang w:val="es-ES"/>
        </w:rPr>
      </w:pPr>
      <w:r w:rsidRPr="00507BF6">
        <w:rPr>
          <w:rStyle w:val="Refdenotaalpie"/>
          <w:rFonts w:ascii="Arial" w:hAnsi="Arial" w:cs="Arial"/>
          <w:sz w:val="18"/>
          <w:szCs w:val="18"/>
        </w:rPr>
        <w:footnoteRef/>
      </w:r>
      <w:r w:rsidRPr="00507BF6">
        <w:rPr>
          <w:rFonts w:cs="Arial"/>
          <w:sz w:val="18"/>
          <w:szCs w:val="18"/>
        </w:rPr>
        <w:t xml:space="preserve"> Biblioteca del Congreso Nacional de Chile. Historia de la Ley, Código Civil, DFL N° 1, Artículo 182, Filiación determinada mediante aplicación de técnicas de reproducción humana asistida.Págs. 13, 24, 25, 26, 27.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31B" w:rsidRDefault="00F5231B">
    <w:pPr>
      <w:pStyle w:val="Encabezado"/>
    </w:pPr>
    <w:r w:rsidRPr="00BD3027">
      <w:rPr>
        <w:rFonts w:ascii="Georgia" w:hAnsi="Georgia"/>
        <w:noProof/>
        <w:lang w:val="es-CL" w:eastAsia="es-CL"/>
      </w:rPr>
      <w:drawing>
        <wp:anchor distT="0" distB="0" distL="114300" distR="114300" simplePos="0" relativeHeight="251659264" behindDoc="1" locked="0" layoutInCell="1" allowOverlap="1" wp14:anchorId="46079E56" wp14:editId="2D521B84">
          <wp:simplePos x="0" y="0"/>
          <wp:positionH relativeFrom="column">
            <wp:posOffset>4479925</wp:posOffset>
          </wp:positionH>
          <wp:positionV relativeFrom="paragraph">
            <wp:posOffset>-278130</wp:posOffset>
          </wp:positionV>
          <wp:extent cx="1857375" cy="596900"/>
          <wp:effectExtent l="0" t="0" r="9525" b="0"/>
          <wp:wrapThrough wrapText="bothSides">
            <wp:wrapPolygon edited="0">
              <wp:start x="15286" y="0"/>
              <wp:lineTo x="5317" y="1379"/>
              <wp:lineTo x="222" y="4826"/>
              <wp:lineTo x="222" y="16545"/>
              <wp:lineTo x="3766" y="19302"/>
              <wp:lineTo x="8197" y="20681"/>
              <wp:lineTo x="9748" y="20681"/>
              <wp:lineTo x="13957" y="19302"/>
              <wp:lineTo x="21268" y="15166"/>
              <wp:lineTo x="21489" y="6894"/>
              <wp:lineTo x="20825" y="5515"/>
              <wp:lineTo x="16394" y="0"/>
              <wp:lineTo x="15286"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GUALES_REC.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5969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5C9D"/>
    <w:multiLevelType w:val="hybridMultilevel"/>
    <w:tmpl w:val="7BD0671C"/>
    <w:lvl w:ilvl="0" w:tplc="44027FFC">
      <w:start w:val="1"/>
      <w:numFmt w:val="bullet"/>
      <w:lvlText w:val=""/>
      <w:lvlJc w:val="left"/>
      <w:pPr>
        <w:ind w:left="720" w:hanging="360"/>
      </w:pPr>
      <w:rPr>
        <w:rFonts w:ascii="Wingdings" w:eastAsia="Calibri"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F2E24C7"/>
    <w:multiLevelType w:val="hybridMultilevel"/>
    <w:tmpl w:val="CC86E42C"/>
    <w:lvl w:ilvl="0" w:tplc="392C985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7EC3C22"/>
    <w:multiLevelType w:val="hybridMultilevel"/>
    <w:tmpl w:val="ECE812D6"/>
    <w:lvl w:ilvl="0" w:tplc="7A6E54A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1B"/>
    <w:rsid w:val="000076D4"/>
    <w:rsid w:val="0003485A"/>
    <w:rsid w:val="0003629F"/>
    <w:rsid w:val="00062F29"/>
    <w:rsid w:val="00081176"/>
    <w:rsid w:val="00083289"/>
    <w:rsid w:val="000A307E"/>
    <w:rsid w:val="000B7FD7"/>
    <w:rsid w:val="000D06BB"/>
    <w:rsid w:val="000E08C4"/>
    <w:rsid w:val="00106325"/>
    <w:rsid w:val="00115A25"/>
    <w:rsid w:val="00115C0B"/>
    <w:rsid w:val="00120982"/>
    <w:rsid w:val="001233FF"/>
    <w:rsid w:val="001241C9"/>
    <w:rsid w:val="00126793"/>
    <w:rsid w:val="00137C67"/>
    <w:rsid w:val="001758B7"/>
    <w:rsid w:val="00187624"/>
    <w:rsid w:val="00187F34"/>
    <w:rsid w:val="0019405B"/>
    <w:rsid w:val="001B6B04"/>
    <w:rsid w:val="001F665B"/>
    <w:rsid w:val="00200158"/>
    <w:rsid w:val="0020104B"/>
    <w:rsid w:val="00215A61"/>
    <w:rsid w:val="00241AB3"/>
    <w:rsid w:val="00255393"/>
    <w:rsid w:val="00271922"/>
    <w:rsid w:val="00275649"/>
    <w:rsid w:val="0028635E"/>
    <w:rsid w:val="00292C54"/>
    <w:rsid w:val="002A0EDA"/>
    <w:rsid w:val="002A106F"/>
    <w:rsid w:val="002A7D2B"/>
    <w:rsid w:val="002B13EC"/>
    <w:rsid w:val="002B5721"/>
    <w:rsid w:val="002F4E6F"/>
    <w:rsid w:val="00302D1B"/>
    <w:rsid w:val="003229FE"/>
    <w:rsid w:val="00331C7C"/>
    <w:rsid w:val="00336593"/>
    <w:rsid w:val="00345329"/>
    <w:rsid w:val="00374D9D"/>
    <w:rsid w:val="00375007"/>
    <w:rsid w:val="00376D5A"/>
    <w:rsid w:val="00381072"/>
    <w:rsid w:val="003910FA"/>
    <w:rsid w:val="00395088"/>
    <w:rsid w:val="003D32B1"/>
    <w:rsid w:val="003D6468"/>
    <w:rsid w:val="003E7017"/>
    <w:rsid w:val="003F05FA"/>
    <w:rsid w:val="00401384"/>
    <w:rsid w:val="0040160B"/>
    <w:rsid w:val="004164D6"/>
    <w:rsid w:val="00446BD3"/>
    <w:rsid w:val="00497EA5"/>
    <w:rsid w:val="004B1BF1"/>
    <w:rsid w:val="004E6953"/>
    <w:rsid w:val="004F33EA"/>
    <w:rsid w:val="00507BF6"/>
    <w:rsid w:val="00531529"/>
    <w:rsid w:val="00564A9D"/>
    <w:rsid w:val="00581F4C"/>
    <w:rsid w:val="00585998"/>
    <w:rsid w:val="005929D5"/>
    <w:rsid w:val="005D7605"/>
    <w:rsid w:val="005E65EB"/>
    <w:rsid w:val="005F2D14"/>
    <w:rsid w:val="005F3676"/>
    <w:rsid w:val="00600D68"/>
    <w:rsid w:val="0061517F"/>
    <w:rsid w:val="0062013B"/>
    <w:rsid w:val="00635402"/>
    <w:rsid w:val="00637BED"/>
    <w:rsid w:val="00674042"/>
    <w:rsid w:val="00680FC3"/>
    <w:rsid w:val="0068121A"/>
    <w:rsid w:val="006959F3"/>
    <w:rsid w:val="006B47E1"/>
    <w:rsid w:val="006E4812"/>
    <w:rsid w:val="006F4E2F"/>
    <w:rsid w:val="0070093C"/>
    <w:rsid w:val="0070129F"/>
    <w:rsid w:val="007219D4"/>
    <w:rsid w:val="00765788"/>
    <w:rsid w:val="0077088D"/>
    <w:rsid w:val="00776367"/>
    <w:rsid w:val="00777BA7"/>
    <w:rsid w:val="007A6BD6"/>
    <w:rsid w:val="007C0218"/>
    <w:rsid w:val="007E445A"/>
    <w:rsid w:val="007E54FB"/>
    <w:rsid w:val="007F0596"/>
    <w:rsid w:val="007F49AE"/>
    <w:rsid w:val="008048F8"/>
    <w:rsid w:val="00821323"/>
    <w:rsid w:val="00840C13"/>
    <w:rsid w:val="00845F59"/>
    <w:rsid w:val="00851542"/>
    <w:rsid w:val="00852449"/>
    <w:rsid w:val="008550AF"/>
    <w:rsid w:val="00855E6C"/>
    <w:rsid w:val="00882EC1"/>
    <w:rsid w:val="00894CD0"/>
    <w:rsid w:val="008C0387"/>
    <w:rsid w:val="008D5C28"/>
    <w:rsid w:val="008E0B10"/>
    <w:rsid w:val="00907414"/>
    <w:rsid w:val="00921ABF"/>
    <w:rsid w:val="009340DE"/>
    <w:rsid w:val="009447B3"/>
    <w:rsid w:val="009675C0"/>
    <w:rsid w:val="00977123"/>
    <w:rsid w:val="00981BDB"/>
    <w:rsid w:val="00982012"/>
    <w:rsid w:val="00994D83"/>
    <w:rsid w:val="009A3547"/>
    <w:rsid w:val="009A71D6"/>
    <w:rsid w:val="009D5917"/>
    <w:rsid w:val="00A07A8A"/>
    <w:rsid w:val="00A14640"/>
    <w:rsid w:val="00A23EBE"/>
    <w:rsid w:val="00A30336"/>
    <w:rsid w:val="00A44BE9"/>
    <w:rsid w:val="00A830EF"/>
    <w:rsid w:val="00AA581F"/>
    <w:rsid w:val="00AA7120"/>
    <w:rsid w:val="00AC237E"/>
    <w:rsid w:val="00B154FE"/>
    <w:rsid w:val="00B26C4F"/>
    <w:rsid w:val="00B27A8E"/>
    <w:rsid w:val="00B5287D"/>
    <w:rsid w:val="00B57E00"/>
    <w:rsid w:val="00B6652E"/>
    <w:rsid w:val="00BA6808"/>
    <w:rsid w:val="00BB6614"/>
    <w:rsid w:val="00BF2002"/>
    <w:rsid w:val="00BF33F3"/>
    <w:rsid w:val="00C11898"/>
    <w:rsid w:val="00C13A07"/>
    <w:rsid w:val="00C433C4"/>
    <w:rsid w:val="00C473CA"/>
    <w:rsid w:val="00C679C4"/>
    <w:rsid w:val="00C80020"/>
    <w:rsid w:val="00C86732"/>
    <w:rsid w:val="00C93D64"/>
    <w:rsid w:val="00CA2D46"/>
    <w:rsid w:val="00CF191F"/>
    <w:rsid w:val="00CF2E9D"/>
    <w:rsid w:val="00D0037B"/>
    <w:rsid w:val="00D11DD8"/>
    <w:rsid w:val="00D13C0F"/>
    <w:rsid w:val="00D3429C"/>
    <w:rsid w:val="00D4376B"/>
    <w:rsid w:val="00D714EC"/>
    <w:rsid w:val="00D71F01"/>
    <w:rsid w:val="00D8419D"/>
    <w:rsid w:val="00D87570"/>
    <w:rsid w:val="00D94B75"/>
    <w:rsid w:val="00DA48F5"/>
    <w:rsid w:val="00DB2832"/>
    <w:rsid w:val="00DC5AD6"/>
    <w:rsid w:val="00DE063E"/>
    <w:rsid w:val="00DF3509"/>
    <w:rsid w:val="00E1367C"/>
    <w:rsid w:val="00E75975"/>
    <w:rsid w:val="00E9197D"/>
    <w:rsid w:val="00E93003"/>
    <w:rsid w:val="00E97DA5"/>
    <w:rsid w:val="00EC62D6"/>
    <w:rsid w:val="00ED094A"/>
    <w:rsid w:val="00ED364A"/>
    <w:rsid w:val="00EE0538"/>
    <w:rsid w:val="00F5231B"/>
    <w:rsid w:val="00F9318B"/>
    <w:rsid w:val="00F933A9"/>
    <w:rsid w:val="00FC7A79"/>
    <w:rsid w:val="00FD1D04"/>
    <w:rsid w:val="00FD3CBE"/>
    <w:rsid w:val="00FF2F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72"/>
    <w:rPr>
      <w:rFonts w:ascii="Arial" w:eastAsia="Calibri" w:hAnsi="Arial" w:cs="Times New Roman"/>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231B"/>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rsid w:val="00F5231B"/>
  </w:style>
  <w:style w:type="paragraph" w:styleId="Piedepgina">
    <w:name w:val="footer"/>
    <w:basedOn w:val="Normal"/>
    <w:link w:val="PiedepginaCar"/>
    <w:uiPriority w:val="99"/>
    <w:unhideWhenUsed/>
    <w:rsid w:val="00F5231B"/>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rsid w:val="00F5231B"/>
  </w:style>
  <w:style w:type="paragraph" w:styleId="Textonotapie">
    <w:name w:val="footnote text"/>
    <w:basedOn w:val="Normal"/>
    <w:link w:val="TextonotapieCar"/>
    <w:uiPriority w:val="99"/>
    <w:semiHidden/>
    <w:unhideWhenUsed/>
    <w:rsid w:val="00FF2F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2FFF"/>
    <w:rPr>
      <w:rFonts w:ascii="Arial" w:eastAsia="Calibri" w:hAnsi="Arial" w:cs="Times New Roman"/>
      <w:sz w:val="20"/>
      <w:szCs w:val="20"/>
      <w:lang w:val="es-CL"/>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semiHidden/>
    <w:unhideWhenUsed/>
    <w:rsid w:val="00FF2FFF"/>
    <w:rPr>
      <w:rFonts w:ascii="Times New Roman" w:hAnsi="Times New Roman" w:cs="Times New Roman" w:hint="default"/>
      <w:vertAlign w:val="superscript"/>
    </w:rPr>
  </w:style>
  <w:style w:type="paragraph" w:styleId="Prrafodelista">
    <w:name w:val="List Paragraph"/>
    <w:basedOn w:val="Normal"/>
    <w:uiPriority w:val="34"/>
    <w:qFormat/>
    <w:rsid w:val="004F33EA"/>
    <w:pPr>
      <w:ind w:left="720"/>
      <w:contextualSpacing/>
    </w:pPr>
  </w:style>
  <w:style w:type="paragraph" w:styleId="Textocomentario">
    <w:name w:val="annotation text"/>
    <w:basedOn w:val="Normal"/>
    <w:link w:val="TextocomentarioCar"/>
    <w:uiPriority w:val="99"/>
    <w:semiHidden/>
    <w:unhideWhenUsed/>
    <w:rsid w:val="008550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50AF"/>
    <w:rPr>
      <w:rFonts w:ascii="Arial" w:eastAsia="Calibri" w:hAnsi="Arial" w:cs="Times New Roman"/>
      <w:sz w:val="20"/>
      <w:szCs w:val="20"/>
      <w:lang w:val="es-CL"/>
    </w:rPr>
  </w:style>
  <w:style w:type="paragraph" w:styleId="HTMLconformatoprevio">
    <w:name w:val="HTML Preformatted"/>
    <w:basedOn w:val="Normal"/>
    <w:link w:val="HTMLconformatoprevioCar"/>
    <w:uiPriority w:val="99"/>
    <w:semiHidden/>
    <w:unhideWhenUsed/>
    <w:rsid w:val="00120982"/>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120982"/>
    <w:rPr>
      <w:rFonts w:ascii="Consolas" w:eastAsia="Calibri" w:hAnsi="Consolas" w:cs="Times New Roman"/>
      <w:sz w:val="20"/>
      <w:szCs w:val="20"/>
      <w:lang w:val="es-CL"/>
    </w:rPr>
  </w:style>
  <w:style w:type="paragraph" w:styleId="Textodeglobo">
    <w:name w:val="Balloon Text"/>
    <w:basedOn w:val="Normal"/>
    <w:link w:val="TextodegloboCar"/>
    <w:uiPriority w:val="99"/>
    <w:semiHidden/>
    <w:unhideWhenUsed/>
    <w:rsid w:val="00ED09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094A"/>
    <w:rPr>
      <w:rFonts w:ascii="Segoe UI" w:eastAsia="Calibri" w:hAnsi="Segoe UI" w:cs="Segoe UI"/>
      <w:sz w:val="18"/>
      <w:szCs w:val="18"/>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72"/>
    <w:rPr>
      <w:rFonts w:ascii="Arial" w:eastAsia="Calibri" w:hAnsi="Arial" w:cs="Times New Roman"/>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231B"/>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rsid w:val="00F5231B"/>
  </w:style>
  <w:style w:type="paragraph" w:styleId="Piedepgina">
    <w:name w:val="footer"/>
    <w:basedOn w:val="Normal"/>
    <w:link w:val="PiedepginaCar"/>
    <w:uiPriority w:val="99"/>
    <w:unhideWhenUsed/>
    <w:rsid w:val="00F5231B"/>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rsid w:val="00F5231B"/>
  </w:style>
  <w:style w:type="paragraph" w:styleId="Textonotapie">
    <w:name w:val="footnote text"/>
    <w:basedOn w:val="Normal"/>
    <w:link w:val="TextonotapieCar"/>
    <w:uiPriority w:val="99"/>
    <w:semiHidden/>
    <w:unhideWhenUsed/>
    <w:rsid w:val="00FF2F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2FFF"/>
    <w:rPr>
      <w:rFonts w:ascii="Arial" w:eastAsia="Calibri" w:hAnsi="Arial" w:cs="Times New Roman"/>
      <w:sz w:val="20"/>
      <w:szCs w:val="20"/>
      <w:lang w:val="es-CL"/>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semiHidden/>
    <w:unhideWhenUsed/>
    <w:rsid w:val="00FF2FFF"/>
    <w:rPr>
      <w:rFonts w:ascii="Times New Roman" w:hAnsi="Times New Roman" w:cs="Times New Roman" w:hint="default"/>
      <w:vertAlign w:val="superscript"/>
    </w:rPr>
  </w:style>
  <w:style w:type="paragraph" w:styleId="Prrafodelista">
    <w:name w:val="List Paragraph"/>
    <w:basedOn w:val="Normal"/>
    <w:uiPriority w:val="34"/>
    <w:qFormat/>
    <w:rsid w:val="004F33EA"/>
    <w:pPr>
      <w:ind w:left="720"/>
      <w:contextualSpacing/>
    </w:pPr>
  </w:style>
  <w:style w:type="paragraph" w:styleId="Textocomentario">
    <w:name w:val="annotation text"/>
    <w:basedOn w:val="Normal"/>
    <w:link w:val="TextocomentarioCar"/>
    <w:uiPriority w:val="99"/>
    <w:semiHidden/>
    <w:unhideWhenUsed/>
    <w:rsid w:val="008550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50AF"/>
    <w:rPr>
      <w:rFonts w:ascii="Arial" w:eastAsia="Calibri" w:hAnsi="Arial" w:cs="Times New Roman"/>
      <w:sz w:val="20"/>
      <w:szCs w:val="20"/>
      <w:lang w:val="es-CL"/>
    </w:rPr>
  </w:style>
  <w:style w:type="paragraph" w:styleId="HTMLconformatoprevio">
    <w:name w:val="HTML Preformatted"/>
    <w:basedOn w:val="Normal"/>
    <w:link w:val="HTMLconformatoprevioCar"/>
    <w:uiPriority w:val="99"/>
    <w:semiHidden/>
    <w:unhideWhenUsed/>
    <w:rsid w:val="00120982"/>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120982"/>
    <w:rPr>
      <w:rFonts w:ascii="Consolas" w:eastAsia="Calibri" w:hAnsi="Consolas" w:cs="Times New Roman"/>
      <w:sz w:val="20"/>
      <w:szCs w:val="20"/>
      <w:lang w:val="es-CL"/>
    </w:rPr>
  </w:style>
  <w:style w:type="paragraph" w:styleId="Textodeglobo">
    <w:name w:val="Balloon Text"/>
    <w:basedOn w:val="Normal"/>
    <w:link w:val="TextodegloboCar"/>
    <w:uiPriority w:val="99"/>
    <w:semiHidden/>
    <w:unhideWhenUsed/>
    <w:rsid w:val="00ED09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094A"/>
    <w:rPr>
      <w:rFonts w:ascii="Segoe UI" w:eastAsia="Calibri" w:hAnsi="Segoe UI" w:cs="Segoe UI"/>
      <w:sz w:val="18"/>
      <w:szCs w:val="18"/>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357">
      <w:bodyDiv w:val="1"/>
      <w:marLeft w:val="0"/>
      <w:marRight w:val="0"/>
      <w:marTop w:val="0"/>
      <w:marBottom w:val="0"/>
      <w:divBdr>
        <w:top w:val="none" w:sz="0" w:space="0" w:color="auto"/>
        <w:left w:val="none" w:sz="0" w:space="0" w:color="auto"/>
        <w:bottom w:val="none" w:sz="0" w:space="0" w:color="auto"/>
        <w:right w:val="none" w:sz="0" w:space="0" w:color="auto"/>
      </w:divBdr>
    </w:div>
    <w:div w:id="1100876020">
      <w:bodyDiv w:val="1"/>
      <w:marLeft w:val="0"/>
      <w:marRight w:val="0"/>
      <w:marTop w:val="0"/>
      <w:marBottom w:val="0"/>
      <w:divBdr>
        <w:top w:val="none" w:sz="0" w:space="0" w:color="auto"/>
        <w:left w:val="none" w:sz="0" w:space="0" w:color="auto"/>
        <w:bottom w:val="none" w:sz="0" w:space="0" w:color="auto"/>
        <w:right w:val="none" w:sz="0" w:space="0" w:color="auto"/>
      </w:divBdr>
    </w:div>
    <w:div w:id="1142845678">
      <w:bodyDiv w:val="1"/>
      <w:marLeft w:val="0"/>
      <w:marRight w:val="0"/>
      <w:marTop w:val="0"/>
      <w:marBottom w:val="0"/>
      <w:divBdr>
        <w:top w:val="none" w:sz="0" w:space="0" w:color="auto"/>
        <w:left w:val="none" w:sz="0" w:space="0" w:color="auto"/>
        <w:bottom w:val="none" w:sz="0" w:space="0" w:color="auto"/>
        <w:right w:val="none" w:sz="0" w:space="0" w:color="auto"/>
      </w:divBdr>
    </w:div>
    <w:div w:id="1241913883">
      <w:bodyDiv w:val="1"/>
      <w:marLeft w:val="0"/>
      <w:marRight w:val="0"/>
      <w:marTop w:val="0"/>
      <w:marBottom w:val="0"/>
      <w:divBdr>
        <w:top w:val="none" w:sz="0" w:space="0" w:color="auto"/>
        <w:left w:val="none" w:sz="0" w:space="0" w:color="auto"/>
        <w:bottom w:val="none" w:sz="0" w:space="0" w:color="auto"/>
        <w:right w:val="none" w:sz="0" w:space="0" w:color="auto"/>
      </w:divBdr>
    </w:div>
    <w:div w:id="1398093788">
      <w:bodyDiv w:val="1"/>
      <w:marLeft w:val="0"/>
      <w:marRight w:val="0"/>
      <w:marTop w:val="0"/>
      <w:marBottom w:val="0"/>
      <w:divBdr>
        <w:top w:val="none" w:sz="0" w:space="0" w:color="auto"/>
        <w:left w:val="none" w:sz="0" w:space="0" w:color="auto"/>
        <w:bottom w:val="none" w:sz="0" w:space="0" w:color="auto"/>
        <w:right w:val="none" w:sz="0" w:space="0" w:color="auto"/>
      </w:divBdr>
    </w:div>
    <w:div w:id="1547177022">
      <w:bodyDiv w:val="1"/>
      <w:marLeft w:val="0"/>
      <w:marRight w:val="0"/>
      <w:marTop w:val="0"/>
      <w:marBottom w:val="0"/>
      <w:divBdr>
        <w:top w:val="none" w:sz="0" w:space="0" w:color="auto"/>
        <w:left w:val="none" w:sz="0" w:space="0" w:color="auto"/>
        <w:bottom w:val="none" w:sz="0" w:space="0" w:color="auto"/>
        <w:right w:val="none" w:sz="0" w:space="0" w:color="auto"/>
      </w:divBdr>
    </w:div>
    <w:div w:id="1586062853">
      <w:bodyDiv w:val="1"/>
      <w:marLeft w:val="0"/>
      <w:marRight w:val="0"/>
      <w:marTop w:val="0"/>
      <w:marBottom w:val="0"/>
      <w:divBdr>
        <w:top w:val="none" w:sz="0" w:space="0" w:color="auto"/>
        <w:left w:val="none" w:sz="0" w:space="0" w:color="auto"/>
        <w:bottom w:val="none" w:sz="0" w:space="0" w:color="auto"/>
        <w:right w:val="none" w:sz="0" w:space="0" w:color="auto"/>
      </w:divBdr>
    </w:div>
    <w:div w:id="1652320809">
      <w:bodyDiv w:val="1"/>
      <w:marLeft w:val="0"/>
      <w:marRight w:val="0"/>
      <w:marTop w:val="0"/>
      <w:marBottom w:val="0"/>
      <w:divBdr>
        <w:top w:val="none" w:sz="0" w:space="0" w:color="auto"/>
        <w:left w:val="none" w:sz="0" w:space="0" w:color="auto"/>
        <w:bottom w:val="none" w:sz="0" w:space="0" w:color="auto"/>
        <w:right w:val="none" w:sz="0" w:space="0" w:color="auto"/>
      </w:divBdr>
    </w:div>
    <w:div w:id="1879470212">
      <w:bodyDiv w:val="1"/>
      <w:marLeft w:val="0"/>
      <w:marRight w:val="0"/>
      <w:marTop w:val="0"/>
      <w:marBottom w:val="0"/>
      <w:divBdr>
        <w:top w:val="none" w:sz="0" w:space="0" w:color="auto"/>
        <w:left w:val="none" w:sz="0" w:space="0" w:color="auto"/>
        <w:bottom w:val="none" w:sz="0" w:space="0" w:color="auto"/>
        <w:right w:val="none" w:sz="0" w:space="0" w:color="auto"/>
      </w:divBdr>
    </w:div>
    <w:div w:id="188929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4F34B-D331-4ED4-9990-47098D51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6781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Fundación Iguales</dc:creator>
  <cp:lastModifiedBy>MTIBARRA</cp:lastModifiedBy>
  <cp:revision>2</cp:revision>
  <cp:lastPrinted>2017-11-27T17:30:00Z</cp:lastPrinted>
  <dcterms:created xsi:type="dcterms:W3CDTF">2017-12-13T18:22:00Z</dcterms:created>
  <dcterms:modified xsi:type="dcterms:W3CDTF">2017-12-13T18:22:00Z</dcterms:modified>
</cp:coreProperties>
</file>