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BB19" w14:textId="77777777" w:rsidR="00B928F4" w:rsidRDefault="00B928F4" w:rsidP="002648A9">
      <w:pPr>
        <w:jc w:val="center"/>
        <w:rPr>
          <w:b/>
          <w:caps/>
        </w:rPr>
      </w:pPr>
      <w:bookmarkStart w:id="0" w:name="_GoBack"/>
      <w:bookmarkEnd w:id="0"/>
    </w:p>
    <w:p w14:paraId="1C417DD4" w14:textId="01A5DCD1" w:rsidR="00B928F4" w:rsidRDefault="002648A9" w:rsidP="00B928F4">
      <w:pPr>
        <w:jc w:val="center"/>
        <w:rPr>
          <w:b/>
          <w:caps/>
        </w:rPr>
      </w:pPr>
      <w:r w:rsidRPr="00F90832">
        <w:rPr>
          <w:b/>
          <w:caps/>
        </w:rPr>
        <w:t xml:space="preserve">Proyecto de ley </w:t>
      </w:r>
      <w:r w:rsidRPr="002648A9">
        <w:rPr>
          <w:b/>
          <w:caps/>
        </w:rPr>
        <w:t>que modifica el artículo 3° del decreto ley N° 3.059, de 1979, para autorizar el cabotaje de pasajeros a cruceros de bandera extr</w:t>
      </w:r>
      <w:r w:rsidR="00B928F4">
        <w:rPr>
          <w:b/>
          <w:caps/>
        </w:rPr>
        <w:t>anjera, en los casos que señala</w:t>
      </w:r>
    </w:p>
    <w:p w14:paraId="17084E6C" w14:textId="39A3A618" w:rsidR="002648A9" w:rsidRPr="00A45D0D" w:rsidRDefault="002648A9" w:rsidP="00A45D0D">
      <w:pPr>
        <w:jc w:val="center"/>
        <w:rPr>
          <w:b/>
          <w:caps/>
        </w:rPr>
      </w:pPr>
      <w:r>
        <w:rPr>
          <w:b/>
          <w:caps/>
        </w:rPr>
        <w:t>BOLETÍN N°9.656-15</w:t>
      </w:r>
    </w:p>
    <w:p w14:paraId="34B551E3" w14:textId="476DB0C3" w:rsidR="002648A9" w:rsidRDefault="002648A9" w:rsidP="00C708B7">
      <w:pPr>
        <w:pStyle w:val="Ttulo2"/>
        <w:numPr>
          <w:ilvl w:val="0"/>
          <w:numId w:val="4"/>
        </w:numPr>
        <w:rPr>
          <w:b/>
        </w:rPr>
      </w:pPr>
      <w:r>
        <w:rPr>
          <w:b/>
        </w:rPr>
        <w:t>RESUMEN</w:t>
      </w:r>
      <w:r w:rsidR="00654E96">
        <w:rPr>
          <w:b/>
        </w:rPr>
        <w:t xml:space="preserve"> EJECUTIVO</w:t>
      </w:r>
    </w:p>
    <w:tbl>
      <w:tblPr>
        <w:tblStyle w:val="Tablaconcuadrcula"/>
        <w:tblW w:w="14176" w:type="dxa"/>
        <w:tblInd w:w="-289" w:type="dxa"/>
        <w:tblLook w:val="04A0" w:firstRow="1" w:lastRow="0" w:firstColumn="1" w:lastColumn="0" w:noHBand="0" w:noVBand="1"/>
      </w:tblPr>
      <w:tblGrid>
        <w:gridCol w:w="3119"/>
        <w:gridCol w:w="11057"/>
      </w:tblGrid>
      <w:tr w:rsidR="003837C2" w14:paraId="00CC64C7" w14:textId="77777777" w:rsidTr="005206FD">
        <w:tc>
          <w:tcPr>
            <w:tcW w:w="3119" w:type="dxa"/>
          </w:tcPr>
          <w:p w14:paraId="78422087" w14:textId="14FE40D3" w:rsidR="003837C2" w:rsidRDefault="003837C2" w:rsidP="002648A9">
            <w:r>
              <w:t>Fecha de ingreso</w:t>
            </w:r>
          </w:p>
        </w:tc>
        <w:tc>
          <w:tcPr>
            <w:tcW w:w="11057" w:type="dxa"/>
          </w:tcPr>
          <w:p w14:paraId="1BE6D029" w14:textId="7F296E4E" w:rsidR="003837C2" w:rsidRDefault="003837C2" w:rsidP="002648A9">
            <w:r>
              <w:t>Miércoles 15 de octubre de 2014</w:t>
            </w:r>
          </w:p>
        </w:tc>
      </w:tr>
      <w:tr w:rsidR="003837C2" w14:paraId="0C6DEE29" w14:textId="77777777" w:rsidTr="005206FD">
        <w:tc>
          <w:tcPr>
            <w:tcW w:w="3119" w:type="dxa"/>
          </w:tcPr>
          <w:p w14:paraId="04B4F7A2" w14:textId="0AF8F879" w:rsidR="003837C2" w:rsidRDefault="003837C2" w:rsidP="002648A9">
            <w:r>
              <w:t>Cámara de Origen</w:t>
            </w:r>
          </w:p>
        </w:tc>
        <w:tc>
          <w:tcPr>
            <w:tcW w:w="11057" w:type="dxa"/>
          </w:tcPr>
          <w:p w14:paraId="2D8CC4FD" w14:textId="5BE25CC5" w:rsidR="003837C2" w:rsidRDefault="003837C2" w:rsidP="002648A9">
            <w:r>
              <w:t>Senado</w:t>
            </w:r>
          </w:p>
        </w:tc>
      </w:tr>
      <w:tr w:rsidR="003837C2" w14:paraId="2E826776" w14:textId="77777777" w:rsidTr="005206FD">
        <w:tc>
          <w:tcPr>
            <w:tcW w:w="3119" w:type="dxa"/>
          </w:tcPr>
          <w:p w14:paraId="7706F6E7" w14:textId="29D6347E" w:rsidR="003837C2" w:rsidRDefault="003837C2" w:rsidP="002648A9">
            <w:r>
              <w:t>Iniciativa</w:t>
            </w:r>
          </w:p>
        </w:tc>
        <w:tc>
          <w:tcPr>
            <w:tcW w:w="11057" w:type="dxa"/>
          </w:tcPr>
          <w:p w14:paraId="613AF97F" w14:textId="570CAA4E" w:rsidR="003837C2" w:rsidRDefault="003837C2" w:rsidP="002648A9">
            <w:r>
              <w:t>Moción</w:t>
            </w:r>
          </w:p>
        </w:tc>
      </w:tr>
      <w:tr w:rsidR="003837C2" w14:paraId="66FF081D" w14:textId="77777777" w:rsidTr="005206FD">
        <w:tc>
          <w:tcPr>
            <w:tcW w:w="3119" w:type="dxa"/>
          </w:tcPr>
          <w:p w14:paraId="0844DC32" w14:textId="755040FF" w:rsidR="003837C2" w:rsidRDefault="003837C2" w:rsidP="002648A9">
            <w:r>
              <w:t>Autores</w:t>
            </w:r>
          </w:p>
        </w:tc>
        <w:tc>
          <w:tcPr>
            <w:tcW w:w="11057" w:type="dxa"/>
          </w:tcPr>
          <w:p w14:paraId="54C00EA7" w14:textId="668C4057" w:rsidR="003837C2" w:rsidRDefault="003837C2" w:rsidP="002648A9">
            <w:r>
              <w:t xml:space="preserve">Alejandro Navarro, Alejandro </w:t>
            </w:r>
            <w:proofErr w:type="spellStart"/>
            <w:r>
              <w:t>Guillier</w:t>
            </w:r>
            <w:proofErr w:type="spellEnd"/>
            <w:r>
              <w:t>, Ricardo Lagos W.</w:t>
            </w:r>
          </w:p>
        </w:tc>
      </w:tr>
      <w:tr w:rsidR="003837C2" w14:paraId="7B8525BB" w14:textId="77777777" w:rsidTr="005206FD">
        <w:tc>
          <w:tcPr>
            <w:tcW w:w="3119" w:type="dxa"/>
          </w:tcPr>
          <w:p w14:paraId="27BB0FFC" w14:textId="303D00D2" w:rsidR="003837C2" w:rsidRDefault="003837C2" w:rsidP="002648A9">
            <w:r>
              <w:t>Trámite</w:t>
            </w:r>
          </w:p>
        </w:tc>
        <w:tc>
          <w:tcPr>
            <w:tcW w:w="11057" w:type="dxa"/>
          </w:tcPr>
          <w:p w14:paraId="4E610838" w14:textId="676ABBEF" w:rsidR="003837C2" w:rsidRDefault="003837C2" w:rsidP="002648A9">
            <w:r>
              <w:t>Primer Trámite Constitucional en el Senado. Se encuentra en Segundo Informe de Comisión de Trabajo y Previsión Social</w:t>
            </w:r>
          </w:p>
        </w:tc>
      </w:tr>
      <w:tr w:rsidR="003837C2" w14:paraId="27443007" w14:textId="77777777" w:rsidTr="005206FD">
        <w:tc>
          <w:tcPr>
            <w:tcW w:w="3119" w:type="dxa"/>
          </w:tcPr>
          <w:p w14:paraId="443ECF3F" w14:textId="33F85C54" w:rsidR="003837C2" w:rsidRDefault="003837C2" w:rsidP="002648A9">
            <w:r>
              <w:t>Urgencia</w:t>
            </w:r>
          </w:p>
        </w:tc>
        <w:tc>
          <w:tcPr>
            <w:tcW w:w="11057" w:type="dxa"/>
          </w:tcPr>
          <w:p w14:paraId="38A183A5" w14:textId="56F802CA" w:rsidR="003837C2" w:rsidRDefault="00A45D0D" w:rsidP="002648A9">
            <w:r>
              <w:t>Suma</w:t>
            </w:r>
          </w:p>
        </w:tc>
      </w:tr>
      <w:tr w:rsidR="003837C2" w14:paraId="46036495" w14:textId="77777777" w:rsidTr="005206FD">
        <w:tc>
          <w:tcPr>
            <w:tcW w:w="3119" w:type="dxa"/>
          </w:tcPr>
          <w:p w14:paraId="5FA6C536" w14:textId="1F8AE651" w:rsidR="003837C2" w:rsidRDefault="008E040C" w:rsidP="008E040C">
            <w:r>
              <w:t xml:space="preserve">Breve historia del </w:t>
            </w:r>
            <w:proofErr w:type="spellStart"/>
            <w:r>
              <w:t>PdL</w:t>
            </w:r>
            <w:proofErr w:type="spellEnd"/>
          </w:p>
        </w:tc>
        <w:tc>
          <w:tcPr>
            <w:tcW w:w="11057" w:type="dxa"/>
          </w:tcPr>
          <w:p w14:paraId="7848976E" w14:textId="0D260DA6" w:rsidR="008E040C" w:rsidRDefault="008E040C" w:rsidP="008E040C">
            <w:pPr>
              <w:pStyle w:val="Prrafodelista"/>
              <w:numPr>
                <w:ilvl w:val="0"/>
                <w:numId w:val="3"/>
              </w:numPr>
              <w:jc w:val="both"/>
            </w:pPr>
            <w:r>
              <w:t xml:space="preserve">Octubre 2014: Ingresa y pasa a Comisión de Transportes y Telecomunicaciones (primer informe). </w:t>
            </w:r>
          </w:p>
          <w:p w14:paraId="4EC16C79" w14:textId="06DD8978" w:rsidR="003837C2" w:rsidRDefault="008E040C" w:rsidP="008E040C">
            <w:pPr>
              <w:pStyle w:val="Prrafodelista"/>
              <w:numPr>
                <w:ilvl w:val="0"/>
                <w:numId w:val="3"/>
              </w:numPr>
              <w:jc w:val="both"/>
            </w:pPr>
            <w:r>
              <w:t>Mayo</w:t>
            </w:r>
            <w:r w:rsidR="003837C2">
              <w:t xml:space="preserve"> </w:t>
            </w:r>
            <w:r>
              <w:t xml:space="preserve">2016: </w:t>
            </w:r>
            <w:r w:rsidR="003837C2">
              <w:t xml:space="preserve"> </w:t>
            </w:r>
            <w:r>
              <w:t>F</w:t>
            </w:r>
            <w:r w:rsidR="003837C2">
              <w:t>ue aprobado en general, por unanimidad (12 votos a favor). Se devuelve a la Comisión de Transportes y Telecomunicaciones para segundo informe, en particular.</w:t>
            </w:r>
          </w:p>
          <w:p w14:paraId="32AE3F39" w14:textId="38BACFC2" w:rsidR="008E040C" w:rsidRDefault="008E040C" w:rsidP="008E040C">
            <w:pPr>
              <w:pStyle w:val="Prrafodelista"/>
              <w:numPr>
                <w:ilvl w:val="0"/>
                <w:numId w:val="3"/>
              </w:numPr>
              <w:jc w:val="both"/>
            </w:pPr>
            <w:r>
              <w:t>Octubre 2017: Segundo informe de Comisión de Transportes y Telecomunicaciones.</w:t>
            </w:r>
          </w:p>
          <w:p w14:paraId="71C1126D" w14:textId="6D62F8C6" w:rsidR="008E040C" w:rsidRDefault="008E040C" w:rsidP="008E040C">
            <w:pPr>
              <w:pStyle w:val="Prrafodelista"/>
              <w:numPr>
                <w:ilvl w:val="0"/>
                <w:numId w:val="3"/>
              </w:numPr>
              <w:jc w:val="both"/>
            </w:pPr>
            <w:r>
              <w:t>Abril 2018:  Discusión particular, se solicita nuevo informe (otro nuevo segundo informe)</w:t>
            </w:r>
          </w:p>
          <w:p w14:paraId="08EEC6FC" w14:textId="5D604DEE" w:rsidR="004C5725" w:rsidRDefault="004C5725" w:rsidP="008E040C">
            <w:pPr>
              <w:pStyle w:val="Prrafodelista"/>
              <w:numPr>
                <w:ilvl w:val="0"/>
                <w:numId w:val="3"/>
              </w:numPr>
              <w:jc w:val="both"/>
            </w:pPr>
            <w:r>
              <w:t>Abril 2018: Vence plazo para indicaciones (se rechazan todas en la Comisión de Transportes y Telec.)</w:t>
            </w:r>
          </w:p>
          <w:p w14:paraId="3D90670C" w14:textId="57CA120E" w:rsidR="004C5725" w:rsidRDefault="004C5725" w:rsidP="008E040C">
            <w:pPr>
              <w:pStyle w:val="Prrafodelista"/>
              <w:numPr>
                <w:ilvl w:val="0"/>
                <w:numId w:val="3"/>
              </w:numPr>
              <w:jc w:val="both"/>
            </w:pPr>
            <w:r>
              <w:t>Mayo 2018: Segundo informe Comisión de Transportes y Telecomunicaciones.</w:t>
            </w:r>
          </w:p>
          <w:p w14:paraId="40F1CCDA" w14:textId="77777777" w:rsidR="008E040C" w:rsidRDefault="004C5725" w:rsidP="008E040C">
            <w:pPr>
              <w:pStyle w:val="Prrafodelista"/>
              <w:numPr>
                <w:ilvl w:val="0"/>
                <w:numId w:val="3"/>
              </w:numPr>
              <w:jc w:val="both"/>
            </w:pPr>
            <w:r>
              <w:t>Mayo 2018:</w:t>
            </w:r>
            <w:r w:rsidR="007A7F0A">
              <w:t xml:space="preserve"> Pasa a Comisión de Trabajo y previsión Social.</w:t>
            </w:r>
            <w:r>
              <w:t xml:space="preserve"> Cuenta el Mensaje que hace presente la urgencia Simple.</w:t>
            </w:r>
          </w:p>
          <w:p w14:paraId="1BE89E08" w14:textId="30525B91" w:rsidR="00A45D0D" w:rsidRDefault="00A45D0D" w:rsidP="008E040C">
            <w:pPr>
              <w:pStyle w:val="Prrafodelista"/>
              <w:numPr>
                <w:ilvl w:val="0"/>
                <w:numId w:val="3"/>
              </w:numPr>
              <w:jc w:val="both"/>
            </w:pPr>
            <w:r>
              <w:t>Junio 2018: Suma urgencia</w:t>
            </w:r>
          </w:p>
        </w:tc>
      </w:tr>
      <w:tr w:rsidR="00A52BB5" w14:paraId="73B7D57E" w14:textId="77777777" w:rsidTr="005206FD">
        <w:tc>
          <w:tcPr>
            <w:tcW w:w="3119" w:type="dxa"/>
          </w:tcPr>
          <w:p w14:paraId="13E99DAD" w14:textId="50EEC36B" w:rsidR="00A52BB5" w:rsidRDefault="00A52BB5" w:rsidP="002648A9"/>
        </w:tc>
        <w:tc>
          <w:tcPr>
            <w:tcW w:w="11057" w:type="dxa"/>
          </w:tcPr>
          <w:p w14:paraId="71CAE27D" w14:textId="4FDF5B94" w:rsidR="007A7F0A" w:rsidRDefault="007A7F0A" w:rsidP="005206FD">
            <w:pPr>
              <w:ind w:left="2124" w:hanging="2124"/>
              <w:jc w:val="both"/>
            </w:pPr>
            <w:r>
              <w:t>El p</w:t>
            </w:r>
            <w:r w:rsidR="004C5725">
              <w:t>royecto busca modifica</w:t>
            </w:r>
            <w:r>
              <w:t>r la Ley de Fomento a la Marina</w:t>
            </w:r>
            <w:r w:rsidR="005206FD">
              <w:t xml:space="preserve"> </w:t>
            </w:r>
            <w:r w:rsidR="004C5725">
              <w:t xml:space="preserve">Mercante (D.L. 3.059) con el objeto de </w:t>
            </w:r>
            <w:r w:rsidR="004C5725" w:rsidRPr="002648A9">
              <w:t>autoriza</w:t>
            </w:r>
            <w:r w:rsidR="004C5725">
              <w:t>r</w:t>
            </w:r>
            <w:r>
              <w:t xml:space="preserve"> el cabotaje de</w:t>
            </w:r>
          </w:p>
          <w:p w14:paraId="08306C8B" w14:textId="30AA7B9D" w:rsidR="007A7F0A" w:rsidRDefault="004C5725" w:rsidP="005206FD">
            <w:pPr>
              <w:ind w:left="2124" w:hanging="2124"/>
              <w:jc w:val="both"/>
            </w:pPr>
            <w:r w:rsidRPr="002648A9">
              <w:t>pasajeros a cruceros extra</w:t>
            </w:r>
            <w:r w:rsidR="005206FD">
              <w:t xml:space="preserve">njeros, cuando estos tengan una </w:t>
            </w:r>
            <w:r w:rsidRPr="002648A9">
              <w:t>capacidad superior a 400 pasaj</w:t>
            </w:r>
            <w:r w:rsidR="007A7F0A">
              <w:t>eros, o cuando la capacidad sea</w:t>
            </w:r>
          </w:p>
          <w:p w14:paraId="0094120F" w14:textId="209096F1" w:rsidR="004C5725" w:rsidRDefault="004C5725" w:rsidP="005206FD">
            <w:pPr>
              <w:ind w:left="2124" w:hanging="2124"/>
              <w:jc w:val="both"/>
            </w:pPr>
            <w:r w:rsidRPr="002648A9">
              <w:t>inferior, si en la ruta especifica no</w:t>
            </w:r>
            <w:r w:rsidR="005206FD">
              <w:t xml:space="preserve"> exista disponibilidad de naves </w:t>
            </w:r>
            <w:r w:rsidRPr="002648A9">
              <w:t>chilenas</w:t>
            </w:r>
            <w:r>
              <w:t>.</w:t>
            </w:r>
          </w:p>
          <w:p w14:paraId="67ED24CF" w14:textId="75CE68CE" w:rsidR="007A7F0A" w:rsidRDefault="004C5725" w:rsidP="005206FD">
            <w:pPr>
              <w:ind w:left="2124" w:hanging="2124"/>
              <w:jc w:val="both"/>
            </w:pPr>
            <w:r>
              <w:t>La propuesta recoge el</w:t>
            </w:r>
            <w:r w:rsidR="007A7F0A">
              <w:t xml:space="preserve"> planteami</w:t>
            </w:r>
            <w:r w:rsidR="005206FD">
              <w:t xml:space="preserve">ento realizado por la </w:t>
            </w:r>
            <w:r>
              <w:t xml:space="preserve">Corporación Puertos del </w:t>
            </w:r>
            <w:proofErr w:type="spellStart"/>
            <w:r>
              <w:t>Conosur</w:t>
            </w:r>
            <w:proofErr w:type="spellEnd"/>
            <w:r>
              <w:t xml:space="preserve">, </w:t>
            </w:r>
            <w:r w:rsidR="007A7F0A">
              <w:t>con la limitación señalada (400</w:t>
            </w:r>
          </w:p>
          <w:p w14:paraId="4B857F9F" w14:textId="3A881324" w:rsidR="004C5725" w:rsidRDefault="004C5725" w:rsidP="005206FD">
            <w:pPr>
              <w:ind w:left="2124" w:hanging="2124"/>
              <w:jc w:val="both"/>
            </w:pPr>
            <w:r>
              <w:t>pasajeros o ausencia de rut</w:t>
            </w:r>
            <w:r w:rsidR="005206FD">
              <w:t xml:space="preserve">as de cruceros nacionales) para </w:t>
            </w:r>
            <w:r>
              <w:t xml:space="preserve">proteger la industria nacional. </w:t>
            </w:r>
          </w:p>
          <w:p w14:paraId="0452B35E" w14:textId="0E08BF00" w:rsidR="00A52BB5" w:rsidRDefault="00A52BB5" w:rsidP="007A7F0A">
            <w:pPr>
              <w:jc w:val="both"/>
            </w:pPr>
          </w:p>
        </w:tc>
      </w:tr>
    </w:tbl>
    <w:p w14:paraId="1EE0F480" w14:textId="395EDB42" w:rsidR="003364F1" w:rsidRDefault="00B928F4" w:rsidP="00B928F4">
      <w:pPr>
        <w:ind w:left="2124" w:hanging="2124"/>
        <w:jc w:val="both"/>
      </w:pPr>
      <w:r>
        <w:lastRenderedPageBreak/>
        <w:tab/>
      </w:r>
    </w:p>
    <w:p w14:paraId="40346850" w14:textId="2C46835A" w:rsidR="002648A9" w:rsidRPr="005A52D2" w:rsidRDefault="00E31783" w:rsidP="005A52D2">
      <w:pPr>
        <w:pStyle w:val="Ttulo2"/>
        <w:numPr>
          <w:ilvl w:val="0"/>
          <w:numId w:val="4"/>
        </w:numPr>
        <w:rPr>
          <w:b/>
        </w:rPr>
      </w:pPr>
      <w:r w:rsidRPr="00C708B7">
        <w:rPr>
          <w:b/>
        </w:rPr>
        <w:t>TEXTO PROPUESTO</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9491"/>
      </w:tblGrid>
      <w:tr w:rsidR="00BF3368" w:rsidRPr="00F92F1F" w14:paraId="5A78E180" w14:textId="77777777" w:rsidTr="00BF3368">
        <w:trPr>
          <w:trHeight w:val="531"/>
        </w:trPr>
        <w:tc>
          <w:tcPr>
            <w:tcW w:w="4254" w:type="dxa"/>
            <w:shd w:val="clear" w:color="auto" w:fill="auto"/>
          </w:tcPr>
          <w:p w14:paraId="54C33AA3" w14:textId="77777777" w:rsidR="00BF3368" w:rsidRDefault="00BF3368" w:rsidP="00BF3368">
            <w:pPr>
              <w:pStyle w:val="Prrafodelista"/>
              <w:spacing w:after="0" w:line="276" w:lineRule="auto"/>
              <w:ind w:left="1080"/>
              <w:rPr>
                <w:rFonts w:ascii="Arial" w:hAnsi="Arial" w:cs="Arial"/>
                <w:b/>
                <w:caps/>
                <w:spacing w:val="-3"/>
                <w:szCs w:val="24"/>
              </w:rPr>
            </w:pPr>
          </w:p>
          <w:p w14:paraId="4F43CC5A" w14:textId="7E317DEE" w:rsidR="00BF3368" w:rsidRPr="00BF3368" w:rsidRDefault="00BF3368" w:rsidP="00BF3368">
            <w:pPr>
              <w:pStyle w:val="Prrafodelista"/>
              <w:spacing w:after="0" w:line="276" w:lineRule="auto"/>
              <w:ind w:left="1080"/>
              <w:rPr>
                <w:rFonts w:ascii="Arial" w:hAnsi="Arial" w:cs="Arial"/>
                <w:b/>
                <w:caps/>
                <w:spacing w:val="-3"/>
                <w:szCs w:val="24"/>
              </w:rPr>
            </w:pPr>
            <w:r w:rsidRPr="00BF3368">
              <w:rPr>
                <w:rFonts w:ascii="Arial" w:hAnsi="Arial" w:cs="Arial"/>
                <w:b/>
                <w:caps/>
                <w:spacing w:val="-3"/>
                <w:szCs w:val="24"/>
              </w:rPr>
              <w:t xml:space="preserve">texto </w:t>
            </w:r>
            <w:r>
              <w:rPr>
                <w:rFonts w:ascii="Arial" w:hAnsi="Arial" w:cs="Arial"/>
                <w:b/>
                <w:caps/>
                <w:spacing w:val="-3"/>
                <w:szCs w:val="24"/>
              </w:rPr>
              <w:t>ACTUAL</w:t>
            </w:r>
          </w:p>
        </w:tc>
        <w:tc>
          <w:tcPr>
            <w:tcW w:w="9491" w:type="dxa"/>
            <w:shd w:val="clear" w:color="auto" w:fill="auto"/>
          </w:tcPr>
          <w:p w14:paraId="4E9F4CF3" w14:textId="77777777" w:rsidR="00BF3368" w:rsidRDefault="00BF3368" w:rsidP="00BF3368">
            <w:pPr>
              <w:spacing w:after="0" w:line="276" w:lineRule="auto"/>
              <w:jc w:val="center"/>
              <w:rPr>
                <w:rFonts w:ascii="Arial" w:hAnsi="Arial" w:cs="Arial"/>
                <w:b/>
                <w:caps/>
                <w:spacing w:val="-3"/>
                <w:szCs w:val="24"/>
              </w:rPr>
            </w:pPr>
          </w:p>
          <w:p w14:paraId="770373A8" w14:textId="7B7B920F" w:rsidR="00BF3368" w:rsidRDefault="00BF3368" w:rsidP="00BF3368">
            <w:pPr>
              <w:spacing w:after="0" w:line="276" w:lineRule="auto"/>
              <w:jc w:val="center"/>
              <w:rPr>
                <w:rFonts w:ascii="Arial" w:hAnsi="Arial" w:cs="Arial"/>
                <w:b/>
                <w:caps/>
                <w:spacing w:val="-3"/>
                <w:szCs w:val="24"/>
              </w:rPr>
            </w:pPr>
            <w:r>
              <w:rPr>
                <w:rFonts w:ascii="Arial" w:hAnsi="Arial" w:cs="Arial"/>
                <w:b/>
                <w:caps/>
                <w:spacing w:val="-3"/>
                <w:szCs w:val="24"/>
              </w:rPr>
              <w:t>TEXTO PROPUESTO MOCIÓN</w:t>
            </w:r>
          </w:p>
        </w:tc>
      </w:tr>
      <w:tr w:rsidR="00E31783" w:rsidRPr="00F92F1F" w14:paraId="663F5151" w14:textId="77777777" w:rsidTr="00BF3368">
        <w:trPr>
          <w:trHeight w:val="531"/>
        </w:trPr>
        <w:tc>
          <w:tcPr>
            <w:tcW w:w="4254" w:type="dxa"/>
            <w:shd w:val="clear" w:color="auto" w:fill="auto"/>
          </w:tcPr>
          <w:p w14:paraId="00A64C78" w14:textId="77777777" w:rsidR="00BF3368" w:rsidRDefault="00BF3368" w:rsidP="00E31783">
            <w:pPr>
              <w:spacing w:after="0" w:line="276" w:lineRule="auto"/>
              <w:jc w:val="center"/>
              <w:rPr>
                <w:rFonts w:ascii="Arial" w:hAnsi="Arial" w:cs="Arial"/>
                <w:b/>
                <w:caps/>
                <w:spacing w:val="-3"/>
                <w:szCs w:val="24"/>
              </w:rPr>
            </w:pPr>
          </w:p>
          <w:p w14:paraId="7A42FF2F" w14:textId="77777777" w:rsidR="00BF3368" w:rsidRDefault="00BF3368" w:rsidP="00BF3368">
            <w:pPr>
              <w:spacing w:after="0"/>
              <w:jc w:val="both"/>
            </w:pPr>
            <w:r w:rsidRPr="00E31783">
              <w:t xml:space="preserve">Artículo 3°.- El cabotaje queda reservado a las naves chilenas. Se entenderá por tal el transporte marítimo, fluvial o lacustre </w:t>
            </w:r>
            <w:r w:rsidRPr="00E31783">
              <w:rPr>
                <w:b/>
              </w:rPr>
              <w:t>de pasajeros y</w:t>
            </w:r>
            <w:r w:rsidRPr="00E31783">
              <w:t xml:space="preserve"> de carga entre puntos del territorio nacional, y entre éstos y artefactos navales instalados en el mar territorial o en  la zona económica exclusiva. </w:t>
            </w:r>
          </w:p>
          <w:p w14:paraId="35929443" w14:textId="0BE0B4A2" w:rsidR="00BF3368" w:rsidRPr="00F92F1F" w:rsidRDefault="00BF3368" w:rsidP="00E31783">
            <w:pPr>
              <w:spacing w:after="0" w:line="276" w:lineRule="auto"/>
              <w:jc w:val="center"/>
              <w:rPr>
                <w:rFonts w:ascii="Arial" w:hAnsi="Arial" w:cs="Arial"/>
                <w:b/>
                <w:caps/>
                <w:spacing w:val="-3"/>
                <w:szCs w:val="24"/>
              </w:rPr>
            </w:pPr>
          </w:p>
        </w:tc>
        <w:tc>
          <w:tcPr>
            <w:tcW w:w="9491" w:type="dxa"/>
            <w:shd w:val="clear" w:color="auto" w:fill="auto"/>
          </w:tcPr>
          <w:p w14:paraId="01C2A45B" w14:textId="77777777" w:rsidR="00BF3368" w:rsidRPr="00F92F1F" w:rsidRDefault="00BF3368" w:rsidP="00E31783">
            <w:pPr>
              <w:spacing w:after="0" w:line="276" w:lineRule="auto"/>
              <w:jc w:val="center"/>
              <w:rPr>
                <w:rFonts w:ascii="Arial" w:hAnsi="Arial" w:cs="Arial"/>
                <w:b/>
                <w:caps/>
                <w:spacing w:val="-3"/>
                <w:szCs w:val="24"/>
              </w:rPr>
            </w:pPr>
          </w:p>
          <w:p w14:paraId="336E3214" w14:textId="77777777" w:rsidR="00BF3368" w:rsidRPr="00E31783" w:rsidRDefault="00BF3368" w:rsidP="00BF3368">
            <w:pPr>
              <w:spacing w:after="0"/>
              <w:jc w:val="both"/>
              <w:rPr>
                <w:i/>
                <w:u w:val="single"/>
              </w:rPr>
            </w:pPr>
            <w:r w:rsidRPr="00E31783">
              <w:rPr>
                <w:i/>
                <w:u w:val="single"/>
              </w:rPr>
              <w:t>En el inciso primero, eliminase la fórmula "de pasajeros y".</w:t>
            </w:r>
          </w:p>
          <w:p w14:paraId="2583EDE7" w14:textId="77777777" w:rsidR="00BF3368" w:rsidRPr="00E31783" w:rsidRDefault="00BF3368" w:rsidP="00BF3368">
            <w:pPr>
              <w:spacing w:after="0"/>
              <w:jc w:val="both"/>
            </w:pPr>
          </w:p>
          <w:p w14:paraId="514A7914" w14:textId="733CF83F" w:rsidR="00BF3368" w:rsidRDefault="00BF3368" w:rsidP="00BF3368">
            <w:pPr>
              <w:spacing w:after="0"/>
              <w:jc w:val="both"/>
            </w:pPr>
            <w:r w:rsidRPr="00E31783">
              <w:t>Artículo 3°. - El cabotaje queda reservado a las naves chilenas. Se entenderá por tal el transporte marítimo, fluvial o lacustre de carga entre puntos del territorio nacional, y entre éstos y artefactos navales instala</w:t>
            </w:r>
            <w:r>
              <w:t xml:space="preserve">dos en el mar territorial o en </w:t>
            </w:r>
            <w:r w:rsidRPr="00E31783">
              <w:t xml:space="preserve">la zona económica exclusiva. </w:t>
            </w:r>
          </w:p>
          <w:p w14:paraId="0B8E1EC6" w14:textId="423CAA1A" w:rsidR="00E31783" w:rsidRPr="00F92F1F" w:rsidRDefault="00BF3368" w:rsidP="00BF3368">
            <w:pPr>
              <w:spacing w:after="0" w:line="276" w:lineRule="auto"/>
              <w:jc w:val="both"/>
              <w:rPr>
                <w:rFonts w:ascii="Arial" w:hAnsi="Arial" w:cs="Arial"/>
                <w:b/>
                <w:caps/>
                <w:spacing w:val="-3"/>
                <w:szCs w:val="24"/>
              </w:rPr>
            </w:pPr>
            <w:r>
              <w:rPr>
                <w:i/>
                <w:u w:val="single"/>
              </w:rPr>
              <w:t>(</w:t>
            </w:r>
            <w:r w:rsidRPr="00E31783">
              <w:rPr>
                <w:i/>
                <w:u w:val="single"/>
              </w:rPr>
              <w:t>Intercálese el siguiente nuevo inciso segundo, modificándose el orden correlativo de los incisos siguientes)</w:t>
            </w:r>
            <w:r w:rsidRPr="00E31783">
              <w:t xml:space="preserve"> </w:t>
            </w:r>
            <w:r w:rsidRPr="00F619C9">
              <w:rPr>
                <w:color w:val="FF0000"/>
              </w:rPr>
              <w:t>Se entenderá por cabotaje de pasajeros, el transporte marítimo, fluvial o lacustre de pasajeros, cuyo origen y destino sean puntos del territorio nacional y entre éstos y artefactos navales instalados en el mar territorial o en la zona económica exclusiva. Las naves de pasajeros extranjeras podrán participar en el cabotaje, siempre y cuando su capacidad de transporte sea igual o superior a 400 pasajeros. Sólo se podrá efectuar cabotaje de pasajeros en naves extranjeras cuya capacidad de transporte sea inferior a 400 pasajeros, cuando en la correspondiente ruta específica no exista disponibilidad de naves chilenas, lo que será determinado y autorizado en la forma establecida en un reglamento dictado por la autoridad competente</w:t>
            </w:r>
            <w:r w:rsidR="001775DE">
              <w:rPr>
                <w:color w:val="FF0000"/>
              </w:rPr>
              <w:t>.</w:t>
            </w:r>
          </w:p>
        </w:tc>
      </w:tr>
    </w:tbl>
    <w:p w14:paraId="113DD7D0" w14:textId="5E3D4CAD" w:rsidR="0043389C" w:rsidRDefault="0043389C" w:rsidP="00E31783"/>
    <w:p w14:paraId="70B3732B" w14:textId="2F562F29" w:rsidR="005525E9" w:rsidRDefault="005525E9" w:rsidP="00E31783"/>
    <w:p w14:paraId="185BF929" w14:textId="1B725564" w:rsidR="005525E9" w:rsidRDefault="005525E9" w:rsidP="00E31783"/>
    <w:p w14:paraId="0C429959" w14:textId="7201B1C3" w:rsidR="005525E9" w:rsidRDefault="005525E9" w:rsidP="00E31783"/>
    <w:p w14:paraId="460D7C27" w14:textId="77777777" w:rsidR="005525E9" w:rsidRDefault="005525E9" w:rsidP="00E31783"/>
    <w:p w14:paraId="69C59578" w14:textId="2F5230D1" w:rsidR="005A52D2" w:rsidRPr="005A52D2" w:rsidRDefault="005A52D2" w:rsidP="005A52D2">
      <w:pPr>
        <w:pStyle w:val="Prrafodelista"/>
        <w:numPr>
          <w:ilvl w:val="0"/>
          <w:numId w:val="4"/>
        </w:numPr>
        <w:jc w:val="both"/>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lastRenderedPageBreak/>
        <w:t>CONTEXTO INTERNACIONAL</w:t>
      </w:r>
      <w:r w:rsidR="005525E9">
        <w:rPr>
          <w:rStyle w:val="Refdenotaalpie"/>
          <w:rFonts w:asciiTheme="majorHAnsi" w:eastAsiaTheme="majorEastAsia" w:hAnsiTheme="majorHAnsi" w:cstheme="majorBidi"/>
          <w:b/>
          <w:color w:val="2E74B5" w:themeColor="accent1" w:themeShade="BF"/>
          <w:sz w:val="26"/>
          <w:szCs w:val="26"/>
        </w:rPr>
        <w:footnoteReference w:id="1"/>
      </w:r>
    </w:p>
    <w:p w14:paraId="6AD9A655" w14:textId="377DEC63" w:rsidR="00A45D0D" w:rsidRDefault="005A52D2" w:rsidP="005A52D2">
      <w:pPr>
        <w:pBdr>
          <w:top w:val="single" w:sz="4" w:space="1" w:color="auto"/>
          <w:left w:val="single" w:sz="4" w:space="4" w:color="auto"/>
          <w:bottom w:val="single" w:sz="4" w:space="0" w:color="auto"/>
          <w:right w:val="single" w:sz="4" w:space="4" w:color="auto"/>
        </w:pBdr>
        <w:spacing w:after="0" w:line="240" w:lineRule="auto"/>
        <w:jc w:val="both"/>
        <w:rPr>
          <w:sz w:val="24"/>
          <w:szCs w:val="24"/>
        </w:rPr>
      </w:pPr>
      <w:r>
        <w:rPr>
          <w:sz w:val="24"/>
          <w:szCs w:val="24"/>
        </w:rPr>
        <w:t>En 2017 el impacto económico a nivel mundia</w:t>
      </w:r>
      <w:r w:rsidR="00A45D0D">
        <w:rPr>
          <w:sz w:val="24"/>
          <w:szCs w:val="24"/>
        </w:rPr>
        <w:t xml:space="preserve">l de la industria de los cruceros </w:t>
      </w:r>
      <w:r>
        <w:rPr>
          <w:sz w:val="24"/>
          <w:szCs w:val="24"/>
        </w:rPr>
        <w:t>f</w:t>
      </w:r>
      <w:r w:rsidR="00A45D0D">
        <w:rPr>
          <w:sz w:val="24"/>
          <w:szCs w:val="24"/>
        </w:rPr>
        <w:t>ue de 126 billones de dólares (</w:t>
      </w:r>
      <w:r>
        <w:rPr>
          <w:sz w:val="24"/>
          <w:szCs w:val="24"/>
        </w:rPr>
        <w:t xml:space="preserve">un 4,5% </w:t>
      </w:r>
      <w:r w:rsidR="00DF5738">
        <w:rPr>
          <w:sz w:val="24"/>
          <w:szCs w:val="24"/>
        </w:rPr>
        <w:t>mayor que el 2016</w:t>
      </w:r>
      <w:r>
        <w:rPr>
          <w:sz w:val="24"/>
          <w:szCs w:val="24"/>
        </w:rPr>
        <w:t xml:space="preserve">), con 25.8 millones de pasajeros. Se estima que para el año 2018 serán </w:t>
      </w:r>
      <w:r w:rsidR="001B395B">
        <w:rPr>
          <w:sz w:val="24"/>
          <w:szCs w:val="24"/>
        </w:rPr>
        <w:t xml:space="preserve">transportados </w:t>
      </w:r>
      <w:r>
        <w:rPr>
          <w:sz w:val="24"/>
          <w:szCs w:val="24"/>
        </w:rPr>
        <w:t xml:space="preserve">alrededor de 27.2 millones de pasajeros. </w:t>
      </w:r>
    </w:p>
    <w:p w14:paraId="5C040471" w14:textId="42402F0A" w:rsidR="005A52D2" w:rsidRDefault="00DF5738" w:rsidP="005A52D2">
      <w:pPr>
        <w:pBdr>
          <w:top w:val="single" w:sz="4" w:space="1" w:color="auto"/>
          <w:left w:val="single" w:sz="4" w:space="4" w:color="auto"/>
          <w:bottom w:val="single" w:sz="4" w:space="0" w:color="auto"/>
          <w:right w:val="single" w:sz="4" w:space="4" w:color="auto"/>
        </w:pBdr>
        <w:spacing w:after="0" w:line="240" w:lineRule="auto"/>
        <w:jc w:val="both"/>
        <w:rPr>
          <w:sz w:val="24"/>
          <w:szCs w:val="24"/>
        </w:rPr>
      </w:pPr>
      <w:r>
        <w:rPr>
          <w:sz w:val="24"/>
          <w:szCs w:val="24"/>
        </w:rPr>
        <w:t>Sumado a lo a anterior, l</w:t>
      </w:r>
      <w:r w:rsidR="005A52D2">
        <w:rPr>
          <w:sz w:val="24"/>
          <w:szCs w:val="24"/>
        </w:rPr>
        <w:t xml:space="preserve">a industria </w:t>
      </w:r>
      <w:r w:rsidR="00A45D0D">
        <w:rPr>
          <w:sz w:val="24"/>
          <w:szCs w:val="24"/>
        </w:rPr>
        <w:t xml:space="preserve">de cruceros </w:t>
      </w:r>
      <w:r w:rsidR="005A52D2">
        <w:rPr>
          <w:sz w:val="24"/>
          <w:szCs w:val="24"/>
        </w:rPr>
        <w:t>aportó con 1 millón de puestos de trabajo,</w:t>
      </w:r>
      <w:r w:rsidR="00A45D0D">
        <w:rPr>
          <w:sz w:val="24"/>
          <w:szCs w:val="24"/>
        </w:rPr>
        <w:t xml:space="preserve"> y con 41 b</w:t>
      </w:r>
      <w:r w:rsidR="005A52D2">
        <w:rPr>
          <w:sz w:val="24"/>
          <w:szCs w:val="24"/>
        </w:rPr>
        <w:t xml:space="preserve">illones de dólares pagados en salarios. </w:t>
      </w:r>
    </w:p>
    <w:p w14:paraId="212B59D0" w14:textId="77777777" w:rsidR="005A52D2" w:rsidRDefault="005A52D2" w:rsidP="005A52D2">
      <w:pPr>
        <w:spacing w:after="0" w:line="240" w:lineRule="auto"/>
        <w:jc w:val="both"/>
        <w:rPr>
          <w:sz w:val="24"/>
          <w:szCs w:val="24"/>
        </w:rPr>
      </w:pPr>
    </w:p>
    <w:p w14:paraId="17215695" w14:textId="12D8871E" w:rsidR="005A52D2" w:rsidRDefault="005525E9" w:rsidP="005A52D2">
      <w:pPr>
        <w:spacing w:after="0" w:line="240" w:lineRule="auto"/>
        <w:jc w:val="both"/>
        <w:rPr>
          <w:sz w:val="24"/>
          <w:szCs w:val="24"/>
        </w:rPr>
      </w:pPr>
      <w:r>
        <w:rPr>
          <w:sz w:val="24"/>
          <w:szCs w:val="24"/>
        </w:rPr>
        <w:t xml:space="preserve">Desde 1980 la industria </w:t>
      </w:r>
      <w:r w:rsidR="005A52D2">
        <w:rPr>
          <w:sz w:val="24"/>
          <w:szCs w:val="24"/>
        </w:rPr>
        <w:t>mundial</w:t>
      </w:r>
      <w:r>
        <w:rPr>
          <w:sz w:val="24"/>
          <w:szCs w:val="24"/>
        </w:rPr>
        <w:t xml:space="preserve"> de cruceros</w:t>
      </w:r>
      <w:r w:rsidR="005A52D2">
        <w:rPr>
          <w:sz w:val="24"/>
          <w:szCs w:val="24"/>
        </w:rPr>
        <w:t xml:space="preserve"> ha crecido a una tasa promedio de 7% anual y desde 2005 a 2015 la demanda se expandió en un 62%.</w:t>
      </w:r>
    </w:p>
    <w:p w14:paraId="750359AF" w14:textId="77777777" w:rsidR="005A52D2" w:rsidRDefault="005A52D2" w:rsidP="005A52D2">
      <w:pPr>
        <w:spacing w:after="0" w:line="240" w:lineRule="auto"/>
        <w:jc w:val="both"/>
        <w:rPr>
          <w:sz w:val="24"/>
          <w:szCs w:val="24"/>
        </w:rPr>
      </w:pPr>
    </w:p>
    <w:p w14:paraId="1C947A53" w14:textId="79FABBF3" w:rsidR="005A52D2" w:rsidRDefault="005A52D2" w:rsidP="00DB0C61">
      <w:pPr>
        <w:spacing w:after="0" w:line="240" w:lineRule="auto"/>
        <w:jc w:val="both"/>
        <w:rPr>
          <w:sz w:val="24"/>
          <w:szCs w:val="24"/>
        </w:rPr>
      </w:pPr>
      <w:r>
        <w:rPr>
          <w:sz w:val="24"/>
          <w:szCs w:val="24"/>
        </w:rPr>
        <w:t xml:space="preserve">En el año 2017 hubo un récord en la industria, con 25.8 millones de pasajeros a nivel mundial, equivalente a un crecimiento de 4,5% respecto a 2016, donde se registraron 24,7 millones de pasajeros, </w:t>
      </w:r>
      <w:r w:rsidR="001B395B">
        <w:rPr>
          <w:sz w:val="24"/>
          <w:szCs w:val="24"/>
        </w:rPr>
        <w:t>mayoritariamente provenientes de</w:t>
      </w:r>
      <w:r>
        <w:rPr>
          <w:sz w:val="24"/>
          <w:szCs w:val="24"/>
        </w:rPr>
        <w:t xml:space="preserve"> Estados Unidos</w:t>
      </w:r>
      <w:r w:rsidR="001B395B">
        <w:rPr>
          <w:sz w:val="24"/>
          <w:szCs w:val="24"/>
        </w:rPr>
        <w:t xml:space="preserve">, </w:t>
      </w:r>
      <w:r>
        <w:rPr>
          <w:sz w:val="24"/>
          <w:szCs w:val="24"/>
        </w:rPr>
        <w:t xml:space="preserve">siendo el principal mercado consumidor de Cruceros en el mundo. </w:t>
      </w:r>
      <w:r w:rsidR="00DB0C61">
        <w:rPr>
          <w:sz w:val="24"/>
          <w:szCs w:val="24"/>
        </w:rPr>
        <w:t>En esta industria, la demanda por cruceros es mayor que la oferta, siendo</w:t>
      </w:r>
      <w:r w:rsidR="009A12B1">
        <w:rPr>
          <w:sz w:val="24"/>
          <w:szCs w:val="24"/>
        </w:rPr>
        <w:t xml:space="preserve"> esto</w:t>
      </w:r>
      <w:r w:rsidR="00DB0C61">
        <w:rPr>
          <w:sz w:val="24"/>
          <w:szCs w:val="24"/>
        </w:rPr>
        <w:t xml:space="preserve"> el principal moto</w:t>
      </w:r>
      <w:r w:rsidR="009A12B1">
        <w:rPr>
          <w:sz w:val="24"/>
          <w:szCs w:val="24"/>
        </w:rPr>
        <w:t>r de expansión para los operadores de cruceros a nivel mundial.</w:t>
      </w:r>
    </w:p>
    <w:p w14:paraId="07257D6D" w14:textId="77777777" w:rsidR="005A52D2" w:rsidRDefault="005A52D2" w:rsidP="005A52D2">
      <w:pPr>
        <w:spacing w:after="0" w:line="240" w:lineRule="auto"/>
        <w:jc w:val="both"/>
        <w:rPr>
          <w:sz w:val="24"/>
          <w:szCs w:val="24"/>
        </w:rPr>
      </w:pPr>
    </w:p>
    <w:p w14:paraId="444965B6" w14:textId="290B02BF" w:rsidR="005A52D2" w:rsidRDefault="005A52D2" w:rsidP="005A52D2">
      <w:pPr>
        <w:spacing w:after="0" w:line="240" w:lineRule="auto"/>
        <w:jc w:val="both"/>
        <w:rPr>
          <w:sz w:val="24"/>
          <w:szCs w:val="24"/>
        </w:rPr>
      </w:pPr>
      <w:r w:rsidRPr="00473C66">
        <w:rPr>
          <w:sz w:val="24"/>
          <w:szCs w:val="24"/>
        </w:rPr>
        <w:t>Según reportes de 2016, los pasajeros provienen mayoritariamente de EEUU (11,5 MM); Alemania (2 MM); Inglater</w:t>
      </w:r>
      <w:r w:rsidR="00DF5738">
        <w:rPr>
          <w:sz w:val="24"/>
          <w:szCs w:val="24"/>
        </w:rPr>
        <w:t>ra (1,9 MM); Australia (1,3 MM) y</w:t>
      </w:r>
      <w:r w:rsidRPr="00473C66">
        <w:rPr>
          <w:sz w:val="24"/>
          <w:szCs w:val="24"/>
        </w:rPr>
        <w:t xml:space="preserve"> China (2,1 MM).</w:t>
      </w:r>
      <w:r>
        <w:rPr>
          <w:sz w:val="24"/>
          <w:szCs w:val="24"/>
        </w:rPr>
        <w:t xml:space="preserve"> </w:t>
      </w:r>
    </w:p>
    <w:p w14:paraId="4ECFC9EA" w14:textId="77777777" w:rsidR="005A52D2" w:rsidRDefault="005A52D2" w:rsidP="005A52D2">
      <w:pPr>
        <w:spacing w:after="0" w:line="240" w:lineRule="auto"/>
        <w:jc w:val="both"/>
        <w:rPr>
          <w:sz w:val="24"/>
          <w:szCs w:val="24"/>
        </w:rPr>
      </w:pPr>
    </w:p>
    <w:p w14:paraId="1481E4D6" w14:textId="781B4189" w:rsidR="005A52D2" w:rsidRDefault="005A52D2" w:rsidP="005A52D2">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El Gasto Promed</w:t>
      </w:r>
      <w:r w:rsidR="00DB0C61">
        <w:rPr>
          <w:sz w:val="24"/>
          <w:szCs w:val="24"/>
        </w:rPr>
        <w:t xml:space="preserve">io Diario Individual (GPDI) de un pasajero </w:t>
      </w:r>
      <w:r>
        <w:rPr>
          <w:sz w:val="24"/>
          <w:szCs w:val="24"/>
        </w:rPr>
        <w:t xml:space="preserve">se estima en 103.83 dólares y del tripulante se estima en 67.10 dólares. Es decir, una recalada de un crucero mediano con 3.000 pasajeros y 1.250 tripulantes genera en el puerto/destino un gasto </w:t>
      </w:r>
      <w:r w:rsidR="00DB0C61">
        <w:rPr>
          <w:sz w:val="24"/>
          <w:szCs w:val="24"/>
        </w:rPr>
        <w:t xml:space="preserve">total aproximado de 400 mil </w:t>
      </w:r>
      <w:r>
        <w:rPr>
          <w:sz w:val="24"/>
          <w:szCs w:val="24"/>
        </w:rPr>
        <w:t xml:space="preserve">dólares (con el supuesto que todos bajan y gastan). </w:t>
      </w:r>
    </w:p>
    <w:p w14:paraId="56349C84" w14:textId="77777777" w:rsidR="005A52D2" w:rsidRDefault="005A52D2" w:rsidP="005A52D2">
      <w:pPr>
        <w:spacing w:after="0" w:line="240" w:lineRule="auto"/>
        <w:jc w:val="both"/>
        <w:rPr>
          <w:sz w:val="24"/>
          <w:szCs w:val="24"/>
        </w:rPr>
      </w:pPr>
    </w:p>
    <w:p w14:paraId="3B654553" w14:textId="5C851A91" w:rsidR="005A52D2" w:rsidRPr="00473C66" w:rsidRDefault="005A52D2" w:rsidP="005A52D2">
      <w:pPr>
        <w:spacing w:after="0" w:line="240" w:lineRule="auto"/>
        <w:jc w:val="both"/>
        <w:rPr>
          <w:sz w:val="24"/>
          <w:szCs w:val="24"/>
        </w:rPr>
      </w:pPr>
      <w:r w:rsidRPr="00473C66">
        <w:rPr>
          <w:sz w:val="24"/>
          <w:szCs w:val="24"/>
        </w:rPr>
        <w:t>Del tota</w:t>
      </w:r>
      <w:r w:rsidR="00DF5738">
        <w:rPr>
          <w:sz w:val="24"/>
          <w:szCs w:val="24"/>
        </w:rPr>
        <w:t>l de pasajeros en 2016</w:t>
      </w:r>
      <w:r w:rsidRPr="00473C66">
        <w:rPr>
          <w:sz w:val="24"/>
          <w:szCs w:val="24"/>
        </w:rPr>
        <w:t xml:space="preserve">, Sudamérica como destino recibe aproximadamente </w:t>
      </w:r>
      <w:r w:rsidR="00DB0C61">
        <w:rPr>
          <w:sz w:val="24"/>
          <w:szCs w:val="24"/>
        </w:rPr>
        <w:t>el 2,7% y Chile un</w:t>
      </w:r>
      <w:r w:rsidRPr="00473C66">
        <w:rPr>
          <w:sz w:val="24"/>
          <w:szCs w:val="24"/>
        </w:rPr>
        <w:t xml:space="preserve"> 1,2% d</w:t>
      </w:r>
      <w:r w:rsidR="00DB0C61">
        <w:rPr>
          <w:sz w:val="24"/>
          <w:szCs w:val="24"/>
        </w:rPr>
        <w:t xml:space="preserve">el total mundial. En comparación el Caribe recibe un </w:t>
      </w:r>
      <w:r w:rsidRPr="00473C66">
        <w:rPr>
          <w:sz w:val="24"/>
          <w:szCs w:val="24"/>
        </w:rPr>
        <w:t>34% de los pasajeros.</w:t>
      </w:r>
    </w:p>
    <w:p w14:paraId="4DD5B9F1" w14:textId="73A0C109" w:rsidR="003A18CC" w:rsidRDefault="003A18CC" w:rsidP="005A52D2">
      <w:pPr>
        <w:spacing w:after="0" w:line="240" w:lineRule="auto"/>
        <w:jc w:val="both"/>
        <w:rPr>
          <w:rFonts w:asciiTheme="majorHAnsi" w:eastAsiaTheme="majorEastAsia" w:hAnsiTheme="majorHAnsi" w:cstheme="majorBidi"/>
          <w:b/>
          <w:color w:val="2E74B5" w:themeColor="accent1" w:themeShade="BF"/>
          <w:sz w:val="26"/>
          <w:szCs w:val="26"/>
        </w:rPr>
      </w:pPr>
    </w:p>
    <w:p w14:paraId="791A63A9" w14:textId="3D9D618C" w:rsidR="005A52D2" w:rsidRPr="005A52D2" w:rsidRDefault="005A52D2" w:rsidP="005A52D2">
      <w:pPr>
        <w:pStyle w:val="Prrafodelista"/>
        <w:numPr>
          <w:ilvl w:val="0"/>
          <w:numId w:val="4"/>
        </w:numPr>
        <w:spacing w:after="0" w:line="240" w:lineRule="auto"/>
        <w:jc w:val="both"/>
        <w:rPr>
          <w:rFonts w:asciiTheme="majorHAnsi" w:eastAsiaTheme="majorEastAsia" w:hAnsiTheme="majorHAnsi" w:cstheme="majorBidi"/>
          <w:b/>
          <w:color w:val="2E74B5" w:themeColor="accent1" w:themeShade="BF"/>
          <w:sz w:val="26"/>
          <w:szCs w:val="26"/>
        </w:rPr>
      </w:pPr>
      <w:r w:rsidRPr="005A52D2">
        <w:rPr>
          <w:rFonts w:asciiTheme="majorHAnsi" w:eastAsiaTheme="majorEastAsia" w:hAnsiTheme="majorHAnsi" w:cstheme="majorBidi"/>
          <w:b/>
          <w:color w:val="2E74B5" w:themeColor="accent1" w:themeShade="BF"/>
          <w:sz w:val="26"/>
          <w:szCs w:val="26"/>
        </w:rPr>
        <w:t>CONTEXTO NACIONAL</w:t>
      </w:r>
      <w:r w:rsidR="005525E9">
        <w:rPr>
          <w:rStyle w:val="Refdenotaalpie"/>
          <w:rFonts w:asciiTheme="majorHAnsi" w:eastAsiaTheme="majorEastAsia" w:hAnsiTheme="majorHAnsi" w:cstheme="majorBidi"/>
          <w:b/>
          <w:color w:val="2E74B5" w:themeColor="accent1" w:themeShade="BF"/>
          <w:sz w:val="26"/>
          <w:szCs w:val="26"/>
        </w:rPr>
        <w:footnoteReference w:id="2"/>
      </w:r>
    </w:p>
    <w:p w14:paraId="1B4B2D37" w14:textId="77777777" w:rsidR="003A18CC" w:rsidRPr="003A18CC" w:rsidRDefault="003A18CC" w:rsidP="003A18CC">
      <w:pPr>
        <w:spacing w:after="0" w:line="240" w:lineRule="auto"/>
        <w:jc w:val="both"/>
        <w:rPr>
          <w:b/>
          <w:sz w:val="24"/>
          <w:szCs w:val="24"/>
        </w:rPr>
      </w:pPr>
      <w:r w:rsidRPr="003A18CC">
        <w:rPr>
          <w:b/>
          <w:sz w:val="24"/>
          <w:szCs w:val="24"/>
        </w:rPr>
        <w:t>Líneas de Cruceros que llegan al país</w:t>
      </w:r>
    </w:p>
    <w:p w14:paraId="2E126894" w14:textId="77777777" w:rsidR="003A18CC" w:rsidRPr="003A18CC" w:rsidRDefault="003A18CC" w:rsidP="003A18CC">
      <w:pPr>
        <w:spacing w:after="0" w:line="240" w:lineRule="auto"/>
        <w:jc w:val="both"/>
        <w:rPr>
          <w:sz w:val="24"/>
          <w:szCs w:val="24"/>
        </w:rPr>
      </w:pPr>
      <w:r w:rsidRPr="003A18CC">
        <w:rPr>
          <w:sz w:val="24"/>
          <w:szCs w:val="24"/>
        </w:rPr>
        <w:t xml:space="preserve">Chile ha captado la llegada de importantes compañías de cruceros, destacando por el número de recaladas realizadas en las últimas temporadas las siguientes: </w:t>
      </w:r>
      <w:proofErr w:type="spellStart"/>
      <w:r w:rsidRPr="003A18CC">
        <w:rPr>
          <w:sz w:val="24"/>
          <w:szCs w:val="24"/>
        </w:rPr>
        <w:t>Holland</w:t>
      </w:r>
      <w:proofErr w:type="spellEnd"/>
      <w:r w:rsidRPr="003A18CC">
        <w:rPr>
          <w:sz w:val="24"/>
          <w:szCs w:val="24"/>
        </w:rPr>
        <w:t xml:space="preserve"> </w:t>
      </w:r>
      <w:proofErr w:type="spellStart"/>
      <w:r w:rsidRPr="003A18CC">
        <w:rPr>
          <w:sz w:val="24"/>
          <w:szCs w:val="24"/>
        </w:rPr>
        <w:t>America</w:t>
      </w:r>
      <w:proofErr w:type="spellEnd"/>
      <w:r w:rsidRPr="003A18CC">
        <w:rPr>
          <w:sz w:val="24"/>
          <w:szCs w:val="24"/>
        </w:rPr>
        <w:t xml:space="preserve"> Line, </w:t>
      </w:r>
      <w:proofErr w:type="spellStart"/>
      <w:r w:rsidRPr="003A18CC">
        <w:rPr>
          <w:sz w:val="24"/>
          <w:szCs w:val="24"/>
        </w:rPr>
        <w:t>Seabourn</w:t>
      </w:r>
      <w:proofErr w:type="spellEnd"/>
      <w:r w:rsidRPr="003A18CC">
        <w:rPr>
          <w:sz w:val="24"/>
          <w:szCs w:val="24"/>
        </w:rPr>
        <w:t xml:space="preserve"> </w:t>
      </w:r>
      <w:proofErr w:type="spellStart"/>
      <w:r w:rsidRPr="003A18CC">
        <w:rPr>
          <w:sz w:val="24"/>
          <w:szCs w:val="24"/>
        </w:rPr>
        <w:t>Cruise</w:t>
      </w:r>
      <w:proofErr w:type="spellEnd"/>
      <w:r w:rsidRPr="003A18CC">
        <w:rPr>
          <w:sz w:val="24"/>
          <w:szCs w:val="24"/>
        </w:rPr>
        <w:t xml:space="preserve"> Line, </w:t>
      </w:r>
      <w:proofErr w:type="spellStart"/>
      <w:r w:rsidRPr="003A18CC">
        <w:rPr>
          <w:sz w:val="24"/>
          <w:szCs w:val="24"/>
        </w:rPr>
        <w:t>Princess</w:t>
      </w:r>
      <w:proofErr w:type="spellEnd"/>
      <w:r w:rsidRPr="003A18CC">
        <w:rPr>
          <w:sz w:val="24"/>
          <w:szCs w:val="24"/>
        </w:rPr>
        <w:t xml:space="preserve"> </w:t>
      </w:r>
      <w:proofErr w:type="spellStart"/>
      <w:r w:rsidRPr="003A18CC">
        <w:rPr>
          <w:sz w:val="24"/>
          <w:szCs w:val="24"/>
        </w:rPr>
        <w:t>Cruise</w:t>
      </w:r>
      <w:proofErr w:type="spellEnd"/>
      <w:r w:rsidRPr="003A18CC">
        <w:rPr>
          <w:sz w:val="24"/>
          <w:szCs w:val="24"/>
        </w:rPr>
        <w:t xml:space="preserve">, </w:t>
      </w:r>
      <w:proofErr w:type="spellStart"/>
      <w:r w:rsidRPr="003A18CC">
        <w:rPr>
          <w:sz w:val="24"/>
          <w:szCs w:val="24"/>
        </w:rPr>
        <w:t>Celebrity</w:t>
      </w:r>
      <w:proofErr w:type="spellEnd"/>
      <w:r w:rsidRPr="003A18CC">
        <w:rPr>
          <w:sz w:val="24"/>
          <w:szCs w:val="24"/>
        </w:rPr>
        <w:t xml:space="preserve"> </w:t>
      </w:r>
      <w:proofErr w:type="spellStart"/>
      <w:r w:rsidRPr="003A18CC">
        <w:rPr>
          <w:sz w:val="24"/>
          <w:szCs w:val="24"/>
        </w:rPr>
        <w:t>Cruise</w:t>
      </w:r>
      <w:proofErr w:type="spellEnd"/>
      <w:r w:rsidRPr="003A18CC">
        <w:rPr>
          <w:sz w:val="24"/>
          <w:szCs w:val="24"/>
        </w:rPr>
        <w:t xml:space="preserve"> y </w:t>
      </w:r>
      <w:proofErr w:type="spellStart"/>
      <w:r w:rsidRPr="003A18CC">
        <w:rPr>
          <w:sz w:val="24"/>
          <w:szCs w:val="24"/>
        </w:rPr>
        <w:t>Silversea</w:t>
      </w:r>
      <w:proofErr w:type="spellEnd"/>
      <w:r w:rsidRPr="003A18CC">
        <w:rPr>
          <w:sz w:val="24"/>
          <w:szCs w:val="24"/>
        </w:rPr>
        <w:t xml:space="preserve"> </w:t>
      </w:r>
      <w:proofErr w:type="spellStart"/>
      <w:r w:rsidRPr="003A18CC">
        <w:rPr>
          <w:sz w:val="24"/>
          <w:szCs w:val="24"/>
        </w:rPr>
        <w:t>Cruises</w:t>
      </w:r>
      <w:proofErr w:type="spellEnd"/>
      <w:r w:rsidRPr="003A18CC">
        <w:rPr>
          <w:sz w:val="24"/>
          <w:szCs w:val="24"/>
        </w:rPr>
        <w:t xml:space="preserve">. Tres de ellas pertenecen a la exclusiva agrupación </w:t>
      </w:r>
      <w:proofErr w:type="spellStart"/>
      <w:r w:rsidRPr="003A18CC">
        <w:rPr>
          <w:sz w:val="24"/>
          <w:szCs w:val="24"/>
        </w:rPr>
        <w:t>Carnival</w:t>
      </w:r>
      <w:proofErr w:type="spellEnd"/>
      <w:r w:rsidRPr="003A18CC">
        <w:rPr>
          <w:sz w:val="24"/>
          <w:szCs w:val="24"/>
        </w:rPr>
        <w:t xml:space="preserve"> </w:t>
      </w:r>
      <w:proofErr w:type="spellStart"/>
      <w:r w:rsidRPr="003A18CC">
        <w:rPr>
          <w:sz w:val="24"/>
          <w:szCs w:val="24"/>
        </w:rPr>
        <w:t>Corporation</w:t>
      </w:r>
      <w:proofErr w:type="spellEnd"/>
      <w:r w:rsidRPr="003A18CC">
        <w:rPr>
          <w:sz w:val="24"/>
          <w:szCs w:val="24"/>
        </w:rPr>
        <w:t xml:space="preserve"> &amp; </w:t>
      </w:r>
      <w:proofErr w:type="spellStart"/>
      <w:r w:rsidRPr="003A18CC">
        <w:rPr>
          <w:sz w:val="24"/>
          <w:szCs w:val="24"/>
        </w:rPr>
        <w:t>Plc</w:t>
      </w:r>
      <w:proofErr w:type="spellEnd"/>
      <w:r w:rsidRPr="003A18CC">
        <w:rPr>
          <w:sz w:val="24"/>
          <w:szCs w:val="24"/>
        </w:rPr>
        <w:t>, compañía líder del sector que actualmente, con una flota de 100 naves, son capaces de transportar 200.000 personas de manera simultánea.</w:t>
      </w:r>
    </w:p>
    <w:p w14:paraId="1342C831" w14:textId="77777777" w:rsidR="003A18CC" w:rsidRPr="003A18CC" w:rsidRDefault="003A18CC" w:rsidP="003A18CC">
      <w:pPr>
        <w:pStyle w:val="Prrafodelista"/>
        <w:spacing w:after="0" w:line="240" w:lineRule="auto"/>
        <w:ind w:left="1080"/>
        <w:jc w:val="both"/>
        <w:rPr>
          <w:sz w:val="24"/>
          <w:szCs w:val="24"/>
        </w:rPr>
      </w:pPr>
    </w:p>
    <w:p w14:paraId="0406ABCA" w14:textId="2342EE75"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 xml:space="preserve">En la temporada 2016-2017 arribaron más de 34 líneas de cruceros, </w:t>
      </w:r>
      <w:r w:rsidR="009A12B1">
        <w:rPr>
          <w:sz w:val="24"/>
          <w:szCs w:val="24"/>
        </w:rPr>
        <w:t>un</w:t>
      </w:r>
      <w:r w:rsidRPr="003A18CC">
        <w:rPr>
          <w:sz w:val="24"/>
          <w:szCs w:val="24"/>
        </w:rPr>
        <w:t xml:space="preserve"> 62% </w:t>
      </w:r>
      <w:r w:rsidR="009A12B1">
        <w:rPr>
          <w:sz w:val="24"/>
          <w:szCs w:val="24"/>
        </w:rPr>
        <w:t>más comparado con la temporada 2012-2013</w:t>
      </w:r>
      <w:r w:rsidRPr="003A18CC">
        <w:rPr>
          <w:sz w:val="24"/>
          <w:szCs w:val="24"/>
        </w:rPr>
        <w:t>.</w:t>
      </w:r>
    </w:p>
    <w:p w14:paraId="6DCC0812" w14:textId="4FC8ED20" w:rsidR="00B55166" w:rsidRPr="001775DE" w:rsidRDefault="00B55166" w:rsidP="001775DE">
      <w:pPr>
        <w:spacing w:after="0" w:line="240" w:lineRule="auto"/>
        <w:jc w:val="both"/>
        <w:rPr>
          <w:sz w:val="24"/>
          <w:szCs w:val="24"/>
        </w:rPr>
      </w:pPr>
    </w:p>
    <w:p w14:paraId="02EA5D8F" w14:textId="77777777" w:rsidR="003A18CC" w:rsidRPr="003A18CC" w:rsidRDefault="003A18CC" w:rsidP="003A18CC">
      <w:pPr>
        <w:spacing w:after="0" w:line="240" w:lineRule="auto"/>
        <w:jc w:val="both"/>
        <w:rPr>
          <w:b/>
          <w:sz w:val="24"/>
          <w:szCs w:val="24"/>
        </w:rPr>
      </w:pPr>
      <w:r w:rsidRPr="003A18CC">
        <w:rPr>
          <w:b/>
          <w:sz w:val="24"/>
          <w:szCs w:val="24"/>
        </w:rPr>
        <w:t>Llegadas de pasajeros al país</w:t>
      </w:r>
    </w:p>
    <w:p w14:paraId="7413DFB5" w14:textId="77761657" w:rsidR="003A18CC" w:rsidRPr="003A18CC" w:rsidRDefault="003A18CC" w:rsidP="003A18CC">
      <w:pPr>
        <w:spacing w:after="0" w:line="240" w:lineRule="auto"/>
        <w:jc w:val="both"/>
        <w:rPr>
          <w:sz w:val="24"/>
          <w:szCs w:val="24"/>
        </w:rPr>
      </w:pPr>
      <w:r w:rsidRPr="003A18CC">
        <w:rPr>
          <w:sz w:val="24"/>
          <w:szCs w:val="24"/>
        </w:rPr>
        <w:t xml:space="preserve">En la temporada 2002-2003 hubo 179.146 llegadas de pasajeros (considera solo </w:t>
      </w:r>
      <w:proofErr w:type="spellStart"/>
      <w:r w:rsidRPr="003A18CC">
        <w:rPr>
          <w:sz w:val="24"/>
          <w:szCs w:val="24"/>
        </w:rPr>
        <w:t>cruceristas</w:t>
      </w:r>
      <w:proofErr w:type="spellEnd"/>
      <w:r w:rsidRPr="003A18CC">
        <w:rPr>
          <w:sz w:val="24"/>
          <w:szCs w:val="24"/>
        </w:rPr>
        <w:t xml:space="preserve">). </w:t>
      </w:r>
      <w:r w:rsidR="00B20B49">
        <w:rPr>
          <w:sz w:val="24"/>
          <w:szCs w:val="24"/>
        </w:rPr>
        <w:t>Diez</w:t>
      </w:r>
      <w:r w:rsidRPr="003A18CC">
        <w:rPr>
          <w:sz w:val="24"/>
          <w:szCs w:val="24"/>
        </w:rPr>
        <w:t xml:space="preserve"> años después, en la temporada 2012-2013, llegaron 231.206 pasajeros, equivalente a un aumento de 29%. </w:t>
      </w:r>
    </w:p>
    <w:p w14:paraId="397A1BC4" w14:textId="77777777" w:rsidR="003A18CC" w:rsidRPr="003A18CC" w:rsidRDefault="003A18CC" w:rsidP="003A18CC">
      <w:pPr>
        <w:pStyle w:val="Prrafodelista"/>
        <w:spacing w:after="0" w:line="240" w:lineRule="auto"/>
        <w:ind w:left="1080"/>
        <w:jc w:val="both"/>
        <w:rPr>
          <w:sz w:val="24"/>
          <w:szCs w:val="24"/>
        </w:rPr>
      </w:pPr>
    </w:p>
    <w:p w14:paraId="295EA308" w14:textId="13066B83"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 xml:space="preserve">En la temporada 2016-2017 llegaron 293.999 </w:t>
      </w:r>
      <w:proofErr w:type="spellStart"/>
      <w:r w:rsidRPr="003A18CC">
        <w:rPr>
          <w:sz w:val="24"/>
          <w:szCs w:val="24"/>
        </w:rPr>
        <w:t>cruceristas</w:t>
      </w:r>
      <w:proofErr w:type="spellEnd"/>
      <w:r w:rsidRPr="003A18CC">
        <w:rPr>
          <w:sz w:val="24"/>
          <w:szCs w:val="24"/>
        </w:rPr>
        <w:t>, reflejando un aumento de 7% respecto a la temporada anterior 2015-2016, y un aumento de 26% respecto al 2012-2013 y un crecimiento de 62% respecto a 2002-2003 (crecimiento en 14 años).</w:t>
      </w:r>
    </w:p>
    <w:p w14:paraId="2EA13B5B" w14:textId="77777777"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 xml:space="preserve">En la temporada </w:t>
      </w:r>
      <w:r w:rsidRPr="005A52D2">
        <w:rPr>
          <w:b/>
          <w:sz w:val="24"/>
          <w:szCs w:val="24"/>
          <w:u w:val="single"/>
        </w:rPr>
        <w:t xml:space="preserve">2017-2018 </w:t>
      </w:r>
      <w:r w:rsidRPr="003A18CC">
        <w:rPr>
          <w:sz w:val="24"/>
          <w:szCs w:val="24"/>
        </w:rPr>
        <w:t xml:space="preserve">llegaron 250.583 </w:t>
      </w:r>
      <w:proofErr w:type="spellStart"/>
      <w:r w:rsidRPr="003A18CC">
        <w:rPr>
          <w:sz w:val="24"/>
          <w:szCs w:val="24"/>
        </w:rPr>
        <w:t>cruceristas</w:t>
      </w:r>
      <w:proofErr w:type="spellEnd"/>
      <w:r w:rsidRPr="003A18CC">
        <w:rPr>
          <w:sz w:val="24"/>
          <w:szCs w:val="24"/>
        </w:rPr>
        <w:t xml:space="preserve">, reflejando una baja de 15% respecto a la temporada 2016-2017, explicado, en parte, a garantías de funcionamiento portuario de ciertos puertos (Valparaíso principalmente), tarifas y condiciones de mercado. </w:t>
      </w:r>
    </w:p>
    <w:p w14:paraId="7A6ED68A" w14:textId="77777777" w:rsidR="003A18CC" w:rsidRPr="003A18CC" w:rsidRDefault="003A18CC" w:rsidP="003A18CC">
      <w:pPr>
        <w:spacing w:after="0" w:line="240" w:lineRule="auto"/>
        <w:jc w:val="both"/>
        <w:rPr>
          <w:sz w:val="24"/>
          <w:szCs w:val="24"/>
        </w:rPr>
      </w:pPr>
    </w:p>
    <w:p w14:paraId="47973A9F" w14:textId="77777777" w:rsidR="005525E9" w:rsidRDefault="005525E9" w:rsidP="003A18CC">
      <w:pPr>
        <w:spacing w:after="0" w:line="240" w:lineRule="auto"/>
        <w:jc w:val="both"/>
        <w:rPr>
          <w:b/>
          <w:sz w:val="24"/>
          <w:szCs w:val="24"/>
        </w:rPr>
      </w:pPr>
    </w:p>
    <w:p w14:paraId="0CB8B158" w14:textId="116208F9" w:rsidR="005525E9" w:rsidRDefault="005525E9" w:rsidP="003A18CC">
      <w:pPr>
        <w:spacing w:after="0" w:line="240" w:lineRule="auto"/>
        <w:jc w:val="both"/>
        <w:rPr>
          <w:b/>
          <w:sz w:val="24"/>
          <w:szCs w:val="24"/>
        </w:rPr>
      </w:pPr>
    </w:p>
    <w:p w14:paraId="78FEFA17" w14:textId="68CD490D" w:rsidR="00A45D0D" w:rsidRDefault="00A45D0D" w:rsidP="003A18CC">
      <w:pPr>
        <w:spacing w:after="0" w:line="240" w:lineRule="auto"/>
        <w:jc w:val="both"/>
        <w:rPr>
          <w:b/>
          <w:sz w:val="24"/>
          <w:szCs w:val="24"/>
        </w:rPr>
      </w:pPr>
    </w:p>
    <w:p w14:paraId="26786BF0" w14:textId="74D1A575" w:rsidR="00A45D0D" w:rsidRDefault="00A45D0D" w:rsidP="003A18CC">
      <w:pPr>
        <w:spacing w:after="0" w:line="240" w:lineRule="auto"/>
        <w:jc w:val="both"/>
        <w:rPr>
          <w:b/>
          <w:sz w:val="24"/>
          <w:szCs w:val="24"/>
        </w:rPr>
      </w:pPr>
    </w:p>
    <w:p w14:paraId="29C58074" w14:textId="77777777" w:rsidR="00A45D0D" w:rsidRDefault="00A45D0D" w:rsidP="003A18CC">
      <w:pPr>
        <w:spacing w:after="0" w:line="240" w:lineRule="auto"/>
        <w:jc w:val="both"/>
        <w:rPr>
          <w:b/>
          <w:sz w:val="24"/>
          <w:szCs w:val="24"/>
        </w:rPr>
      </w:pPr>
    </w:p>
    <w:p w14:paraId="2FE7AE1B" w14:textId="77777777" w:rsidR="005525E9" w:rsidRDefault="005525E9" w:rsidP="003A18CC">
      <w:pPr>
        <w:spacing w:after="0" w:line="240" w:lineRule="auto"/>
        <w:jc w:val="both"/>
        <w:rPr>
          <w:b/>
          <w:sz w:val="24"/>
          <w:szCs w:val="24"/>
        </w:rPr>
      </w:pPr>
    </w:p>
    <w:p w14:paraId="09296D17" w14:textId="2478231C" w:rsidR="003A18CC" w:rsidRPr="003A18CC" w:rsidRDefault="003A18CC" w:rsidP="003A18CC">
      <w:pPr>
        <w:spacing w:after="0" w:line="240" w:lineRule="auto"/>
        <w:jc w:val="both"/>
        <w:rPr>
          <w:b/>
          <w:sz w:val="24"/>
          <w:szCs w:val="24"/>
        </w:rPr>
      </w:pPr>
      <w:r w:rsidRPr="003A18CC">
        <w:rPr>
          <w:b/>
          <w:sz w:val="24"/>
          <w:szCs w:val="24"/>
        </w:rPr>
        <w:lastRenderedPageBreak/>
        <w:t>Puertos principales</w:t>
      </w:r>
    </w:p>
    <w:p w14:paraId="154AAFB3" w14:textId="77777777" w:rsidR="003A18CC" w:rsidRPr="003A18CC" w:rsidRDefault="003A18CC" w:rsidP="003A18CC">
      <w:pPr>
        <w:spacing w:after="0" w:line="240" w:lineRule="auto"/>
        <w:jc w:val="both"/>
        <w:rPr>
          <w:sz w:val="24"/>
          <w:szCs w:val="24"/>
        </w:rPr>
      </w:pPr>
      <w:r w:rsidRPr="003A18CC">
        <w:rPr>
          <w:sz w:val="24"/>
          <w:szCs w:val="24"/>
        </w:rPr>
        <w:t xml:space="preserve">Los puertos que concentran el mayor número de recaladas y pasajeros han sido históricamente Valparaíso, Punta Arenas, Puerto Montt y Puerto Chacabuco (este último es Puerto </w:t>
      </w:r>
      <w:proofErr w:type="spellStart"/>
      <w:r w:rsidRPr="003A18CC">
        <w:rPr>
          <w:sz w:val="24"/>
          <w:szCs w:val="24"/>
        </w:rPr>
        <w:t>Oxxean</w:t>
      </w:r>
      <w:proofErr w:type="spellEnd"/>
      <w:r w:rsidRPr="003A18CC">
        <w:rPr>
          <w:sz w:val="24"/>
          <w:szCs w:val="24"/>
        </w:rPr>
        <w:t xml:space="preserve"> Chacabuco, inaugurado a fines de 2009). Las participaciones han evolucionado como sigue:</w:t>
      </w:r>
    </w:p>
    <w:p w14:paraId="42C31533" w14:textId="1BEBBADD" w:rsidR="003A18CC" w:rsidRPr="003A18CC" w:rsidRDefault="003A18CC" w:rsidP="003A18CC">
      <w:pPr>
        <w:spacing w:after="0" w:line="240" w:lineRule="auto"/>
        <w:jc w:val="both"/>
        <w:rPr>
          <w:sz w:val="24"/>
          <w:szCs w:val="24"/>
        </w:rPr>
      </w:pPr>
    </w:p>
    <w:p w14:paraId="511114E0" w14:textId="77777777" w:rsidR="003A18CC" w:rsidRPr="003A18CC" w:rsidRDefault="003A18CC" w:rsidP="003A18CC">
      <w:pPr>
        <w:pStyle w:val="Prrafodelista"/>
        <w:spacing w:after="0" w:line="240" w:lineRule="auto"/>
        <w:ind w:left="1080"/>
        <w:jc w:val="both"/>
        <w:rPr>
          <w:sz w:val="24"/>
          <w:szCs w:val="24"/>
        </w:rPr>
      </w:pPr>
    </w:p>
    <w:tbl>
      <w:tblPr>
        <w:tblW w:w="6521" w:type="dxa"/>
        <w:jc w:val="center"/>
        <w:tblCellMar>
          <w:left w:w="70" w:type="dxa"/>
          <w:right w:w="70" w:type="dxa"/>
        </w:tblCellMar>
        <w:tblLook w:val="04A0" w:firstRow="1" w:lastRow="0" w:firstColumn="1" w:lastColumn="0" w:noHBand="0" w:noVBand="1"/>
      </w:tblPr>
      <w:tblGrid>
        <w:gridCol w:w="1560"/>
        <w:gridCol w:w="1189"/>
        <w:gridCol w:w="1200"/>
        <w:gridCol w:w="1200"/>
        <w:gridCol w:w="1372"/>
      </w:tblGrid>
      <w:tr w:rsidR="003A18CC" w:rsidRPr="00F5560E" w14:paraId="647862F3" w14:textId="77777777" w:rsidTr="00B97A62">
        <w:trPr>
          <w:trHeight w:val="600"/>
          <w:jc w:val="center"/>
        </w:trPr>
        <w:tc>
          <w:tcPr>
            <w:tcW w:w="1560" w:type="dxa"/>
            <w:tcBorders>
              <w:top w:val="nil"/>
              <w:left w:val="nil"/>
              <w:bottom w:val="nil"/>
              <w:right w:val="nil"/>
            </w:tcBorders>
            <w:shd w:val="clear" w:color="000000" w:fill="5B9BD5"/>
            <w:noWrap/>
            <w:vAlign w:val="bottom"/>
            <w:hideMark/>
          </w:tcPr>
          <w:p w14:paraId="175ABCEE" w14:textId="77777777" w:rsidR="003A18CC" w:rsidRPr="00F5560E" w:rsidRDefault="003A18CC" w:rsidP="00B97A62">
            <w:pPr>
              <w:spacing w:after="0" w:line="240" w:lineRule="auto"/>
              <w:jc w:val="center"/>
              <w:rPr>
                <w:rFonts w:eastAsia="Times New Roman" w:cs="Calibri"/>
                <w:b/>
                <w:color w:val="000000"/>
                <w:lang w:val="es-ES" w:eastAsia="es-ES"/>
              </w:rPr>
            </w:pPr>
            <w:r w:rsidRPr="00D07975">
              <w:rPr>
                <w:rFonts w:eastAsia="Times New Roman" w:cs="Calibri"/>
                <w:b/>
                <w:color w:val="FFFFFF" w:themeColor="background1"/>
                <w:lang w:val="es-ES" w:eastAsia="es-ES"/>
              </w:rPr>
              <w:t>Pasajeros</w:t>
            </w:r>
          </w:p>
        </w:tc>
        <w:tc>
          <w:tcPr>
            <w:tcW w:w="1189" w:type="dxa"/>
            <w:tcBorders>
              <w:top w:val="single" w:sz="4" w:space="0" w:color="FFFFFF"/>
              <w:left w:val="single" w:sz="4" w:space="0" w:color="FFFFFF"/>
              <w:bottom w:val="single" w:sz="4" w:space="0" w:color="FFFFFF"/>
              <w:right w:val="single" w:sz="4" w:space="0" w:color="FFFFFF"/>
            </w:tcBorders>
            <w:shd w:val="clear" w:color="000000" w:fill="5B9BD5"/>
            <w:vAlign w:val="bottom"/>
            <w:hideMark/>
          </w:tcPr>
          <w:p w14:paraId="0F0EAAFD"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Temporada 2012-2013</w:t>
            </w:r>
          </w:p>
        </w:tc>
        <w:tc>
          <w:tcPr>
            <w:tcW w:w="1200" w:type="dxa"/>
            <w:tcBorders>
              <w:top w:val="single" w:sz="4" w:space="0" w:color="FFFFFF"/>
              <w:left w:val="nil"/>
              <w:bottom w:val="single" w:sz="4" w:space="0" w:color="FFFFFF"/>
              <w:right w:val="single" w:sz="4" w:space="0" w:color="FFFFFF"/>
            </w:tcBorders>
            <w:shd w:val="clear" w:color="000000" w:fill="5B9BD5"/>
            <w:vAlign w:val="bottom"/>
            <w:hideMark/>
          </w:tcPr>
          <w:p w14:paraId="40C26C0D"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Temporada 2015-2016</w:t>
            </w:r>
          </w:p>
        </w:tc>
        <w:tc>
          <w:tcPr>
            <w:tcW w:w="1200" w:type="dxa"/>
            <w:tcBorders>
              <w:top w:val="nil"/>
              <w:left w:val="nil"/>
              <w:bottom w:val="nil"/>
              <w:right w:val="nil"/>
            </w:tcBorders>
            <w:shd w:val="clear" w:color="000000" w:fill="5B9BD5"/>
            <w:vAlign w:val="bottom"/>
            <w:hideMark/>
          </w:tcPr>
          <w:p w14:paraId="7DB7F4C7"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Temporada 2016-2017</w:t>
            </w:r>
          </w:p>
        </w:tc>
        <w:tc>
          <w:tcPr>
            <w:tcW w:w="1372" w:type="dxa"/>
            <w:tcBorders>
              <w:top w:val="nil"/>
              <w:left w:val="nil"/>
              <w:bottom w:val="nil"/>
              <w:right w:val="nil"/>
            </w:tcBorders>
            <w:shd w:val="clear" w:color="000000" w:fill="5B9BD5"/>
            <w:vAlign w:val="bottom"/>
          </w:tcPr>
          <w:p w14:paraId="15367021" w14:textId="77777777" w:rsidR="003A18CC" w:rsidRPr="00F5560E" w:rsidRDefault="003A18CC" w:rsidP="00B97A62">
            <w:pPr>
              <w:spacing w:after="0" w:line="240" w:lineRule="auto"/>
              <w:jc w:val="center"/>
              <w:rPr>
                <w:rFonts w:eastAsia="Times New Roman" w:cs="Calibri"/>
                <w:b/>
                <w:bCs/>
                <w:color w:val="FFFFFF"/>
                <w:lang w:val="es-ES" w:eastAsia="es-ES"/>
              </w:rPr>
            </w:pPr>
            <w:r>
              <w:rPr>
                <w:rFonts w:eastAsia="Times New Roman" w:cs="Calibri"/>
                <w:b/>
                <w:bCs/>
                <w:color w:val="FFFFFF"/>
                <w:lang w:val="es-ES" w:eastAsia="es-ES"/>
              </w:rPr>
              <w:t>Temporada 2017-2018*</w:t>
            </w:r>
          </w:p>
        </w:tc>
      </w:tr>
      <w:tr w:rsidR="003A18CC" w:rsidRPr="00F5560E" w14:paraId="09BA7CE0" w14:textId="77777777" w:rsidTr="00B97A62">
        <w:trPr>
          <w:trHeight w:val="300"/>
          <w:jc w:val="center"/>
        </w:trPr>
        <w:tc>
          <w:tcPr>
            <w:tcW w:w="1560" w:type="dxa"/>
            <w:tcBorders>
              <w:top w:val="single" w:sz="4" w:space="0" w:color="FFFFFF"/>
              <w:left w:val="single" w:sz="4" w:space="0" w:color="FFFFFF"/>
              <w:bottom w:val="single" w:sz="4" w:space="0" w:color="FFFFFF"/>
              <w:right w:val="single" w:sz="4" w:space="0" w:color="FFFFFF"/>
            </w:tcBorders>
            <w:shd w:val="clear" w:color="000000" w:fill="5B9BD5"/>
            <w:vAlign w:val="bottom"/>
            <w:hideMark/>
          </w:tcPr>
          <w:p w14:paraId="7978F09F"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Puerto</w:t>
            </w:r>
          </w:p>
        </w:tc>
        <w:tc>
          <w:tcPr>
            <w:tcW w:w="1189" w:type="dxa"/>
            <w:tcBorders>
              <w:top w:val="nil"/>
              <w:left w:val="nil"/>
              <w:bottom w:val="nil"/>
              <w:right w:val="nil"/>
            </w:tcBorders>
            <w:shd w:val="clear" w:color="000000" w:fill="5B9BD5"/>
            <w:vAlign w:val="bottom"/>
            <w:hideMark/>
          </w:tcPr>
          <w:p w14:paraId="2FB3F6A1" w14:textId="77777777" w:rsidR="003A18CC" w:rsidRPr="00F5560E" w:rsidRDefault="003A18CC" w:rsidP="00B97A62">
            <w:pPr>
              <w:spacing w:after="0" w:line="240" w:lineRule="auto"/>
              <w:jc w:val="center"/>
              <w:rPr>
                <w:rFonts w:eastAsia="Times New Roman" w:cs="Calibri"/>
                <w:b/>
                <w:bCs/>
                <w:color w:val="FFFFFF"/>
                <w:sz w:val="16"/>
                <w:szCs w:val="16"/>
                <w:lang w:val="es-ES" w:eastAsia="es-ES"/>
              </w:rPr>
            </w:pPr>
            <w:r w:rsidRPr="00F5560E">
              <w:rPr>
                <w:rFonts w:eastAsia="Times New Roman" w:cs="Calibri"/>
                <w:b/>
                <w:bCs/>
                <w:color w:val="FFFFFF"/>
                <w:sz w:val="16"/>
                <w:szCs w:val="16"/>
                <w:lang w:val="es-ES" w:eastAsia="es-ES"/>
              </w:rPr>
              <w:t>% Participación</w:t>
            </w:r>
          </w:p>
        </w:tc>
        <w:tc>
          <w:tcPr>
            <w:tcW w:w="1200" w:type="dxa"/>
            <w:tcBorders>
              <w:top w:val="nil"/>
              <w:left w:val="single" w:sz="4" w:space="0" w:color="FFFFFF"/>
              <w:bottom w:val="single" w:sz="4" w:space="0" w:color="FFFFFF"/>
              <w:right w:val="single" w:sz="4" w:space="0" w:color="FFFFFF"/>
            </w:tcBorders>
            <w:shd w:val="clear" w:color="000000" w:fill="5B9BD5"/>
            <w:vAlign w:val="bottom"/>
            <w:hideMark/>
          </w:tcPr>
          <w:p w14:paraId="26094380" w14:textId="77777777" w:rsidR="003A18CC" w:rsidRPr="00F5560E" w:rsidRDefault="003A18CC" w:rsidP="00B97A62">
            <w:pPr>
              <w:spacing w:after="0" w:line="240" w:lineRule="auto"/>
              <w:jc w:val="center"/>
              <w:rPr>
                <w:rFonts w:eastAsia="Times New Roman" w:cs="Calibri"/>
                <w:b/>
                <w:bCs/>
                <w:color w:val="FFFFFF"/>
                <w:sz w:val="16"/>
                <w:szCs w:val="16"/>
                <w:lang w:val="es-ES" w:eastAsia="es-ES"/>
              </w:rPr>
            </w:pPr>
            <w:r w:rsidRPr="00F5560E">
              <w:rPr>
                <w:rFonts w:eastAsia="Times New Roman" w:cs="Calibri"/>
                <w:b/>
                <w:bCs/>
                <w:color w:val="FFFFFF"/>
                <w:sz w:val="16"/>
                <w:szCs w:val="16"/>
                <w:lang w:val="es-ES" w:eastAsia="es-ES"/>
              </w:rPr>
              <w:t>% Participación</w:t>
            </w:r>
          </w:p>
        </w:tc>
        <w:tc>
          <w:tcPr>
            <w:tcW w:w="1200" w:type="dxa"/>
            <w:tcBorders>
              <w:top w:val="single" w:sz="4" w:space="0" w:color="FFFFFF"/>
              <w:left w:val="nil"/>
              <w:bottom w:val="single" w:sz="4" w:space="0" w:color="FFFFFF"/>
              <w:right w:val="single" w:sz="4" w:space="0" w:color="FFFFFF"/>
            </w:tcBorders>
            <w:shd w:val="clear" w:color="000000" w:fill="5B9BD5"/>
            <w:vAlign w:val="bottom"/>
            <w:hideMark/>
          </w:tcPr>
          <w:p w14:paraId="4C6F4424" w14:textId="77777777" w:rsidR="003A18CC" w:rsidRPr="00F5560E" w:rsidRDefault="003A18CC" w:rsidP="00B97A62">
            <w:pPr>
              <w:spacing w:after="0" w:line="240" w:lineRule="auto"/>
              <w:jc w:val="center"/>
              <w:rPr>
                <w:rFonts w:eastAsia="Times New Roman" w:cs="Calibri"/>
                <w:b/>
                <w:bCs/>
                <w:color w:val="FFFFFF"/>
                <w:sz w:val="16"/>
                <w:szCs w:val="16"/>
                <w:lang w:val="es-ES" w:eastAsia="es-ES"/>
              </w:rPr>
            </w:pPr>
            <w:r w:rsidRPr="00F5560E">
              <w:rPr>
                <w:rFonts w:eastAsia="Times New Roman" w:cs="Calibri"/>
                <w:b/>
                <w:bCs/>
                <w:color w:val="FFFFFF"/>
                <w:sz w:val="16"/>
                <w:szCs w:val="16"/>
                <w:lang w:val="es-ES" w:eastAsia="es-ES"/>
              </w:rPr>
              <w:t>% Participación</w:t>
            </w:r>
          </w:p>
        </w:tc>
        <w:tc>
          <w:tcPr>
            <w:tcW w:w="1372" w:type="dxa"/>
            <w:tcBorders>
              <w:top w:val="single" w:sz="4" w:space="0" w:color="FFFFFF"/>
              <w:left w:val="nil"/>
              <w:bottom w:val="single" w:sz="4" w:space="0" w:color="FFFFFF"/>
              <w:right w:val="single" w:sz="4" w:space="0" w:color="FFFFFF"/>
            </w:tcBorders>
            <w:shd w:val="clear" w:color="000000" w:fill="5B9BD5"/>
            <w:vAlign w:val="bottom"/>
          </w:tcPr>
          <w:p w14:paraId="6395ED39" w14:textId="77777777" w:rsidR="003A18CC" w:rsidRPr="00F5560E" w:rsidRDefault="003A18CC" w:rsidP="00B97A62">
            <w:pPr>
              <w:spacing w:after="0" w:line="240" w:lineRule="auto"/>
              <w:jc w:val="center"/>
              <w:rPr>
                <w:rFonts w:eastAsia="Times New Roman" w:cs="Calibri"/>
                <w:b/>
                <w:bCs/>
                <w:color w:val="FFFFFF"/>
                <w:sz w:val="16"/>
                <w:szCs w:val="16"/>
                <w:lang w:val="es-ES" w:eastAsia="es-ES"/>
              </w:rPr>
            </w:pPr>
            <w:r w:rsidRPr="00F5560E">
              <w:rPr>
                <w:rFonts w:eastAsia="Times New Roman" w:cs="Calibri"/>
                <w:b/>
                <w:bCs/>
                <w:color w:val="FFFFFF"/>
                <w:sz w:val="16"/>
                <w:szCs w:val="16"/>
                <w:lang w:val="es-ES" w:eastAsia="es-ES"/>
              </w:rPr>
              <w:t>% Participación</w:t>
            </w:r>
          </w:p>
        </w:tc>
      </w:tr>
      <w:tr w:rsidR="003A18CC" w:rsidRPr="00F5560E" w14:paraId="1B0C499B" w14:textId="77777777" w:rsidTr="00B97A62">
        <w:trPr>
          <w:trHeight w:val="300"/>
          <w:jc w:val="center"/>
        </w:trPr>
        <w:tc>
          <w:tcPr>
            <w:tcW w:w="1560" w:type="dxa"/>
            <w:tcBorders>
              <w:top w:val="nil"/>
              <w:left w:val="nil"/>
              <w:bottom w:val="nil"/>
              <w:right w:val="nil"/>
            </w:tcBorders>
            <w:shd w:val="clear" w:color="000000" w:fill="5B9BD5"/>
            <w:vAlign w:val="bottom"/>
            <w:hideMark/>
          </w:tcPr>
          <w:p w14:paraId="525556B2"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Valparaíso</w:t>
            </w:r>
            <w:r>
              <w:rPr>
                <w:rFonts w:eastAsia="Times New Roman" w:cs="Calibri"/>
                <w:b/>
                <w:bCs/>
                <w:color w:val="FFFFFF"/>
                <w:lang w:val="es-ES" w:eastAsia="es-ES"/>
              </w:rPr>
              <w:t>*</w:t>
            </w:r>
          </w:p>
        </w:tc>
        <w:tc>
          <w:tcPr>
            <w:tcW w:w="1189" w:type="dxa"/>
            <w:tcBorders>
              <w:top w:val="nil"/>
              <w:left w:val="nil"/>
              <w:bottom w:val="nil"/>
              <w:right w:val="nil"/>
            </w:tcBorders>
            <w:shd w:val="clear" w:color="auto" w:fill="auto"/>
            <w:noWrap/>
            <w:vAlign w:val="bottom"/>
            <w:hideMark/>
          </w:tcPr>
          <w:p w14:paraId="2EEBC2C8"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28,8</w:t>
            </w:r>
          </w:p>
        </w:tc>
        <w:tc>
          <w:tcPr>
            <w:tcW w:w="1200" w:type="dxa"/>
            <w:tcBorders>
              <w:top w:val="nil"/>
              <w:left w:val="nil"/>
              <w:bottom w:val="nil"/>
              <w:right w:val="nil"/>
            </w:tcBorders>
            <w:shd w:val="clear" w:color="auto" w:fill="auto"/>
            <w:noWrap/>
            <w:vAlign w:val="bottom"/>
            <w:hideMark/>
          </w:tcPr>
          <w:p w14:paraId="259C3D83"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23,6</w:t>
            </w:r>
          </w:p>
        </w:tc>
        <w:tc>
          <w:tcPr>
            <w:tcW w:w="1200" w:type="dxa"/>
            <w:tcBorders>
              <w:top w:val="nil"/>
              <w:left w:val="nil"/>
              <w:bottom w:val="nil"/>
              <w:right w:val="nil"/>
            </w:tcBorders>
            <w:shd w:val="clear" w:color="auto" w:fill="auto"/>
            <w:noWrap/>
            <w:vAlign w:val="bottom"/>
            <w:hideMark/>
          </w:tcPr>
          <w:p w14:paraId="75F08FAC"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25,0</w:t>
            </w:r>
          </w:p>
        </w:tc>
        <w:tc>
          <w:tcPr>
            <w:tcW w:w="1372" w:type="dxa"/>
            <w:tcBorders>
              <w:top w:val="nil"/>
              <w:left w:val="nil"/>
              <w:bottom w:val="nil"/>
              <w:right w:val="nil"/>
            </w:tcBorders>
          </w:tcPr>
          <w:p w14:paraId="28C4A575"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2,1</w:t>
            </w:r>
          </w:p>
        </w:tc>
      </w:tr>
      <w:tr w:rsidR="003A18CC" w:rsidRPr="00F5560E" w14:paraId="3FED17C3" w14:textId="77777777" w:rsidTr="00B97A62">
        <w:trPr>
          <w:trHeight w:val="300"/>
          <w:jc w:val="center"/>
        </w:trPr>
        <w:tc>
          <w:tcPr>
            <w:tcW w:w="1560" w:type="dxa"/>
            <w:tcBorders>
              <w:top w:val="nil"/>
              <w:left w:val="nil"/>
              <w:bottom w:val="nil"/>
              <w:right w:val="nil"/>
            </w:tcBorders>
            <w:shd w:val="clear" w:color="000000" w:fill="5B9BD5"/>
            <w:vAlign w:val="bottom"/>
          </w:tcPr>
          <w:p w14:paraId="41707974" w14:textId="77777777" w:rsidR="003A18CC" w:rsidRPr="00F5560E" w:rsidRDefault="003A18CC" w:rsidP="00B97A62">
            <w:pPr>
              <w:spacing w:after="0" w:line="240" w:lineRule="auto"/>
              <w:jc w:val="center"/>
              <w:rPr>
                <w:rFonts w:eastAsia="Times New Roman" w:cs="Calibri"/>
                <w:b/>
                <w:bCs/>
                <w:color w:val="FFFFFF"/>
                <w:lang w:val="es-ES" w:eastAsia="es-ES"/>
              </w:rPr>
            </w:pPr>
            <w:r>
              <w:rPr>
                <w:rFonts w:eastAsia="Times New Roman" w:cs="Calibri"/>
                <w:b/>
                <w:bCs/>
                <w:color w:val="FFFFFF"/>
                <w:lang w:val="es-ES" w:eastAsia="es-ES"/>
              </w:rPr>
              <w:t>San Antonio*</w:t>
            </w:r>
          </w:p>
        </w:tc>
        <w:tc>
          <w:tcPr>
            <w:tcW w:w="1189" w:type="dxa"/>
            <w:tcBorders>
              <w:top w:val="nil"/>
              <w:left w:val="nil"/>
              <w:bottom w:val="nil"/>
              <w:right w:val="nil"/>
            </w:tcBorders>
            <w:shd w:val="clear" w:color="auto" w:fill="auto"/>
            <w:noWrap/>
            <w:vAlign w:val="bottom"/>
          </w:tcPr>
          <w:p w14:paraId="12F02F2F"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0</w:t>
            </w:r>
          </w:p>
        </w:tc>
        <w:tc>
          <w:tcPr>
            <w:tcW w:w="1200" w:type="dxa"/>
            <w:tcBorders>
              <w:top w:val="nil"/>
              <w:left w:val="nil"/>
              <w:bottom w:val="nil"/>
              <w:right w:val="nil"/>
            </w:tcBorders>
            <w:shd w:val="clear" w:color="auto" w:fill="auto"/>
            <w:noWrap/>
            <w:vAlign w:val="bottom"/>
          </w:tcPr>
          <w:p w14:paraId="234EE1F6"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0</w:t>
            </w:r>
          </w:p>
        </w:tc>
        <w:tc>
          <w:tcPr>
            <w:tcW w:w="1200" w:type="dxa"/>
            <w:tcBorders>
              <w:top w:val="nil"/>
              <w:left w:val="nil"/>
              <w:bottom w:val="nil"/>
              <w:right w:val="nil"/>
            </w:tcBorders>
            <w:shd w:val="clear" w:color="auto" w:fill="auto"/>
            <w:noWrap/>
            <w:vAlign w:val="bottom"/>
          </w:tcPr>
          <w:p w14:paraId="243F6393"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0</w:t>
            </w:r>
          </w:p>
        </w:tc>
        <w:tc>
          <w:tcPr>
            <w:tcW w:w="1372" w:type="dxa"/>
            <w:tcBorders>
              <w:top w:val="nil"/>
              <w:left w:val="nil"/>
              <w:bottom w:val="nil"/>
              <w:right w:val="nil"/>
            </w:tcBorders>
          </w:tcPr>
          <w:p w14:paraId="2EDBC3A3"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17,3</w:t>
            </w:r>
          </w:p>
        </w:tc>
      </w:tr>
      <w:tr w:rsidR="003A18CC" w:rsidRPr="00F5560E" w14:paraId="68853903" w14:textId="77777777" w:rsidTr="00B97A62">
        <w:trPr>
          <w:trHeight w:val="300"/>
          <w:jc w:val="center"/>
        </w:trPr>
        <w:tc>
          <w:tcPr>
            <w:tcW w:w="1560" w:type="dxa"/>
            <w:tcBorders>
              <w:top w:val="nil"/>
              <w:left w:val="nil"/>
              <w:bottom w:val="nil"/>
              <w:right w:val="nil"/>
            </w:tcBorders>
            <w:shd w:val="clear" w:color="000000" w:fill="5B9BD5"/>
            <w:vAlign w:val="bottom"/>
            <w:hideMark/>
          </w:tcPr>
          <w:p w14:paraId="05B55BA0"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Punta Arenas</w:t>
            </w:r>
          </w:p>
        </w:tc>
        <w:tc>
          <w:tcPr>
            <w:tcW w:w="1189" w:type="dxa"/>
            <w:tcBorders>
              <w:top w:val="nil"/>
              <w:left w:val="nil"/>
              <w:bottom w:val="nil"/>
              <w:right w:val="nil"/>
            </w:tcBorders>
            <w:shd w:val="clear" w:color="auto" w:fill="auto"/>
            <w:noWrap/>
            <w:vAlign w:val="bottom"/>
            <w:hideMark/>
          </w:tcPr>
          <w:p w14:paraId="1988BD0E"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22,9</w:t>
            </w:r>
          </w:p>
        </w:tc>
        <w:tc>
          <w:tcPr>
            <w:tcW w:w="1200" w:type="dxa"/>
            <w:tcBorders>
              <w:top w:val="nil"/>
              <w:left w:val="nil"/>
              <w:bottom w:val="nil"/>
              <w:right w:val="nil"/>
            </w:tcBorders>
            <w:shd w:val="clear" w:color="auto" w:fill="auto"/>
            <w:noWrap/>
            <w:vAlign w:val="bottom"/>
            <w:hideMark/>
          </w:tcPr>
          <w:p w14:paraId="2DC970D8"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29,4</w:t>
            </w:r>
          </w:p>
        </w:tc>
        <w:tc>
          <w:tcPr>
            <w:tcW w:w="1200" w:type="dxa"/>
            <w:tcBorders>
              <w:top w:val="nil"/>
              <w:left w:val="nil"/>
              <w:bottom w:val="nil"/>
              <w:right w:val="nil"/>
            </w:tcBorders>
            <w:shd w:val="clear" w:color="auto" w:fill="auto"/>
            <w:noWrap/>
            <w:vAlign w:val="bottom"/>
            <w:hideMark/>
          </w:tcPr>
          <w:p w14:paraId="23FACF22"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26,9</w:t>
            </w:r>
          </w:p>
        </w:tc>
        <w:tc>
          <w:tcPr>
            <w:tcW w:w="1372" w:type="dxa"/>
            <w:tcBorders>
              <w:top w:val="nil"/>
              <w:left w:val="nil"/>
              <w:bottom w:val="nil"/>
              <w:right w:val="nil"/>
            </w:tcBorders>
          </w:tcPr>
          <w:p w14:paraId="67E91BD3" w14:textId="77777777" w:rsidR="003A18CC" w:rsidRDefault="003A18CC" w:rsidP="00B97A62">
            <w:pPr>
              <w:spacing w:after="0" w:line="240" w:lineRule="auto"/>
              <w:jc w:val="right"/>
              <w:rPr>
                <w:rFonts w:eastAsia="Times New Roman" w:cs="Calibri"/>
                <w:color w:val="000000"/>
                <w:lang w:val="es-ES" w:eastAsia="es-ES"/>
              </w:rPr>
            </w:pPr>
          </w:p>
          <w:p w14:paraId="74DD4AA3"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25,5</w:t>
            </w:r>
          </w:p>
        </w:tc>
      </w:tr>
      <w:tr w:rsidR="003A18CC" w:rsidRPr="00F5560E" w14:paraId="3D92BE2D" w14:textId="77777777" w:rsidTr="00B97A62">
        <w:trPr>
          <w:trHeight w:val="300"/>
          <w:jc w:val="center"/>
        </w:trPr>
        <w:tc>
          <w:tcPr>
            <w:tcW w:w="1560" w:type="dxa"/>
            <w:tcBorders>
              <w:top w:val="nil"/>
              <w:left w:val="nil"/>
              <w:bottom w:val="nil"/>
              <w:right w:val="nil"/>
            </w:tcBorders>
            <w:shd w:val="clear" w:color="000000" w:fill="5B9BD5"/>
            <w:vAlign w:val="bottom"/>
            <w:hideMark/>
          </w:tcPr>
          <w:p w14:paraId="59E91436"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Puerto Montt</w:t>
            </w:r>
          </w:p>
        </w:tc>
        <w:tc>
          <w:tcPr>
            <w:tcW w:w="1189" w:type="dxa"/>
            <w:tcBorders>
              <w:top w:val="nil"/>
              <w:left w:val="nil"/>
              <w:bottom w:val="nil"/>
              <w:right w:val="nil"/>
            </w:tcBorders>
            <w:shd w:val="clear" w:color="auto" w:fill="auto"/>
            <w:noWrap/>
            <w:vAlign w:val="bottom"/>
            <w:hideMark/>
          </w:tcPr>
          <w:p w14:paraId="5DB93993"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22,4</w:t>
            </w:r>
          </w:p>
        </w:tc>
        <w:tc>
          <w:tcPr>
            <w:tcW w:w="1200" w:type="dxa"/>
            <w:tcBorders>
              <w:top w:val="nil"/>
              <w:left w:val="nil"/>
              <w:bottom w:val="nil"/>
              <w:right w:val="nil"/>
            </w:tcBorders>
            <w:shd w:val="clear" w:color="auto" w:fill="auto"/>
            <w:noWrap/>
            <w:vAlign w:val="bottom"/>
            <w:hideMark/>
          </w:tcPr>
          <w:p w14:paraId="25E2B411"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26,0</w:t>
            </w:r>
          </w:p>
        </w:tc>
        <w:tc>
          <w:tcPr>
            <w:tcW w:w="1200" w:type="dxa"/>
            <w:tcBorders>
              <w:top w:val="nil"/>
              <w:left w:val="nil"/>
              <w:bottom w:val="nil"/>
              <w:right w:val="nil"/>
            </w:tcBorders>
            <w:shd w:val="clear" w:color="auto" w:fill="auto"/>
            <w:noWrap/>
            <w:vAlign w:val="bottom"/>
            <w:hideMark/>
          </w:tcPr>
          <w:p w14:paraId="0522A6BA"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20,8</w:t>
            </w:r>
          </w:p>
        </w:tc>
        <w:tc>
          <w:tcPr>
            <w:tcW w:w="1372" w:type="dxa"/>
            <w:tcBorders>
              <w:top w:val="nil"/>
              <w:left w:val="nil"/>
              <w:bottom w:val="nil"/>
              <w:right w:val="nil"/>
            </w:tcBorders>
          </w:tcPr>
          <w:p w14:paraId="1D62EA0A" w14:textId="77777777" w:rsidR="003A18CC" w:rsidRDefault="003A18CC" w:rsidP="00B97A62">
            <w:pPr>
              <w:spacing w:after="0" w:line="240" w:lineRule="auto"/>
              <w:jc w:val="right"/>
              <w:rPr>
                <w:rFonts w:eastAsia="Times New Roman" w:cs="Calibri"/>
                <w:color w:val="000000"/>
                <w:lang w:val="es-ES" w:eastAsia="es-ES"/>
              </w:rPr>
            </w:pPr>
          </w:p>
          <w:p w14:paraId="76B94B82"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23,4</w:t>
            </w:r>
          </w:p>
        </w:tc>
      </w:tr>
      <w:tr w:rsidR="003A18CC" w:rsidRPr="00F5560E" w14:paraId="3C3A679E" w14:textId="77777777" w:rsidTr="00B97A62">
        <w:trPr>
          <w:trHeight w:val="300"/>
          <w:jc w:val="center"/>
        </w:trPr>
        <w:tc>
          <w:tcPr>
            <w:tcW w:w="1560" w:type="dxa"/>
            <w:tcBorders>
              <w:top w:val="nil"/>
              <w:left w:val="nil"/>
              <w:bottom w:val="nil"/>
              <w:right w:val="nil"/>
            </w:tcBorders>
            <w:shd w:val="clear" w:color="000000" w:fill="5B9BD5"/>
            <w:vAlign w:val="bottom"/>
            <w:hideMark/>
          </w:tcPr>
          <w:p w14:paraId="4196993E"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Chacabuco</w:t>
            </w:r>
          </w:p>
        </w:tc>
        <w:tc>
          <w:tcPr>
            <w:tcW w:w="1189" w:type="dxa"/>
            <w:tcBorders>
              <w:top w:val="nil"/>
              <w:left w:val="nil"/>
              <w:bottom w:val="nil"/>
              <w:right w:val="nil"/>
            </w:tcBorders>
            <w:shd w:val="clear" w:color="auto" w:fill="auto"/>
            <w:noWrap/>
            <w:vAlign w:val="bottom"/>
            <w:hideMark/>
          </w:tcPr>
          <w:p w14:paraId="4981B1A5"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8,6</w:t>
            </w:r>
          </w:p>
        </w:tc>
        <w:tc>
          <w:tcPr>
            <w:tcW w:w="1200" w:type="dxa"/>
            <w:tcBorders>
              <w:top w:val="nil"/>
              <w:left w:val="nil"/>
              <w:bottom w:val="nil"/>
              <w:right w:val="nil"/>
            </w:tcBorders>
            <w:shd w:val="clear" w:color="auto" w:fill="auto"/>
            <w:noWrap/>
            <w:vAlign w:val="bottom"/>
            <w:hideMark/>
          </w:tcPr>
          <w:p w14:paraId="0F88E3C8"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13,8</w:t>
            </w:r>
          </w:p>
        </w:tc>
        <w:tc>
          <w:tcPr>
            <w:tcW w:w="1200" w:type="dxa"/>
            <w:tcBorders>
              <w:top w:val="nil"/>
              <w:left w:val="nil"/>
              <w:bottom w:val="nil"/>
              <w:right w:val="nil"/>
            </w:tcBorders>
            <w:shd w:val="clear" w:color="auto" w:fill="auto"/>
            <w:noWrap/>
            <w:vAlign w:val="bottom"/>
            <w:hideMark/>
          </w:tcPr>
          <w:p w14:paraId="11972529" w14:textId="77777777" w:rsidR="003A18CC" w:rsidRPr="00F5560E" w:rsidRDefault="003A18CC" w:rsidP="00B97A62">
            <w:pPr>
              <w:spacing w:after="0" w:line="240" w:lineRule="auto"/>
              <w:jc w:val="right"/>
              <w:rPr>
                <w:rFonts w:eastAsia="Times New Roman" w:cs="Calibri"/>
                <w:color w:val="000000"/>
                <w:lang w:val="es-ES" w:eastAsia="es-ES"/>
              </w:rPr>
            </w:pPr>
            <w:r w:rsidRPr="00F5560E">
              <w:rPr>
                <w:rFonts w:eastAsia="Times New Roman" w:cs="Calibri"/>
                <w:color w:val="000000"/>
                <w:lang w:val="es-ES" w:eastAsia="es-ES"/>
              </w:rPr>
              <w:t>11,4</w:t>
            </w:r>
          </w:p>
        </w:tc>
        <w:tc>
          <w:tcPr>
            <w:tcW w:w="1372" w:type="dxa"/>
            <w:tcBorders>
              <w:top w:val="nil"/>
              <w:left w:val="nil"/>
              <w:bottom w:val="nil"/>
              <w:right w:val="nil"/>
            </w:tcBorders>
          </w:tcPr>
          <w:p w14:paraId="6E793D87" w14:textId="77777777" w:rsidR="003A18CC" w:rsidRPr="00F5560E" w:rsidRDefault="003A18CC" w:rsidP="00B97A62">
            <w:pPr>
              <w:spacing w:after="0" w:line="240" w:lineRule="auto"/>
              <w:jc w:val="right"/>
              <w:rPr>
                <w:rFonts w:eastAsia="Times New Roman" w:cs="Calibri"/>
                <w:color w:val="000000"/>
                <w:lang w:val="es-ES" w:eastAsia="es-ES"/>
              </w:rPr>
            </w:pPr>
            <w:r>
              <w:rPr>
                <w:rFonts w:eastAsia="Times New Roman" w:cs="Calibri"/>
                <w:color w:val="000000"/>
                <w:lang w:val="es-ES" w:eastAsia="es-ES"/>
              </w:rPr>
              <w:t>7,6</w:t>
            </w:r>
          </w:p>
        </w:tc>
      </w:tr>
      <w:tr w:rsidR="003A18CC" w:rsidRPr="00F5560E" w14:paraId="6A5AC959" w14:textId="77777777" w:rsidTr="00B97A62">
        <w:trPr>
          <w:trHeight w:val="300"/>
          <w:jc w:val="center"/>
        </w:trPr>
        <w:tc>
          <w:tcPr>
            <w:tcW w:w="1560" w:type="dxa"/>
            <w:tcBorders>
              <w:top w:val="nil"/>
              <w:left w:val="nil"/>
              <w:bottom w:val="nil"/>
              <w:right w:val="nil"/>
            </w:tcBorders>
            <w:shd w:val="clear" w:color="000000" w:fill="5B9BD5"/>
            <w:vAlign w:val="bottom"/>
            <w:hideMark/>
          </w:tcPr>
          <w:p w14:paraId="27A5F0BE"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Total</w:t>
            </w:r>
          </w:p>
        </w:tc>
        <w:tc>
          <w:tcPr>
            <w:tcW w:w="1189" w:type="dxa"/>
            <w:tcBorders>
              <w:top w:val="single" w:sz="4" w:space="0" w:color="FFFFFF"/>
              <w:left w:val="single" w:sz="4" w:space="0" w:color="FFFFFF"/>
              <w:bottom w:val="single" w:sz="4" w:space="0" w:color="FFFFFF"/>
              <w:right w:val="single" w:sz="4" w:space="0" w:color="FFFFFF"/>
            </w:tcBorders>
            <w:shd w:val="clear" w:color="000000" w:fill="5B9BD5"/>
            <w:vAlign w:val="bottom"/>
            <w:hideMark/>
          </w:tcPr>
          <w:p w14:paraId="2411626C"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82,7</w:t>
            </w:r>
          </w:p>
        </w:tc>
        <w:tc>
          <w:tcPr>
            <w:tcW w:w="1200" w:type="dxa"/>
            <w:tcBorders>
              <w:top w:val="single" w:sz="4" w:space="0" w:color="FFFFFF"/>
              <w:left w:val="nil"/>
              <w:bottom w:val="single" w:sz="4" w:space="0" w:color="FFFFFF"/>
              <w:right w:val="single" w:sz="4" w:space="0" w:color="FFFFFF"/>
            </w:tcBorders>
            <w:shd w:val="clear" w:color="000000" w:fill="5B9BD5"/>
            <w:vAlign w:val="bottom"/>
            <w:hideMark/>
          </w:tcPr>
          <w:p w14:paraId="49F981F4"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92,8</w:t>
            </w:r>
          </w:p>
        </w:tc>
        <w:tc>
          <w:tcPr>
            <w:tcW w:w="1200" w:type="dxa"/>
            <w:tcBorders>
              <w:top w:val="single" w:sz="4" w:space="0" w:color="FFFFFF"/>
              <w:left w:val="nil"/>
              <w:bottom w:val="single" w:sz="4" w:space="0" w:color="FFFFFF"/>
              <w:right w:val="single" w:sz="4" w:space="0" w:color="FFFFFF"/>
            </w:tcBorders>
            <w:shd w:val="clear" w:color="000000" w:fill="5B9BD5"/>
            <w:vAlign w:val="bottom"/>
            <w:hideMark/>
          </w:tcPr>
          <w:p w14:paraId="03FB5ABD" w14:textId="77777777" w:rsidR="003A18CC" w:rsidRPr="00F5560E" w:rsidRDefault="003A18CC" w:rsidP="00B97A62">
            <w:pPr>
              <w:spacing w:after="0" w:line="240" w:lineRule="auto"/>
              <w:jc w:val="center"/>
              <w:rPr>
                <w:rFonts w:eastAsia="Times New Roman" w:cs="Calibri"/>
                <w:b/>
                <w:bCs/>
                <w:color w:val="FFFFFF"/>
                <w:lang w:val="es-ES" w:eastAsia="es-ES"/>
              </w:rPr>
            </w:pPr>
            <w:r w:rsidRPr="00F5560E">
              <w:rPr>
                <w:rFonts w:eastAsia="Times New Roman" w:cs="Calibri"/>
                <w:b/>
                <w:bCs/>
                <w:color w:val="FFFFFF"/>
                <w:lang w:val="es-ES" w:eastAsia="es-ES"/>
              </w:rPr>
              <w:t>84,1</w:t>
            </w:r>
          </w:p>
        </w:tc>
        <w:tc>
          <w:tcPr>
            <w:tcW w:w="1372" w:type="dxa"/>
            <w:tcBorders>
              <w:top w:val="single" w:sz="4" w:space="0" w:color="FFFFFF"/>
              <w:left w:val="nil"/>
              <w:bottom w:val="single" w:sz="4" w:space="0" w:color="FFFFFF"/>
              <w:right w:val="single" w:sz="4" w:space="0" w:color="FFFFFF"/>
            </w:tcBorders>
            <w:shd w:val="clear" w:color="000000" w:fill="5B9BD5"/>
          </w:tcPr>
          <w:p w14:paraId="5CD4CA1E" w14:textId="77777777" w:rsidR="003A18CC" w:rsidRPr="00F5560E" w:rsidRDefault="003A18CC" w:rsidP="00B97A62">
            <w:pPr>
              <w:spacing w:after="0" w:line="240" w:lineRule="auto"/>
              <w:jc w:val="center"/>
              <w:rPr>
                <w:rFonts w:eastAsia="Times New Roman" w:cs="Calibri"/>
                <w:b/>
                <w:bCs/>
                <w:color w:val="FFFFFF"/>
                <w:lang w:val="es-ES" w:eastAsia="es-ES"/>
              </w:rPr>
            </w:pPr>
            <w:r>
              <w:rPr>
                <w:rFonts w:eastAsia="Times New Roman" w:cs="Calibri"/>
                <w:b/>
                <w:bCs/>
                <w:color w:val="FFFFFF"/>
                <w:lang w:val="es-ES" w:eastAsia="es-ES"/>
              </w:rPr>
              <w:t>75,9</w:t>
            </w:r>
          </w:p>
        </w:tc>
      </w:tr>
    </w:tbl>
    <w:p w14:paraId="06218967" w14:textId="7C8CE821" w:rsidR="005A52D2" w:rsidRPr="001775DE" w:rsidRDefault="005A52D2" w:rsidP="001775DE">
      <w:pPr>
        <w:spacing w:after="0" w:line="240" w:lineRule="auto"/>
        <w:jc w:val="both"/>
        <w:rPr>
          <w:sz w:val="24"/>
          <w:szCs w:val="24"/>
        </w:rPr>
      </w:pPr>
    </w:p>
    <w:p w14:paraId="56945CF2" w14:textId="77777777"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Como se puede apreciar, estos 4* puertos concentran en promedio más del 80% de las recaladas y pasajeros de cada temporada.</w:t>
      </w:r>
    </w:p>
    <w:p w14:paraId="14BEA0D5" w14:textId="77777777"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3D898BD" w14:textId="00F70397"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 xml:space="preserve">(*) San Antonio cobró gran relevancia en este mercado, desplazando a Valparaíso, situación que se mantendrá al menos durante los próximos 2 años. </w:t>
      </w:r>
    </w:p>
    <w:p w14:paraId="276832E6" w14:textId="77777777"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 xml:space="preserve">En el caso de Valparaíso Terminal de Pasajeros (VTP) actualmente existe mucha capacidad ociosa en este terminal, puesto que inicialmente fue diseñado para recibir sobre 100.000 pasajeros por temporada. En la temporada que pasó recibió apenas 8.200 pasajeros aprox. sumando </w:t>
      </w:r>
      <w:proofErr w:type="spellStart"/>
      <w:r w:rsidRPr="003A18CC">
        <w:rPr>
          <w:sz w:val="24"/>
          <w:szCs w:val="24"/>
        </w:rPr>
        <w:t>cruceristas</w:t>
      </w:r>
      <w:proofErr w:type="spellEnd"/>
      <w:r w:rsidRPr="003A18CC">
        <w:rPr>
          <w:sz w:val="24"/>
          <w:szCs w:val="24"/>
        </w:rPr>
        <w:t xml:space="preserve"> y tripulantes. </w:t>
      </w:r>
    </w:p>
    <w:p w14:paraId="33652515" w14:textId="77777777" w:rsidR="00B55166" w:rsidRDefault="00B55166" w:rsidP="003A18CC">
      <w:pPr>
        <w:spacing w:after="0" w:line="240" w:lineRule="auto"/>
        <w:jc w:val="both"/>
        <w:rPr>
          <w:b/>
          <w:sz w:val="24"/>
          <w:szCs w:val="24"/>
        </w:rPr>
      </w:pPr>
    </w:p>
    <w:p w14:paraId="0043E792" w14:textId="77777777" w:rsidR="001775DE" w:rsidRDefault="001775DE" w:rsidP="003A18CC">
      <w:pPr>
        <w:spacing w:after="0" w:line="240" w:lineRule="auto"/>
        <w:jc w:val="both"/>
        <w:rPr>
          <w:b/>
          <w:sz w:val="24"/>
          <w:szCs w:val="24"/>
        </w:rPr>
      </w:pPr>
    </w:p>
    <w:p w14:paraId="5DB24D8C" w14:textId="77777777" w:rsidR="001775DE" w:rsidRDefault="001775DE" w:rsidP="003A18CC">
      <w:pPr>
        <w:spacing w:after="0" w:line="240" w:lineRule="auto"/>
        <w:jc w:val="both"/>
        <w:rPr>
          <w:b/>
          <w:sz w:val="24"/>
          <w:szCs w:val="24"/>
        </w:rPr>
      </w:pPr>
    </w:p>
    <w:p w14:paraId="77E3CBDE" w14:textId="6A3DBE16" w:rsidR="003A18CC" w:rsidRPr="003A18CC" w:rsidRDefault="003A18CC" w:rsidP="003A18CC">
      <w:pPr>
        <w:spacing w:after="0" w:line="240" w:lineRule="auto"/>
        <w:jc w:val="both"/>
        <w:rPr>
          <w:b/>
          <w:sz w:val="24"/>
          <w:szCs w:val="24"/>
        </w:rPr>
      </w:pPr>
      <w:r w:rsidRPr="003A18CC">
        <w:rPr>
          <w:b/>
          <w:sz w:val="24"/>
          <w:szCs w:val="24"/>
        </w:rPr>
        <w:lastRenderedPageBreak/>
        <w:t>Recaladas</w:t>
      </w:r>
    </w:p>
    <w:p w14:paraId="7910ECEB" w14:textId="46878D8F" w:rsidR="003A18CC" w:rsidRPr="003A18CC" w:rsidRDefault="009A12B1" w:rsidP="003A18CC">
      <w:pPr>
        <w:spacing w:after="0" w:line="240" w:lineRule="auto"/>
        <w:jc w:val="both"/>
        <w:rPr>
          <w:sz w:val="24"/>
          <w:szCs w:val="24"/>
        </w:rPr>
      </w:pPr>
      <w:r>
        <w:rPr>
          <w:sz w:val="24"/>
          <w:szCs w:val="24"/>
        </w:rPr>
        <w:t>El</w:t>
      </w:r>
      <w:r w:rsidR="003A18CC" w:rsidRPr="003A18CC">
        <w:rPr>
          <w:sz w:val="24"/>
          <w:szCs w:val="24"/>
        </w:rPr>
        <w:t xml:space="preserve"> núm</w:t>
      </w:r>
      <w:r>
        <w:rPr>
          <w:sz w:val="24"/>
          <w:szCs w:val="24"/>
        </w:rPr>
        <w:t>ero de recaladas en el país</w:t>
      </w:r>
      <w:r w:rsidR="003A18CC" w:rsidRPr="003A18CC">
        <w:rPr>
          <w:sz w:val="24"/>
          <w:szCs w:val="24"/>
        </w:rPr>
        <w:t xml:space="preserve"> ha sido más constante en el tiempo. En la temporada 2002-20</w:t>
      </w:r>
      <w:r>
        <w:rPr>
          <w:sz w:val="24"/>
          <w:szCs w:val="24"/>
        </w:rPr>
        <w:t>03 hubo 215 recaladas</w:t>
      </w:r>
      <w:r w:rsidR="003A18CC" w:rsidRPr="003A18CC">
        <w:rPr>
          <w:sz w:val="24"/>
          <w:szCs w:val="24"/>
        </w:rPr>
        <w:t>. 10 años más tarde la cifra</w:t>
      </w:r>
      <w:r>
        <w:rPr>
          <w:sz w:val="24"/>
          <w:szCs w:val="24"/>
        </w:rPr>
        <w:t xml:space="preserve"> se ubicó en 213 recaladas (</w:t>
      </w:r>
      <w:r w:rsidR="003A18CC" w:rsidRPr="003A18CC">
        <w:rPr>
          <w:sz w:val="24"/>
          <w:szCs w:val="24"/>
        </w:rPr>
        <w:t>temporada 2012-2013</w:t>
      </w:r>
      <w:r>
        <w:rPr>
          <w:sz w:val="24"/>
          <w:szCs w:val="24"/>
        </w:rPr>
        <w:t>)</w:t>
      </w:r>
      <w:r w:rsidR="003A18CC" w:rsidRPr="003A18CC">
        <w:rPr>
          <w:sz w:val="24"/>
          <w:szCs w:val="24"/>
        </w:rPr>
        <w:t xml:space="preserve">. En la temporada </w:t>
      </w:r>
      <w:r w:rsidR="003A18CC" w:rsidRPr="005A52D2">
        <w:rPr>
          <w:b/>
          <w:sz w:val="24"/>
          <w:szCs w:val="24"/>
          <w:u w:val="single"/>
        </w:rPr>
        <w:t>2017-2018</w:t>
      </w:r>
      <w:r w:rsidR="003A18CC" w:rsidRPr="003A18CC">
        <w:rPr>
          <w:sz w:val="24"/>
          <w:szCs w:val="24"/>
        </w:rPr>
        <w:t xml:space="preserve"> las recaladas ascendieron a 227 en todo el país, un aumento de 6,6% respecto a 2012.</w:t>
      </w:r>
    </w:p>
    <w:p w14:paraId="195DFB85" w14:textId="77777777" w:rsidR="003A18CC" w:rsidRPr="003A18CC" w:rsidRDefault="003A18CC" w:rsidP="003A18CC">
      <w:pPr>
        <w:pStyle w:val="Prrafodelista"/>
        <w:spacing w:after="0" w:line="240" w:lineRule="auto"/>
        <w:ind w:left="1080"/>
        <w:jc w:val="both"/>
        <w:rPr>
          <w:sz w:val="24"/>
          <w:szCs w:val="24"/>
        </w:rPr>
      </w:pPr>
    </w:p>
    <w:p w14:paraId="4586D271" w14:textId="77777777" w:rsidR="003A18CC" w:rsidRPr="003A18CC" w:rsidRDefault="003A18CC" w:rsidP="003A18CC">
      <w:pPr>
        <w:spacing w:after="0" w:line="240" w:lineRule="auto"/>
        <w:jc w:val="both"/>
        <w:rPr>
          <w:sz w:val="24"/>
          <w:szCs w:val="24"/>
        </w:rPr>
      </w:pPr>
      <w:r w:rsidRPr="003A18CC">
        <w:rPr>
          <w:sz w:val="24"/>
          <w:szCs w:val="24"/>
        </w:rPr>
        <w:t xml:space="preserve">Cabe señalar, que la relación recaladas/llegadas de pasajeros no es directamente proporcional, vale decir, que un mayor número de recaladas no necesariamente significará que el número de pasajeros se incremente en igual proporción. </w:t>
      </w:r>
    </w:p>
    <w:p w14:paraId="60440A92" w14:textId="77777777" w:rsidR="003A18CC" w:rsidRPr="003A18CC" w:rsidRDefault="003A18CC" w:rsidP="003A18CC">
      <w:pPr>
        <w:pStyle w:val="Prrafodelista"/>
        <w:spacing w:after="0" w:line="240" w:lineRule="auto"/>
        <w:ind w:left="1080"/>
        <w:jc w:val="both"/>
        <w:rPr>
          <w:sz w:val="24"/>
          <w:szCs w:val="24"/>
        </w:rPr>
      </w:pPr>
    </w:p>
    <w:p w14:paraId="2D5674DB" w14:textId="2D243BFF"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Lo que ha sucedido en los últimos años es que se ha incrementado el número de llegadas de naves con mayor capacidad de pasajeros a bordo, reflejan</w:t>
      </w:r>
      <w:r w:rsidR="009A12B1">
        <w:rPr>
          <w:sz w:val="24"/>
          <w:szCs w:val="24"/>
        </w:rPr>
        <w:t>do las bondades de los puertos c</w:t>
      </w:r>
      <w:r w:rsidRPr="003A18CC">
        <w:rPr>
          <w:sz w:val="24"/>
          <w:szCs w:val="24"/>
        </w:rPr>
        <w:t xml:space="preserve">hilenos para recibir naves de mayor envergadura. </w:t>
      </w:r>
    </w:p>
    <w:p w14:paraId="68CDCC06" w14:textId="77777777" w:rsidR="003A18CC" w:rsidRPr="003A18CC" w:rsidRDefault="003A18CC" w:rsidP="003A18CC">
      <w:pPr>
        <w:pStyle w:val="Prrafodelista"/>
        <w:spacing w:after="0" w:line="240" w:lineRule="auto"/>
        <w:ind w:left="1080"/>
        <w:jc w:val="both"/>
        <w:rPr>
          <w:sz w:val="24"/>
          <w:szCs w:val="24"/>
        </w:rPr>
      </w:pPr>
    </w:p>
    <w:p w14:paraId="3A18F38C" w14:textId="77777777" w:rsidR="003A18CC" w:rsidRPr="003A18CC" w:rsidRDefault="003A18CC" w:rsidP="003A18CC">
      <w:pPr>
        <w:spacing w:after="0" w:line="240" w:lineRule="auto"/>
        <w:jc w:val="both"/>
        <w:rPr>
          <w:b/>
          <w:sz w:val="24"/>
          <w:szCs w:val="24"/>
        </w:rPr>
      </w:pPr>
      <w:r w:rsidRPr="003A18CC">
        <w:rPr>
          <w:b/>
          <w:sz w:val="24"/>
          <w:szCs w:val="24"/>
        </w:rPr>
        <w:t xml:space="preserve">Perfil del </w:t>
      </w:r>
      <w:proofErr w:type="spellStart"/>
      <w:r w:rsidRPr="003A18CC">
        <w:rPr>
          <w:b/>
          <w:sz w:val="24"/>
          <w:szCs w:val="24"/>
        </w:rPr>
        <w:t>Crucerista</w:t>
      </w:r>
      <w:proofErr w:type="spellEnd"/>
      <w:r w:rsidRPr="003A18CC">
        <w:rPr>
          <w:b/>
          <w:sz w:val="24"/>
          <w:szCs w:val="24"/>
        </w:rPr>
        <w:t xml:space="preserve"> y Gasto per cápita</w:t>
      </w:r>
    </w:p>
    <w:p w14:paraId="6A4414E1" w14:textId="77777777" w:rsidR="003A18CC" w:rsidRPr="003A18CC" w:rsidRDefault="003A18CC"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3A18CC">
        <w:rPr>
          <w:sz w:val="24"/>
          <w:szCs w:val="24"/>
        </w:rPr>
        <w:t xml:space="preserve">Los pasajeros de crucero que visitan Chile son hombres y mujeres que en su gran mayoría sobrepasan los 55 años de edad, y que regularmente viajan en grupos de 2 a 3 personas. </w:t>
      </w:r>
    </w:p>
    <w:p w14:paraId="50E1DF78" w14:textId="77777777" w:rsidR="003A18CC" w:rsidRPr="003A18CC" w:rsidRDefault="003A18CC" w:rsidP="003A18CC">
      <w:pPr>
        <w:pStyle w:val="Prrafodelista"/>
        <w:spacing w:after="0" w:line="240" w:lineRule="auto"/>
        <w:ind w:left="1080"/>
        <w:jc w:val="both"/>
        <w:rPr>
          <w:sz w:val="24"/>
          <w:szCs w:val="24"/>
        </w:rPr>
      </w:pPr>
    </w:p>
    <w:p w14:paraId="0446CF5F" w14:textId="77777777" w:rsidR="003A18CC" w:rsidRPr="003A18CC" w:rsidRDefault="003A18CC" w:rsidP="003A18CC">
      <w:pPr>
        <w:spacing w:after="0" w:line="240" w:lineRule="auto"/>
        <w:jc w:val="both"/>
        <w:rPr>
          <w:sz w:val="24"/>
          <w:szCs w:val="24"/>
        </w:rPr>
      </w:pPr>
      <w:r w:rsidRPr="003A18CC">
        <w:rPr>
          <w:sz w:val="24"/>
          <w:szCs w:val="24"/>
        </w:rPr>
        <w:t xml:space="preserve">Se trata de pasajeros experimentados en este tipo de viajes, si se considera que alrededor del 85% de ellos ha realizado al menos un viaje en cruceros anteriormente en algún destino del mundo, los que en promedio van de los 7 a 10 viajes. </w:t>
      </w:r>
    </w:p>
    <w:p w14:paraId="2B8E1BA5" w14:textId="77777777" w:rsidR="003A18CC" w:rsidRPr="003A18CC" w:rsidRDefault="003A18CC" w:rsidP="003A18CC">
      <w:pPr>
        <w:pStyle w:val="Prrafodelista"/>
        <w:spacing w:after="0" w:line="240" w:lineRule="auto"/>
        <w:ind w:left="1080"/>
        <w:jc w:val="both"/>
        <w:rPr>
          <w:sz w:val="24"/>
          <w:szCs w:val="24"/>
        </w:rPr>
      </w:pPr>
    </w:p>
    <w:p w14:paraId="05C76243" w14:textId="36DAF931" w:rsidR="003A18CC" w:rsidRPr="003A18CC" w:rsidRDefault="003A18CC" w:rsidP="003A18CC">
      <w:pPr>
        <w:spacing w:after="0" w:line="240" w:lineRule="auto"/>
        <w:jc w:val="both"/>
        <w:rPr>
          <w:sz w:val="24"/>
          <w:szCs w:val="24"/>
        </w:rPr>
      </w:pPr>
      <w:r w:rsidRPr="003A18CC">
        <w:rPr>
          <w:sz w:val="24"/>
          <w:szCs w:val="24"/>
        </w:rPr>
        <w:t xml:space="preserve">El tiempo de estadía en el destino (descenso en tierra) está en torno a las 3-4 horas.  El 44% de los pasajeros que desembarcan compran </w:t>
      </w:r>
      <w:r w:rsidR="009A12B1">
        <w:rPr>
          <w:sz w:val="24"/>
          <w:szCs w:val="24"/>
        </w:rPr>
        <w:t>un</w:t>
      </w:r>
      <w:r w:rsidRPr="003A18CC">
        <w:rPr>
          <w:sz w:val="24"/>
          <w:szCs w:val="24"/>
        </w:rPr>
        <w:t xml:space="preserve"> tour (excursión) a bordo del crucero, mientras que el resto, denominados pasajeros independientes, organizan sus excursiones contratando en tierra los servicios de taxi y/o van no oficiales, o bien recorriendo los alrededores del puerto por cuenta propia.</w:t>
      </w:r>
    </w:p>
    <w:p w14:paraId="4D11453C" w14:textId="77777777" w:rsidR="003A18CC" w:rsidRPr="003A18CC" w:rsidRDefault="003A18CC" w:rsidP="003A18CC">
      <w:pPr>
        <w:pStyle w:val="Prrafodelista"/>
        <w:spacing w:after="0" w:line="240" w:lineRule="auto"/>
        <w:ind w:left="1080"/>
        <w:jc w:val="both"/>
        <w:rPr>
          <w:sz w:val="24"/>
          <w:szCs w:val="24"/>
        </w:rPr>
      </w:pPr>
    </w:p>
    <w:p w14:paraId="2A99DEAC" w14:textId="763C9190" w:rsidR="003A18CC" w:rsidRPr="003A18CC" w:rsidRDefault="001775DE" w:rsidP="003A18CC">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Respecto al gasto pe</w:t>
      </w:r>
      <w:r w:rsidR="003A18CC" w:rsidRPr="003A18CC">
        <w:rPr>
          <w:sz w:val="24"/>
          <w:szCs w:val="24"/>
        </w:rPr>
        <w:t xml:space="preserve">r </w:t>
      </w:r>
      <w:r>
        <w:rPr>
          <w:sz w:val="24"/>
          <w:szCs w:val="24"/>
        </w:rPr>
        <w:t xml:space="preserve">cápita, un 4% no realiza gasto </w:t>
      </w:r>
      <w:r w:rsidR="003A18CC" w:rsidRPr="003A18CC">
        <w:rPr>
          <w:sz w:val="24"/>
          <w:szCs w:val="24"/>
        </w:rPr>
        <w:t>a pesar de recorrer destinos asociados al puerto. Un 6% realiza un g</w:t>
      </w:r>
      <w:r>
        <w:rPr>
          <w:sz w:val="24"/>
          <w:szCs w:val="24"/>
        </w:rPr>
        <w:t xml:space="preserve">asto per cápita superior a los </w:t>
      </w:r>
      <w:r w:rsidR="003A18CC" w:rsidRPr="003A18CC">
        <w:rPr>
          <w:sz w:val="24"/>
          <w:szCs w:val="24"/>
        </w:rPr>
        <w:t>US</w:t>
      </w:r>
      <w:r>
        <w:rPr>
          <w:sz w:val="24"/>
          <w:szCs w:val="24"/>
        </w:rPr>
        <w:t>$</w:t>
      </w:r>
      <w:r w:rsidR="003A18CC" w:rsidRPr="003A18CC">
        <w:rPr>
          <w:sz w:val="24"/>
          <w:szCs w:val="24"/>
        </w:rPr>
        <w:t xml:space="preserve"> 200. El gasto total promed</w:t>
      </w:r>
      <w:r>
        <w:rPr>
          <w:sz w:val="24"/>
          <w:szCs w:val="24"/>
        </w:rPr>
        <w:t xml:space="preserve">io per cápita llega casi a los </w:t>
      </w:r>
      <w:r w:rsidR="003A18CC" w:rsidRPr="003A18CC">
        <w:rPr>
          <w:sz w:val="24"/>
          <w:szCs w:val="24"/>
        </w:rPr>
        <w:t>US</w:t>
      </w:r>
      <w:r>
        <w:rPr>
          <w:sz w:val="24"/>
          <w:szCs w:val="24"/>
        </w:rPr>
        <w:t>$</w:t>
      </w:r>
      <w:r w:rsidR="003A18CC" w:rsidRPr="003A18CC">
        <w:rPr>
          <w:sz w:val="24"/>
          <w:szCs w:val="24"/>
        </w:rPr>
        <w:t xml:space="preserve"> 85, mientras qu</w:t>
      </w:r>
      <w:r>
        <w:rPr>
          <w:sz w:val="24"/>
          <w:szCs w:val="24"/>
        </w:rPr>
        <w:t xml:space="preserve">e el gasto mediano llega a los </w:t>
      </w:r>
      <w:r w:rsidR="003A18CC" w:rsidRPr="003A18CC">
        <w:rPr>
          <w:sz w:val="24"/>
          <w:szCs w:val="24"/>
        </w:rPr>
        <w:t>US</w:t>
      </w:r>
      <w:r>
        <w:rPr>
          <w:sz w:val="24"/>
          <w:szCs w:val="24"/>
        </w:rPr>
        <w:t>$</w:t>
      </w:r>
      <w:r w:rsidR="003A18CC" w:rsidRPr="003A18CC">
        <w:rPr>
          <w:sz w:val="24"/>
          <w:szCs w:val="24"/>
        </w:rPr>
        <w:t xml:space="preserve"> 70</w:t>
      </w:r>
      <w:r>
        <w:rPr>
          <w:sz w:val="24"/>
          <w:szCs w:val="24"/>
        </w:rPr>
        <w:t xml:space="preserve">. Los principales gastos son en: </w:t>
      </w:r>
      <w:r w:rsidR="003A18CC" w:rsidRPr="003A18CC">
        <w:rPr>
          <w:sz w:val="24"/>
          <w:szCs w:val="24"/>
        </w:rPr>
        <w:t>“artesanías/</w:t>
      </w:r>
      <w:proofErr w:type="spellStart"/>
      <w:r w:rsidR="003A18CC" w:rsidRPr="003A18CC">
        <w:rPr>
          <w:sz w:val="24"/>
          <w:szCs w:val="24"/>
        </w:rPr>
        <w:t>souvenirs</w:t>
      </w:r>
      <w:proofErr w:type="spellEnd"/>
      <w:r w:rsidR="003A18CC" w:rsidRPr="003A18CC">
        <w:rPr>
          <w:sz w:val="24"/>
          <w:szCs w:val="24"/>
        </w:rPr>
        <w:t>”, “bebidas/comidas” y “excursiones compradas a bordo del crucero”.</w:t>
      </w:r>
    </w:p>
    <w:p w14:paraId="6C003816" w14:textId="77777777" w:rsidR="003A18CC" w:rsidRPr="003A18CC" w:rsidRDefault="003A18CC" w:rsidP="003A18CC">
      <w:pPr>
        <w:spacing w:after="0" w:line="240" w:lineRule="auto"/>
        <w:jc w:val="both"/>
        <w:rPr>
          <w:sz w:val="24"/>
          <w:szCs w:val="24"/>
        </w:rPr>
      </w:pPr>
    </w:p>
    <w:p w14:paraId="5F748865" w14:textId="195A8F6B" w:rsidR="003A18CC" w:rsidRDefault="001775DE" w:rsidP="003A18CC">
      <w:pPr>
        <w:spacing w:after="0" w:line="240" w:lineRule="auto"/>
        <w:jc w:val="both"/>
        <w:rPr>
          <w:sz w:val="24"/>
          <w:szCs w:val="24"/>
        </w:rPr>
      </w:pPr>
      <w:r>
        <w:rPr>
          <w:sz w:val="24"/>
          <w:szCs w:val="24"/>
        </w:rPr>
        <w:lastRenderedPageBreak/>
        <w:t xml:space="preserve">Siete de cada diez </w:t>
      </w:r>
      <w:r w:rsidR="003A18CC" w:rsidRPr="003A18CC">
        <w:rPr>
          <w:sz w:val="24"/>
          <w:szCs w:val="24"/>
        </w:rPr>
        <w:t xml:space="preserve">pasajeros declaran como principal razón para realizar el actual viaje, los destinos </w:t>
      </w:r>
      <w:r>
        <w:rPr>
          <w:sz w:val="24"/>
          <w:szCs w:val="24"/>
        </w:rPr>
        <w:t>del itinerario en forma general. Esto quiere decir que</w:t>
      </w:r>
      <w:r w:rsidR="003A18CC" w:rsidRPr="003A18CC">
        <w:rPr>
          <w:sz w:val="24"/>
          <w:szCs w:val="24"/>
        </w:rPr>
        <w:t xml:space="preserve"> privilegian la ruta ofrecida en su totalidad, considerando todos los destinos. Como segunda opción declaran visitar puntualmente Chile como destino dentro del itinerario. La relación precio/calidad y la consideración de los servicios a bordo del crucero no son factores significativos en este aspecto.</w:t>
      </w:r>
    </w:p>
    <w:p w14:paraId="7DDFA063" w14:textId="0719042F" w:rsidR="005A52D2" w:rsidRDefault="005A52D2" w:rsidP="003A18CC">
      <w:pPr>
        <w:spacing w:after="0" w:line="240" w:lineRule="auto"/>
        <w:jc w:val="both"/>
        <w:rPr>
          <w:sz w:val="24"/>
          <w:szCs w:val="24"/>
        </w:rPr>
      </w:pPr>
    </w:p>
    <w:p w14:paraId="0A8737D4" w14:textId="31047739" w:rsidR="003A18CC" w:rsidRPr="003A18CC" w:rsidRDefault="003A18CC" w:rsidP="003A18CC">
      <w:pPr>
        <w:autoSpaceDE w:val="0"/>
        <w:autoSpaceDN w:val="0"/>
        <w:adjustRightInd w:val="0"/>
        <w:spacing w:after="0" w:line="240" w:lineRule="auto"/>
        <w:rPr>
          <w:rFonts w:cs="Calibri"/>
          <w:b/>
          <w:color w:val="000000"/>
          <w:sz w:val="24"/>
          <w:szCs w:val="24"/>
          <w:lang w:val="es-ES"/>
        </w:rPr>
      </w:pPr>
      <w:r w:rsidRPr="003A18CC">
        <w:rPr>
          <w:rFonts w:cs="Calibri"/>
          <w:b/>
          <w:color w:val="000000"/>
          <w:sz w:val="24"/>
          <w:szCs w:val="24"/>
          <w:lang w:val="es-ES"/>
        </w:rPr>
        <w:t>Gráfico: Evolución de recaladas y pasajeros, según temporada</w:t>
      </w:r>
    </w:p>
    <w:p w14:paraId="405608FE" w14:textId="72414532" w:rsidR="00555DEF" w:rsidRDefault="00555DEF" w:rsidP="00555DEF">
      <w:pPr>
        <w:autoSpaceDE w:val="0"/>
        <w:autoSpaceDN w:val="0"/>
        <w:adjustRightInd w:val="0"/>
        <w:spacing w:after="0" w:line="240" w:lineRule="auto"/>
        <w:ind w:right="57"/>
        <w:rPr>
          <w:rFonts w:cs="Calibri"/>
          <w:b/>
          <w:color w:val="000000"/>
          <w:sz w:val="24"/>
          <w:szCs w:val="24"/>
          <w:lang w:val="es-ES"/>
        </w:rPr>
      </w:pPr>
    </w:p>
    <w:p w14:paraId="4D088746" w14:textId="23E80C6E" w:rsidR="0037620E" w:rsidRDefault="0037620E" w:rsidP="00555DEF">
      <w:pPr>
        <w:autoSpaceDE w:val="0"/>
        <w:autoSpaceDN w:val="0"/>
        <w:adjustRightInd w:val="0"/>
        <w:spacing w:after="0" w:line="240" w:lineRule="auto"/>
        <w:ind w:right="57"/>
        <w:rPr>
          <w:rFonts w:cs="Calibri"/>
          <w:b/>
          <w:color w:val="000000"/>
          <w:sz w:val="24"/>
          <w:szCs w:val="24"/>
          <w:lang w:val="es-ES"/>
        </w:rPr>
      </w:pPr>
    </w:p>
    <w:p w14:paraId="53E7048A" w14:textId="77777777" w:rsidR="0037620E" w:rsidRDefault="0037620E" w:rsidP="00555DEF">
      <w:pPr>
        <w:autoSpaceDE w:val="0"/>
        <w:autoSpaceDN w:val="0"/>
        <w:adjustRightInd w:val="0"/>
        <w:spacing w:after="0" w:line="240" w:lineRule="auto"/>
        <w:ind w:right="57"/>
        <w:rPr>
          <w:rFonts w:cs="Calibri"/>
          <w:b/>
          <w:color w:val="000000"/>
          <w:sz w:val="24"/>
          <w:szCs w:val="24"/>
          <w:lang w:val="es-ES"/>
        </w:rPr>
      </w:pPr>
    </w:p>
    <w:p w14:paraId="2DCFEB5B" w14:textId="27E3AF91" w:rsidR="00707BCE" w:rsidRDefault="0037620E" w:rsidP="00707BCE">
      <w:pPr>
        <w:autoSpaceDE w:val="0"/>
        <w:autoSpaceDN w:val="0"/>
        <w:adjustRightInd w:val="0"/>
        <w:spacing w:after="0" w:line="240" w:lineRule="auto"/>
        <w:ind w:right="57"/>
        <w:jc w:val="center"/>
        <w:rPr>
          <w:rFonts w:cs="Calibri"/>
          <w:b/>
          <w:color w:val="000000"/>
          <w:sz w:val="24"/>
          <w:szCs w:val="24"/>
          <w:lang w:val="es-ES"/>
        </w:rPr>
      </w:pPr>
      <w:r>
        <w:rPr>
          <w:noProof/>
          <w:lang w:eastAsia="es-CL"/>
        </w:rPr>
        <w:drawing>
          <wp:inline distT="0" distB="0" distL="0" distR="0" wp14:anchorId="084A6D3B" wp14:editId="2A4D1560">
            <wp:extent cx="5019675" cy="270510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2292DF" w14:textId="2C48065C" w:rsidR="00707BCE" w:rsidRDefault="0037620E" w:rsidP="0037620E">
      <w:pPr>
        <w:autoSpaceDE w:val="0"/>
        <w:autoSpaceDN w:val="0"/>
        <w:adjustRightInd w:val="0"/>
        <w:spacing w:after="0" w:line="240" w:lineRule="auto"/>
        <w:ind w:right="57"/>
        <w:jc w:val="center"/>
        <w:rPr>
          <w:rFonts w:cs="Calibri"/>
          <w:b/>
          <w:color w:val="000000"/>
          <w:sz w:val="24"/>
          <w:szCs w:val="24"/>
          <w:lang w:val="es-ES"/>
        </w:rPr>
      </w:pPr>
      <w:r>
        <w:rPr>
          <w:noProof/>
          <w:lang w:eastAsia="es-CL"/>
        </w:rPr>
        <w:lastRenderedPageBreak/>
        <w:drawing>
          <wp:inline distT="0" distB="0" distL="0" distR="0" wp14:anchorId="6228BD1A" wp14:editId="4FEB8BCD">
            <wp:extent cx="5019675" cy="27051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07BCE">
        <w:rPr>
          <w:rFonts w:cs="Calibri"/>
          <w:b/>
          <w:color w:val="000000"/>
          <w:sz w:val="24"/>
          <w:szCs w:val="24"/>
          <w:lang w:val="es-ES"/>
        </w:rPr>
        <w:br w:type="textWrapping" w:clear="all"/>
      </w:r>
    </w:p>
    <w:p w14:paraId="3685FF26" w14:textId="77777777" w:rsidR="00707BCE" w:rsidRPr="00707BCE" w:rsidRDefault="00707BCE" w:rsidP="00707BCE">
      <w:pPr>
        <w:autoSpaceDE w:val="0"/>
        <w:autoSpaceDN w:val="0"/>
        <w:adjustRightInd w:val="0"/>
        <w:spacing w:after="0" w:line="240" w:lineRule="auto"/>
        <w:ind w:right="57"/>
        <w:jc w:val="center"/>
        <w:rPr>
          <w:rFonts w:cs="Calibri"/>
          <w:b/>
          <w:color w:val="000000"/>
          <w:sz w:val="24"/>
          <w:szCs w:val="24"/>
          <w:lang w:val="es-ES"/>
        </w:rPr>
      </w:pPr>
    </w:p>
    <w:p w14:paraId="1476DE7B" w14:textId="67C1FF75" w:rsidR="00BE2826" w:rsidRDefault="00BE2826" w:rsidP="00BE2826">
      <w:pPr>
        <w:rPr>
          <w:sz w:val="24"/>
          <w:szCs w:val="24"/>
        </w:rPr>
      </w:pPr>
    </w:p>
    <w:p w14:paraId="267582B9" w14:textId="6C7DD15E" w:rsidR="00806EC4" w:rsidRPr="00BE2826" w:rsidRDefault="00806EC4" w:rsidP="00BE2826">
      <w:pPr>
        <w:ind w:left="360"/>
        <w:rPr>
          <w:sz w:val="24"/>
          <w:szCs w:val="24"/>
        </w:rPr>
      </w:pPr>
    </w:p>
    <w:sectPr w:rsidR="00806EC4" w:rsidRPr="00BE2826" w:rsidSect="00C13537">
      <w:head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F90D" w14:textId="77777777" w:rsidR="007F7DD0" w:rsidRDefault="007F7DD0" w:rsidP="00B928F4">
      <w:pPr>
        <w:spacing w:after="0" w:line="240" w:lineRule="auto"/>
      </w:pPr>
      <w:r>
        <w:separator/>
      </w:r>
    </w:p>
  </w:endnote>
  <w:endnote w:type="continuationSeparator" w:id="0">
    <w:p w14:paraId="0B8F9D8A" w14:textId="77777777" w:rsidR="007F7DD0" w:rsidRDefault="007F7DD0" w:rsidP="00B9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D1C8" w14:textId="77777777" w:rsidR="007F7DD0" w:rsidRDefault="007F7DD0" w:rsidP="00B928F4">
      <w:pPr>
        <w:spacing w:after="0" w:line="240" w:lineRule="auto"/>
      </w:pPr>
      <w:r>
        <w:separator/>
      </w:r>
    </w:p>
  </w:footnote>
  <w:footnote w:type="continuationSeparator" w:id="0">
    <w:p w14:paraId="277A00E1" w14:textId="77777777" w:rsidR="007F7DD0" w:rsidRDefault="007F7DD0" w:rsidP="00B928F4">
      <w:pPr>
        <w:spacing w:after="0" w:line="240" w:lineRule="auto"/>
      </w:pPr>
      <w:r>
        <w:continuationSeparator/>
      </w:r>
    </w:p>
  </w:footnote>
  <w:footnote w:id="1">
    <w:p w14:paraId="1375BB44" w14:textId="77777777" w:rsidR="00A45D0D" w:rsidRDefault="005525E9" w:rsidP="00A45D0D">
      <w:pPr>
        <w:pStyle w:val="Piedepgina"/>
      </w:pPr>
      <w:r>
        <w:rPr>
          <w:rStyle w:val="Refdenotaalpie"/>
        </w:rPr>
        <w:footnoteRef/>
      </w:r>
      <w:r w:rsidR="00A45D0D">
        <w:t xml:space="preserve"> </w:t>
      </w:r>
      <w:proofErr w:type="spellStart"/>
      <w:r>
        <w:t>The</w:t>
      </w:r>
      <w:proofErr w:type="spellEnd"/>
      <w:r>
        <w:t xml:space="preserve"> Florida </w:t>
      </w:r>
      <w:proofErr w:type="spellStart"/>
      <w:r>
        <w:t>Caribbean</w:t>
      </w:r>
      <w:proofErr w:type="spellEnd"/>
      <w:r>
        <w:t xml:space="preserve"> </w:t>
      </w:r>
      <w:proofErr w:type="spellStart"/>
      <w:r>
        <w:t>Cruise</w:t>
      </w:r>
      <w:proofErr w:type="spellEnd"/>
      <w:r>
        <w:t xml:space="preserve"> </w:t>
      </w:r>
      <w:proofErr w:type="spellStart"/>
      <w:r>
        <w:t>Association</w:t>
      </w:r>
      <w:proofErr w:type="spellEnd"/>
      <w:r>
        <w:t xml:space="preserve"> (FCCA)</w:t>
      </w:r>
      <w:r w:rsidR="00A45D0D">
        <w:t xml:space="preserve"> </w:t>
      </w:r>
    </w:p>
    <w:p w14:paraId="0FA188F5" w14:textId="4E53EFA8" w:rsidR="005525E9" w:rsidRDefault="00A45D0D" w:rsidP="00A45D0D">
      <w:pPr>
        <w:pStyle w:val="Piedepgina"/>
      </w:pPr>
      <w:r>
        <w:t xml:space="preserve">   </w:t>
      </w:r>
    </w:p>
    <w:p w14:paraId="7F2780F0" w14:textId="3EB178E8" w:rsidR="005525E9" w:rsidRDefault="005525E9">
      <w:pPr>
        <w:pStyle w:val="Textonotapie"/>
      </w:pPr>
    </w:p>
  </w:footnote>
  <w:footnote w:id="2">
    <w:p w14:paraId="11FB6A20" w14:textId="50509A11" w:rsidR="00A45D0D" w:rsidRDefault="005525E9" w:rsidP="00A45D0D">
      <w:pPr>
        <w:pStyle w:val="Piedepgina"/>
      </w:pPr>
      <w:r>
        <w:rPr>
          <w:rStyle w:val="Refdenotaalpie"/>
        </w:rPr>
        <w:footnoteRef/>
      </w:r>
      <w:r w:rsidR="00A45D0D">
        <w:t>División de Estudios y Territorio de la Subsecretaría de Turismo en base a información recopilada de los Puertos de Chile.</w:t>
      </w:r>
    </w:p>
    <w:p w14:paraId="59B41226" w14:textId="7E7B14C2" w:rsidR="005525E9" w:rsidRDefault="005525E9" w:rsidP="00A45D0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775"/>
      <w:gridCol w:w="4765"/>
    </w:tblGrid>
    <w:tr w:rsidR="00B928F4" w:rsidRPr="009F648E" w14:paraId="78B0B40F" w14:textId="77777777" w:rsidTr="00B97A62">
      <w:tc>
        <w:tcPr>
          <w:tcW w:w="810" w:type="dxa"/>
        </w:tcPr>
        <w:p w14:paraId="576F08E2" w14:textId="77777777" w:rsidR="00B928F4" w:rsidRDefault="00B928F4" w:rsidP="00B928F4">
          <w:pPr>
            <w:pStyle w:val="Encabezado"/>
          </w:pPr>
          <w:r>
            <w:rPr>
              <w:noProof/>
              <w:lang w:eastAsia="es-CL"/>
            </w:rPr>
            <w:drawing>
              <wp:inline distT="0" distB="0" distL="0" distR="0" wp14:anchorId="2DF88994" wp14:editId="32C2BC6C">
                <wp:extent cx="571500" cy="495300"/>
                <wp:effectExtent l="0" t="0" r="0" b="0"/>
                <wp:docPr id="3" name="Imagen 3" descr="C:\Users\fnitsche\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itsche\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tc>
      <w:tc>
        <w:tcPr>
          <w:tcW w:w="3775" w:type="dxa"/>
          <w:vAlign w:val="center"/>
        </w:tcPr>
        <w:p w14:paraId="59B49E24" w14:textId="77777777" w:rsidR="00B928F4" w:rsidRPr="00387C72" w:rsidRDefault="00B928F4" w:rsidP="00B928F4">
          <w:pPr>
            <w:pStyle w:val="Encabezado"/>
            <w:rPr>
              <w:rFonts w:ascii="Trebuchet MS" w:hAnsi="Trebuchet MS"/>
              <w:sz w:val="20"/>
              <w:szCs w:val="20"/>
            </w:rPr>
          </w:pPr>
          <w:r w:rsidRPr="007672F7">
            <w:rPr>
              <w:rFonts w:ascii="Trebuchet MS" w:hAnsi="Trebuchet MS"/>
              <w:sz w:val="20"/>
              <w:szCs w:val="20"/>
            </w:rPr>
            <w:t xml:space="preserve">GOBIERNO </w:t>
          </w:r>
          <w:r w:rsidRPr="00387C72">
            <w:rPr>
              <w:rFonts w:ascii="Trebuchet MS" w:hAnsi="Trebuchet MS"/>
              <w:sz w:val="20"/>
              <w:szCs w:val="20"/>
            </w:rPr>
            <w:t>DE CHILE</w:t>
          </w:r>
        </w:p>
        <w:p w14:paraId="0123B555" w14:textId="77777777" w:rsidR="00B928F4" w:rsidRPr="00387C72" w:rsidRDefault="00B928F4" w:rsidP="00B928F4">
          <w:pPr>
            <w:pStyle w:val="Encabezado"/>
            <w:rPr>
              <w:rFonts w:ascii="Trebuchet MS" w:hAnsi="Trebuchet MS"/>
              <w:sz w:val="20"/>
              <w:szCs w:val="20"/>
            </w:rPr>
          </w:pPr>
          <w:r w:rsidRPr="00387C72">
            <w:rPr>
              <w:rFonts w:ascii="Trebuchet MS" w:hAnsi="Trebuchet MS"/>
              <w:sz w:val="20"/>
              <w:szCs w:val="20"/>
            </w:rPr>
            <w:t xml:space="preserve">Ministerio de Economía, Fomento y Turismo  </w:t>
          </w:r>
        </w:p>
        <w:p w14:paraId="51F020B8" w14:textId="77777777" w:rsidR="00B928F4" w:rsidRPr="007672F7" w:rsidRDefault="00B928F4" w:rsidP="00B928F4">
          <w:pPr>
            <w:pStyle w:val="Encabezado"/>
            <w:rPr>
              <w:sz w:val="20"/>
              <w:szCs w:val="20"/>
            </w:rPr>
          </w:pPr>
          <w:r w:rsidRPr="00387C72">
            <w:rPr>
              <w:rFonts w:ascii="Trebuchet MS" w:hAnsi="Trebuchet MS"/>
              <w:sz w:val="20"/>
              <w:szCs w:val="20"/>
            </w:rPr>
            <w:t>Subsecretaría de Turismo</w:t>
          </w:r>
        </w:p>
      </w:tc>
      <w:tc>
        <w:tcPr>
          <w:tcW w:w="4765" w:type="dxa"/>
          <w:vAlign w:val="center"/>
        </w:tcPr>
        <w:p w14:paraId="43A920D1" w14:textId="7C34B63A" w:rsidR="005206FD" w:rsidRDefault="005206FD" w:rsidP="005206FD">
          <w:pPr>
            <w:pStyle w:val="Encabezado"/>
            <w:jc w:val="right"/>
            <w:rPr>
              <w:rFonts w:ascii="Trebuchet MS" w:hAnsi="Trebuchet MS"/>
              <w:sz w:val="20"/>
              <w:szCs w:val="20"/>
            </w:rPr>
          </w:pPr>
        </w:p>
        <w:p w14:paraId="04241E72" w14:textId="6914C75F" w:rsidR="00B928F4" w:rsidRPr="009F648E" w:rsidRDefault="005A52D2" w:rsidP="005206FD">
          <w:pPr>
            <w:pStyle w:val="Encabezado"/>
            <w:jc w:val="right"/>
            <w:rPr>
              <w:rFonts w:ascii="Trebuchet MS" w:hAnsi="Trebuchet MS"/>
              <w:sz w:val="20"/>
              <w:szCs w:val="20"/>
            </w:rPr>
          </w:pPr>
          <w:r>
            <w:rPr>
              <w:rFonts w:ascii="Trebuchet MS" w:hAnsi="Trebuchet MS"/>
              <w:sz w:val="20"/>
              <w:szCs w:val="20"/>
            </w:rPr>
            <w:t xml:space="preserve">             12</w:t>
          </w:r>
          <w:r w:rsidR="00B928F4">
            <w:rPr>
              <w:rFonts w:ascii="Trebuchet MS" w:hAnsi="Trebuchet MS"/>
              <w:sz w:val="20"/>
              <w:szCs w:val="20"/>
            </w:rPr>
            <w:t>.06.18</w:t>
          </w:r>
          <w:r w:rsidR="005206FD">
            <w:rPr>
              <w:rFonts w:ascii="Trebuchet MS" w:hAnsi="Trebuchet MS"/>
              <w:sz w:val="20"/>
              <w:szCs w:val="20"/>
            </w:rPr>
            <w:t xml:space="preserve">     </w:t>
          </w:r>
        </w:p>
      </w:tc>
    </w:tr>
    <w:tr w:rsidR="005A52D2" w:rsidRPr="009F648E" w14:paraId="12A9B4A8" w14:textId="77777777" w:rsidTr="00B97A62">
      <w:tc>
        <w:tcPr>
          <w:tcW w:w="810" w:type="dxa"/>
        </w:tcPr>
        <w:p w14:paraId="30BF14F0" w14:textId="77777777" w:rsidR="005A52D2" w:rsidRDefault="005A52D2" w:rsidP="00B928F4">
          <w:pPr>
            <w:pStyle w:val="Encabezado"/>
            <w:rPr>
              <w:noProof/>
              <w:lang w:eastAsia="es-CL"/>
            </w:rPr>
          </w:pPr>
        </w:p>
      </w:tc>
      <w:tc>
        <w:tcPr>
          <w:tcW w:w="3775" w:type="dxa"/>
          <w:vAlign w:val="center"/>
        </w:tcPr>
        <w:p w14:paraId="2D92F6AF" w14:textId="77777777" w:rsidR="005A52D2" w:rsidRPr="007672F7" w:rsidRDefault="005A52D2" w:rsidP="00B928F4">
          <w:pPr>
            <w:pStyle w:val="Encabezado"/>
            <w:rPr>
              <w:rFonts w:ascii="Trebuchet MS" w:hAnsi="Trebuchet MS"/>
              <w:sz w:val="20"/>
              <w:szCs w:val="20"/>
            </w:rPr>
          </w:pPr>
        </w:p>
      </w:tc>
      <w:tc>
        <w:tcPr>
          <w:tcW w:w="4765" w:type="dxa"/>
          <w:vAlign w:val="center"/>
        </w:tcPr>
        <w:p w14:paraId="7A0E5397" w14:textId="77777777" w:rsidR="005A52D2" w:rsidRDefault="005A52D2" w:rsidP="005206FD">
          <w:pPr>
            <w:pStyle w:val="Encabezado"/>
            <w:jc w:val="right"/>
            <w:rPr>
              <w:rFonts w:ascii="Trebuchet MS" w:hAnsi="Trebuchet MS"/>
              <w:sz w:val="20"/>
              <w:szCs w:val="20"/>
            </w:rPr>
          </w:pPr>
        </w:p>
      </w:tc>
    </w:tr>
  </w:tbl>
  <w:p w14:paraId="45E0C247" w14:textId="4EC059B5" w:rsidR="00B928F4" w:rsidRDefault="00B92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B2A"/>
    <w:multiLevelType w:val="hybridMultilevel"/>
    <w:tmpl w:val="CE10DC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5F1027"/>
    <w:multiLevelType w:val="hybridMultilevel"/>
    <w:tmpl w:val="59383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EC5307"/>
    <w:multiLevelType w:val="hybridMultilevel"/>
    <w:tmpl w:val="48462B94"/>
    <w:lvl w:ilvl="0" w:tplc="E8907CAC">
      <w:start w:val="1"/>
      <w:numFmt w:val="decimal"/>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460F5E3D"/>
    <w:multiLevelType w:val="hybridMultilevel"/>
    <w:tmpl w:val="55BEE218"/>
    <w:lvl w:ilvl="0" w:tplc="CC0A2B2A">
      <w:start w:val="5"/>
      <w:numFmt w:val="bullet"/>
      <w:lvlText w:val="-"/>
      <w:lvlJc w:val="left"/>
      <w:pPr>
        <w:ind w:left="720" w:hanging="360"/>
      </w:pPr>
      <w:rPr>
        <w:rFonts w:ascii="Calibri Light" w:eastAsiaTheme="majorEastAsia"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6B60948"/>
    <w:multiLevelType w:val="hybridMultilevel"/>
    <w:tmpl w:val="FFE451CE"/>
    <w:lvl w:ilvl="0" w:tplc="27425A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4EA5087"/>
    <w:multiLevelType w:val="hybridMultilevel"/>
    <w:tmpl w:val="7B62C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62215DA"/>
    <w:multiLevelType w:val="hybridMultilevel"/>
    <w:tmpl w:val="CB561B3C"/>
    <w:lvl w:ilvl="0" w:tplc="609E1F7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89E7B22"/>
    <w:multiLevelType w:val="hybridMultilevel"/>
    <w:tmpl w:val="34748E72"/>
    <w:lvl w:ilvl="0" w:tplc="F462122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5225CD8"/>
    <w:multiLevelType w:val="hybridMultilevel"/>
    <w:tmpl w:val="59383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CA7641F"/>
    <w:multiLevelType w:val="hybridMultilevel"/>
    <w:tmpl w:val="59383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A9"/>
    <w:rsid w:val="000F3930"/>
    <w:rsid w:val="001775DE"/>
    <w:rsid w:val="001B395B"/>
    <w:rsid w:val="001E4ED9"/>
    <w:rsid w:val="00231B50"/>
    <w:rsid w:val="00254A69"/>
    <w:rsid w:val="002648A9"/>
    <w:rsid w:val="003364F1"/>
    <w:rsid w:val="0037620E"/>
    <w:rsid w:val="003837C2"/>
    <w:rsid w:val="003A18CC"/>
    <w:rsid w:val="003F0A01"/>
    <w:rsid w:val="0043389C"/>
    <w:rsid w:val="004C5725"/>
    <w:rsid w:val="005206FD"/>
    <w:rsid w:val="005525E9"/>
    <w:rsid w:val="00555DEF"/>
    <w:rsid w:val="005A52D2"/>
    <w:rsid w:val="005B283F"/>
    <w:rsid w:val="005C5931"/>
    <w:rsid w:val="005E766A"/>
    <w:rsid w:val="00654E96"/>
    <w:rsid w:val="006B4FD2"/>
    <w:rsid w:val="00707BCE"/>
    <w:rsid w:val="00731113"/>
    <w:rsid w:val="00732967"/>
    <w:rsid w:val="00770667"/>
    <w:rsid w:val="007A7F0A"/>
    <w:rsid w:val="007F7DD0"/>
    <w:rsid w:val="00806EC4"/>
    <w:rsid w:val="008E040C"/>
    <w:rsid w:val="009A12B1"/>
    <w:rsid w:val="00A45D0D"/>
    <w:rsid w:val="00A52BB5"/>
    <w:rsid w:val="00A57582"/>
    <w:rsid w:val="00A70CD6"/>
    <w:rsid w:val="00AD2727"/>
    <w:rsid w:val="00AF7AAB"/>
    <w:rsid w:val="00B12FA0"/>
    <w:rsid w:val="00B20B49"/>
    <w:rsid w:val="00B4211A"/>
    <w:rsid w:val="00B55166"/>
    <w:rsid w:val="00B928F4"/>
    <w:rsid w:val="00BA2EAB"/>
    <w:rsid w:val="00BE2826"/>
    <w:rsid w:val="00BF3368"/>
    <w:rsid w:val="00C13537"/>
    <w:rsid w:val="00C323DC"/>
    <w:rsid w:val="00C3701F"/>
    <w:rsid w:val="00C708B7"/>
    <w:rsid w:val="00C7660D"/>
    <w:rsid w:val="00CF46FD"/>
    <w:rsid w:val="00D648A1"/>
    <w:rsid w:val="00DB0C61"/>
    <w:rsid w:val="00DE1049"/>
    <w:rsid w:val="00DF5738"/>
    <w:rsid w:val="00E31783"/>
    <w:rsid w:val="00F619C9"/>
    <w:rsid w:val="00FD26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A9"/>
  </w:style>
  <w:style w:type="paragraph" w:styleId="Ttulo2">
    <w:name w:val="heading 2"/>
    <w:basedOn w:val="Normal"/>
    <w:next w:val="Normal"/>
    <w:link w:val="Ttulo2Car"/>
    <w:uiPriority w:val="9"/>
    <w:unhideWhenUsed/>
    <w:qFormat/>
    <w:rsid w:val="00264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48A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2648A9"/>
    <w:pPr>
      <w:ind w:left="720"/>
      <w:contextualSpacing/>
    </w:pPr>
  </w:style>
  <w:style w:type="paragraph" w:styleId="Sangradetextonormal">
    <w:name w:val="Body Text Indent"/>
    <w:basedOn w:val="Normal"/>
    <w:link w:val="SangradetextonormalCar"/>
    <w:semiHidden/>
    <w:rsid w:val="002648A9"/>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semiHidden/>
    <w:rsid w:val="002648A9"/>
    <w:rPr>
      <w:rFonts w:ascii="Courier" w:eastAsia="Times New Roman" w:hAnsi="Courier" w:cs="Times New Roman"/>
      <w:spacing w:val="-3"/>
      <w:sz w:val="24"/>
      <w:szCs w:val="20"/>
      <w:lang w:val="es-ES_tradnl" w:eastAsia="es-ES"/>
    </w:rPr>
  </w:style>
  <w:style w:type="paragraph" w:styleId="Textosinformato">
    <w:name w:val="Plain Text"/>
    <w:basedOn w:val="Normal"/>
    <w:link w:val="TextosinformatoCar"/>
    <w:uiPriority w:val="99"/>
    <w:unhideWhenUsed/>
    <w:rsid w:val="00E31783"/>
    <w:pPr>
      <w:spacing w:after="0" w:line="240" w:lineRule="auto"/>
      <w:jc w:val="both"/>
    </w:pPr>
    <w:rPr>
      <w:rFonts w:ascii="Consolas" w:eastAsia="Calibri" w:hAnsi="Consolas" w:cs="Consolas"/>
      <w:color w:val="000000"/>
      <w:sz w:val="21"/>
      <w:szCs w:val="21"/>
    </w:rPr>
  </w:style>
  <w:style w:type="character" w:customStyle="1" w:styleId="TextosinformatoCar">
    <w:name w:val="Texto sin formato Car"/>
    <w:basedOn w:val="Fuentedeprrafopredeter"/>
    <w:link w:val="Textosinformato"/>
    <w:uiPriority w:val="99"/>
    <w:rsid w:val="00E31783"/>
    <w:rPr>
      <w:rFonts w:ascii="Consolas" w:eastAsia="Calibri" w:hAnsi="Consolas" w:cs="Consolas"/>
      <w:color w:val="000000"/>
      <w:sz w:val="21"/>
      <w:szCs w:val="21"/>
    </w:rPr>
  </w:style>
  <w:style w:type="paragraph" w:styleId="Encabezado">
    <w:name w:val="header"/>
    <w:basedOn w:val="Normal"/>
    <w:link w:val="EncabezadoCar"/>
    <w:uiPriority w:val="99"/>
    <w:unhideWhenUsed/>
    <w:rsid w:val="00B92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8F4"/>
  </w:style>
  <w:style w:type="paragraph" w:styleId="Piedepgina">
    <w:name w:val="footer"/>
    <w:basedOn w:val="Normal"/>
    <w:link w:val="PiedepginaCar"/>
    <w:uiPriority w:val="99"/>
    <w:unhideWhenUsed/>
    <w:rsid w:val="00B9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8F4"/>
  </w:style>
  <w:style w:type="table" w:styleId="Tablaconcuadrcula">
    <w:name w:val="Table Grid"/>
    <w:basedOn w:val="Tablanormal"/>
    <w:uiPriority w:val="39"/>
    <w:rsid w:val="00B9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0B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49"/>
    <w:rPr>
      <w:rFonts w:ascii="Segoe UI" w:hAnsi="Segoe UI" w:cs="Segoe UI"/>
      <w:sz w:val="18"/>
      <w:szCs w:val="18"/>
    </w:rPr>
  </w:style>
  <w:style w:type="paragraph" w:styleId="Textonotapie">
    <w:name w:val="footnote text"/>
    <w:basedOn w:val="Normal"/>
    <w:link w:val="TextonotapieCar"/>
    <w:uiPriority w:val="99"/>
    <w:semiHidden/>
    <w:unhideWhenUsed/>
    <w:rsid w:val="005525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25E9"/>
    <w:rPr>
      <w:sz w:val="20"/>
      <w:szCs w:val="20"/>
    </w:rPr>
  </w:style>
  <w:style w:type="character" w:styleId="Refdenotaalpie">
    <w:name w:val="footnote reference"/>
    <w:basedOn w:val="Fuentedeprrafopredeter"/>
    <w:uiPriority w:val="99"/>
    <w:semiHidden/>
    <w:unhideWhenUsed/>
    <w:rsid w:val="00552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A9"/>
  </w:style>
  <w:style w:type="paragraph" w:styleId="Ttulo2">
    <w:name w:val="heading 2"/>
    <w:basedOn w:val="Normal"/>
    <w:next w:val="Normal"/>
    <w:link w:val="Ttulo2Car"/>
    <w:uiPriority w:val="9"/>
    <w:unhideWhenUsed/>
    <w:qFormat/>
    <w:rsid w:val="00264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48A9"/>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2648A9"/>
    <w:pPr>
      <w:ind w:left="720"/>
      <w:contextualSpacing/>
    </w:pPr>
  </w:style>
  <w:style w:type="paragraph" w:styleId="Sangradetextonormal">
    <w:name w:val="Body Text Indent"/>
    <w:basedOn w:val="Normal"/>
    <w:link w:val="SangradetextonormalCar"/>
    <w:semiHidden/>
    <w:rsid w:val="002648A9"/>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semiHidden/>
    <w:rsid w:val="002648A9"/>
    <w:rPr>
      <w:rFonts w:ascii="Courier" w:eastAsia="Times New Roman" w:hAnsi="Courier" w:cs="Times New Roman"/>
      <w:spacing w:val="-3"/>
      <w:sz w:val="24"/>
      <w:szCs w:val="20"/>
      <w:lang w:val="es-ES_tradnl" w:eastAsia="es-ES"/>
    </w:rPr>
  </w:style>
  <w:style w:type="paragraph" w:styleId="Textosinformato">
    <w:name w:val="Plain Text"/>
    <w:basedOn w:val="Normal"/>
    <w:link w:val="TextosinformatoCar"/>
    <w:uiPriority w:val="99"/>
    <w:unhideWhenUsed/>
    <w:rsid w:val="00E31783"/>
    <w:pPr>
      <w:spacing w:after="0" w:line="240" w:lineRule="auto"/>
      <w:jc w:val="both"/>
    </w:pPr>
    <w:rPr>
      <w:rFonts w:ascii="Consolas" w:eastAsia="Calibri" w:hAnsi="Consolas" w:cs="Consolas"/>
      <w:color w:val="000000"/>
      <w:sz w:val="21"/>
      <w:szCs w:val="21"/>
    </w:rPr>
  </w:style>
  <w:style w:type="character" w:customStyle="1" w:styleId="TextosinformatoCar">
    <w:name w:val="Texto sin formato Car"/>
    <w:basedOn w:val="Fuentedeprrafopredeter"/>
    <w:link w:val="Textosinformato"/>
    <w:uiPriority w:val="99"/>
    <w:rsid w:val="00E31783"/>
    <w:rPr>
      <w:rFonts w:ascii="Consolas" w:eastAsia="Calibri" w:hAnsi="Consolas" w:cs="Consolas"/>
      <w:color w:val="000000"/>
      <w:sz w:val="21"/>
      <w:szCs w:val="21"/>
    </w:rPr>
  </w:style>
  <w:style w:type="paragraph" w:styleId="Encabezado">
    <w:name w:val="header"/>
    <w:basedOn w:val="Normal"/>
    <w:link w:val="EncabezadoCar"/>
    <w:uiPriority w:val="99"/>
    <w:unhideWhenUsed/>
    <w:rsid w:val="00B928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8F4"/>
  </w:style>
  <w:style w:type="paragraph" w:styleId="Piedepgina">
    <w:name w:val="footer"/>
    <w:basedOn w:val="Normal"/>
    <w:link w:val="PiedepginaCar"/>
    <w:uiPriority w:val="99"/>
    <w:unhideWhenUsed/>
    <w:rsid w:val="00B9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8F4"/>
  </w:style>
  <w:style w:type="table" w:styleId="Tablaconcuadrcula">
    <w:name w:val="Table Grid"/>
    <w:basedOn w:val="Tablanormal"/>
    <w:uiPriority w:val="39"/>
    <w:rsid w:val="00B9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0B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49"/>
    <w:rPr>
      <w:rFonts w:ascii="Segoe UI" w:hAnsi="Segoe UI" w:cs="Segoe UI"/>
      <w:sz w:val="18"/>
      <w:szCs w:val="18"/>
    </w:rPr>
  </w:style>
  <w:style w:type="paragraph" w:styleId="Textonotapie">
    <w:name w:val="footnote text"/>
    <w:basedOn w:val="Normal"/>
    <w:link w:val="TextonotapieCar"/>
    <w:uiPriority w:val="99"/>
    <w:semiHidden/>
    <w:unhideWhenUsed/>
    <w:rsid w:val="005525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25E9"/>
    <w:rPr>
      <w:sz w:val="20"/>
      <w:szCs w:val="20"/>
    </w:rPr>
  </w:style>
  <w:style w:type="character" w:styleId="Refdenotaalpie">
    <w:name w:val="footnote reference"/>
    <w:basedOn w:val="Fuentedeprrafopredeter"/>
    <w:uiPriority w:val="99"/>
    <w:semiHidden/>
    <w:unhideWhenUsed/>
    <w:rsid w:val="00552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2587">
      <w:bodyDiv w:val="1"/>
      <w:marLeft w:val="0"/>
      <w:marRight w:val="0"/>
      <w:marTop w:val="0"/>
      <w:marBottom w:val="0"/>
      <w:divBdr>
        <w:top w:val="none" w:sz="0" w:space="0" w:color="auto"/>
        <w:left w:val="none" w:sz="0" w:space="0" w:color="auto"/>
        <w:bottom w:val="none" w:sz="0" w:space="0" w:color="auto"/>
        <w:right w:val="none" w:sz="0" w:space="0" w:color="auto"/>
      </w:divBdr>
      <w:divsChild>
        <w:div w:id="984431931">
          <w:marLeft w:val="0"/>
          <w:marRight w:val="0"/>
          <w:marTop w:val="0"/>
          <w:marBottom w:val="150"/>
          <w:divBdr>
            <w:top w:val="none" w:sz="0" w:space="0" w:color="auto"/>
            <w:left w:val="none" w:sz="0" w:space="0" w:color="auto"/>
            <w:bottom w:val="none" w:sz="0" w:space="0" w:color="auto"/>
            <w:right w:val="none" w:sz="0" w:space="0" w:color="auto"/>
          </w:divBdr>
        </w:div>
        <w:div w:id="618874812">
          <w:marLeft w:val="0"/>
          <w:marRight w:val="0"/>
          <w:marTop w:val="0"/>
          <w:marBottom w:val="150"/>
          <w:divBdr>
            <w:top w:val="none" w:sz="0" w:space="0" w:color="auto"/>
            <w:left w:val="none" w:sz="0" w:space="0" w:color="auto"/>
            <w:bottom w:val="none" w:sz="0" w:space="0" w:color="auto"/>
            <w:right w:val="none" w:sz="0" w:space="0" w:color="auto"/>
          </w:divBdr>
        </w:div>
      </w:divsChild>
    </w:div>
    <w:div w:id="20784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estay\Google%20Drive\Documents\ESTUDIOS\Licitaci&#243;n%20Estudio%20de%20Cruceros\Itinerarios%20Cruceros%20Acumul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stay\Google%20Drive\Documents\ESTUDIOS\Licitaci&#243;n%20Estudio%20de%20Cruceros\Itinerarios%20Cruceros%20Acumul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L"/>
              <a:t>Evolución de recaladas 2006/2007 - 2017/2018</a:t>
            </a:r>
          </a:p>
        </c:rich>
      </c:tx>
      <c:overlay val="0"/>
      <c:spPr>
        <a:noFill/>
        <a:ln>
          <a:noFill/>
        </a:ln>
        <a:effectLst/>
      </c:spPr>
    </c:title>
    <c:autoTitleDeleted val="0"/>
    <c:plotArea>
      <c:layout>
        <c:manualLayout>
          <c:layoutTarget val="inner"/>
          <c:xMode val="edge"/>
          <c:yMode val="edge"/>
          <c:x val="4.5525200256475044E-2"/>
          <c:y val="0.17339403598155292"/>
          <c:w val="0.93692161340043167"/>
          <c:h val="0.68161392869369586"/>
        </c:manualLayout>
      </c:layout>
      <c:barChart>
        <c:barDir val="col"/>
        <c:grouping val="clustered"/>
        <c:varyColors val="0"/>
        <c:ser>
          <c:idx val="1"/>
          <c:order val="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5.7979511535574917E-18"/>
                  <c:y val="2.8169753428708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9C-41A9-8522-05BA10E43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'Total Nac Ultimas 3 temporadas'!$B$222:$B$233</c:f>
              <c:strCache>
                <c:ptCount val="12"/>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strCache>
            </c:strRef>
          </c:cat>
          <c:val>
            <c:numRef>
              <c:f>'Total Nac Ultimas 3 temporadas'!$D$222:$D$233</c:f>
              <c:numCache>
                <c:formatCode>0.0%</c:formatCode>
                <c:ptCount val="12"/>
                <c:pt idx="0">
                  <c:v>-0.20253164556962022</c:v>
                </c:pt>
                <c:pt idx="1">
                  <c:v>8.3333333333333259E-2</c:v>
                </c:pt>
                <c:pt idx="2">
                  <c:v>-0.13553113553113549</c:v>
                </c:pt>
                <c:pt idx="3">
                  <c:v>-0.17796610169491522</c:v>
                </c:pt>
                <c:pt idx="4">
                  <c:v>-0.27835051546391754</c:v>
                </c:pt>
                <c:pt idx="5">
                  <c:v>0.31428571428571428</c:v>
                </c:pt>
                <c:pt idx="6">
                  <c:v>0.15760869565217384</c:v>
                </c:pt>
                <c:pt idx="7">
                  <c:v>-8.9201877934272256E-2</c:v>
                </c:pt>
                <c:pt idx="8">
                  <c:v>-0.15979381443298968</c:v>
                </c:pt>
                <c:pt idx="9">
                  <c:v>0.46625766871165641</c:v>
                </c:pt>
                <c:pt idx="10">
                  <c:v>-6.6945606694560622E-2</c:v>
                </c:pt>
                <c:pt idx="11">
                  <c:v>1.7937219730941756E-2</c:v>
                </c:pt>
              </c:numCache>
            </c:numRef>
          </c:val>
          <c:extLst xmlns:c16r2="http://schemas.microsoft.com/office/drawing/2015/06/chart">
            <c:ext xmlns:c16="http://schemas.microsoft.com/office/drawing/2014/chart" uri="{C3380CC4-5D6E-409C-BE32-E72D297353CC}">
              <c16:uniqueId val="{00000001-D09C-41A9-8522-05BA10E4341F}"/>
            </c:ext>
          </c:extLst>
        </c:ser>
        <c:dLbls>
          <c:showLegendKey val="0"/>
          <c:showVal val="0"/>
          <c:showCatName val="0"/>
          <c:showSerName val="0"/>
          <c:showPercent val="0"/>
          <c:showBubbleSize val="0"/>
        </c:dLbls>
        <c:gapWidth val="171"/>
        <c:axId val="99631872"/>
        <c:axId val="99465856"/>
      </c:barChart>
      <c:lineChart>
        <c:grouping val="stacked"/>
        <c:varyColors val="0"/>
        <c:ser>
          <c:idx val="0"/>
          <c:order val="0"/>
          <c:spPr>
            <a:ln w="31750" cap="rnd">
              <a:solidFill>
                <a:schemeClr val="accent1">
                  <a:alpha val="40000"/>
                </a:schemeClr>
              </a:solidFill>
              <a:round/>
            </a:ln>
            <a:effectLst>
              <a:outerShdw blurRad="40000" dist="23000" dir="5400000" rotWithShape="0">
                <a:srgbClr val="000000">
                  <a:alpha val="35000"/>
                </a:srgbClr>
              </a:outerShdw>
            </a:effectLst>
          </c:spPr>
          <c:marker>
            <c:symbol val="circle"/>
            <c:size val="7"/>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4.134092346616066E-2"/>
                  <c:y val="-4.45658201175556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9C-41A9-8522-05BA10E434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'Total Nac Ultimas 3 temporadas'!$B$222:$B$233</c:f>
              <c:strCache>
                <c:ptCount val="12"/>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strCache>
            </c:strRef>
          </c:cat>
          <c:val>
            <c:numRef>
              <c:f>'Total Nac Ultimas 3 temporadas'!$C$222:$C$233</c:f>
              <c:numCache>
                <c:formatCode>General</c:formatCode>
                <c:ptCount val="12"/>
                <c:pt idx="0">
                  <c:v>252</c:v>
                </c:pt>
                <c:pt idx="1">
                  <c:v>273</c:v>
                </c:pt>
                <c:pt idx="2">
                  <c:v>236</c:v>
                </c:pt>
                <c:pt idx="3">
                  <c:v>194</c:v>
                </c:pt>
                <c:pt idx="4">
                  <c:v>140</c:v>
                </c:pt>
                <c:pt idx="5">
                  <c:v>184</c:v>
                </c:pt>
                <c:pt idx="6">
                  <c:v>213</c:v>
                </c:pt>
                <c:pt idx="7">
                  <c:v>194</c:v>
                </c:pt>
                <c:pt idx="8">
                  <c:v>163</c:v>
                </c:pt>
                <c:pt idx="9" formatCode="#,##0">
                  <c:v>239</c:v>
                </c:pt>
                <c:pt idx="10" formatCode="#,##0">
                  <c:v>223</c:v>
                </c:pt>
                <c:pt idx="11" formatCode="#,##0">
                  <c:v>227</c:v>
                </c:pt>
              </c:numCache>
            </c:numRef>
          </c:val>
          <c:smooth val="0"/>
          <c:extLst xmlns:c16r2="http://schemas.microsoft.com/office/drawing/2015/06/chart">
            <c:ext xmlns:c16="http://schemas.microsoft.com/office/drawing/2014/chart" uri="{C3380CC4-5D6E-409C-BE32-E72D297353CC}">
              <c16:uniqueId val="{00000003-D09C-41A9-8522-05BA10E4341F}"/>
            </c:ext>
          </c:extLst>
        </c:ser>
        <c:dLbls>
          <c:showLegendKey val="0"/>
          <c:showVal val="0"/>
          <c:showCatName val="0"/>
          <c:showSerName val="0"/>
          <c:showPercent val="0"/>
          <c:showBubbleSize val="0"/>
        </c:dLbls>
        <c:marker val="1"/>
        <c:smooth val="0"/>
        <c:axId val="83927808"/>
        <c:axId val="99464320"/>
      </c:lineChart>
      <c:catAx>
        <c:axId val="83927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L"/>
          </a:p>
        </c:txPr>
        <c:crossAx val="99464320"/>
        <c:crosses val="autoZero"/>
        <c:auto val="0"/>
        <c:lblAlgn val="ctr"/>
        <c:lblOffset val="100"/>
        <c:noMultiLvlLbl val="0"/>
      </c:catAx>
      <c:valAx>
        <c:axId val="99464320"/>
        <c:scaling>
          <c:orientation val="minMax"/>
          <c:max val="420"/>
        </c:scaling>
        <c:delete val="0"/>
        <c:axPos val="l"/>
        <c:numFmt formatCode="General" sourceLinked="1"/>
        <c:majorTickMark val="none"/>
        <c:minorTickMark val="none"/>
        <c:tickLblPos val="none"/>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L"/>
          </a:p>
        </c:txPr>
        <c:crossAx val="83927808"/>
        <c:crosses val="autoZero"/>
        <c:crossBetween val="between"/>
      </c:valAx>
      <c:valAx>
        <c:axId val="99465856"/>
        <c:scaling>
          <c:orientation val="minMax"/>
          <c:max val="0.8"/>
          <c:min val="-4.2"/>
        </c:scaling>
        <c:delete val="0"/>
        <c:axPos val="r"/>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L"/>
          </a:p>
        </c:txPr>
        <c:crossAx val="99631872"/>
        <c:crosses val="max"/>
        <c:crossBetween val="between"/>
        <c:majorUnit val="0.60000000000000009"/>
      </c:valAx>
      <c:catAx>
        <c:axId val="99631872"/>
        <c:scaling>
          <c:orientation val="minMax"/>
        </c:scaling>
        <c:delete val="1"/>
        <c:axPos val="b"/>
        <c:numFmt formatCode="General" sourceLinked="1"/>
        <c:majorTickMark val="none"/>
        <c:minorTickMark val="none"/>
        <c:tickLblPos val="nextTo"/>
        <c:crossAx val="994658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L"/>
              <a:t>Evolución de recaladas 2006/2007 - 2017/2018</a:t>
            </a:r>
          </a:p>
        </c:rich>
      </c:tx>
      <c:overlay val="0"/>
      <c:spPr>
        <a:noFill/>
        <a:ln>
          <a:noFill/>
        </a:ln>
        <a:effectLst/>
      </c:spPr>
    </c:title>
    <c:autoTitleDeleted val="0"/>
    <c:plotArea>
      <c:layout>
        <c:manualLayout>
          <c:layoutTarget val="inner"/>
          <c:xMode val="edge"/>
          <c:yMode val="edge"/>
          <c:x val="4.5525200256475044E-2"/>
          <c:y val="0.17339403598155292"/>
          <c:w val="0.93692161340043167"/>
          <c:h val="0.68161392869369586"/>
        </c:manualLayout>
      </c:layout>
      <c:barChart>
        <c:barDir val="col"/>
        <c:grouping val="clustered"/>
        <c:varyColors val="0"/>
        <c:ser>
          <c:idx val="1"/>
          <c:order val="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5.7979511535574917E-18"/>
                  <c:y val="2.81697534287087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D5-4C91-B5DC-117C8CBDC8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'Total Nac Ultimas 3 temporadas'!$B$222:$B$233</c:f>
              <c:strCache>
                <c:ptCount val="12"/>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strCache>
            </c:strRef>
          </c:cat>
          <c:val>
            <c:numRef>
              <c:f>'Total Nac Ultimas 3 temporadas'!$D$222:$D$233</c:f>
              <c:numCache>
                <c:formatCode>0.0%</c:formatCode>
                <c:ptCount val="12"/>
                <c:pt idx="0">
                  <c:v>-0.20253164556962022</c:v>
                </c:pt>
                <c:pt idx="1">
                  <c:v>8.3333333333333259E-2</c:v>
                </c:pt>
                <c:pt idx="2">
                  <c:v>-0.13553113553113549</c:v>
                </c:pt>
                <c:pt idx="3">
                  <c:v>-0.17796610169491522</c:v>
                </c:pt>
                <c:pt idx="4">
                  <c:v>-0.27835051546391754</c:v>
                </c:pt>
                <c:pt idx="5">
                  <c:v>0.31428571428571428</c:v>
                </c:pt>
                <c:pt idx="6">
                  <c:v>0.15760869565217384</c:v>
                </c:pt>
                <c:pt idx="7">
                  <c:v>-8.9201877934272256E-2</c:v>
                </c:pt>
                <c:pt idx="8">
                  <c:v>-0.15979381443298968</c:v>
                </c:pt>
                <c:pt idx="9">
                  <c:v>0.46625766871165641</c:v>
                </c:pt>
                <c:pt idx="10">
                  <c:v>-6.6945606694560622E-2</c:v>
                </c:pt>
                <c:pt idx="11">
                  <c:v>1.7937219730941756E-2</c:v>
                </c:pt>
              </c:numCache>
            </c:numRef>
          </c:val>
          <c:extLst xmlns:c16r2="http://schemas.microsoft.com/office/drawing/2015/06/chart">
            <c:ext xmlns:c16="http://schemas.microsoft.com/office/drawing/2014/chart" uri="{C3380CC4-5D6E-409C-BE32-E72D297353CC}">
              <c16:uniqueId val="{00000001-09D5-4C91-B5DC-117C8CBDC816}"/>
            </c:ext>
          </c:extLst>
        </c:ser>
        <c:dLbls>
          <c:showLegendKey val="0"/>
          <c:showVal val="0"/>
          <c:showCatName val="0"/>
          <c:showSerName val="0"/>
          <c:showPercent val="0"/>
          <c:showBubbleSize val="0"/>
        </c:dLbls>
        <c:gapWidth val="171"/>
        <c:axId val="159868032"/>
        <c:axId val="158420352"/>
      </c:barChart>
      <c:lineChart>
        <c:grouping val="stacked"/>
        <c:varyColors val="0"/>
        <c:ser>
          <c:idx val="0"/>
          <c:order val="0"/>
          <c:spPr>
            <a:ln w="31750" cap="rnd">
              <a:solidFill>
                <a:schemeClr val="accent1">
                  <a:alpha val="40000"/>
                </a:schemeClr>
              </a:solidFill>
              <a:round/>
            </a:ln>
            <a:effectLst>
              <a:outerShdw blurRad="40000" dist="23000" dir="5400000" rotWithShape="0">
                <a:srgbClr val="000000">
                  <a:alpha val="35000"/>
                </a:srgbClr>
              </a:outerShdw>
            </a:effectLst>
          </c:spPr>
          <c:marker>
            <c:symbol val="circle"/>
            <c:size val="7"/>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0"/>
              <c:layout>
                <c:manualLayout>
                  <c:x val="-4.134092346616066E-2"/>
                  <c:y val="-4.45658201175556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D5-4C91-B5DC-117C8CBDC8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'Total Nac Ultimas 3 temporadas'!$B$222:$B$233</c:f>
              <c:strCache>
                <c:ptCount val="12"/>
                <c:pt idx="0">
                  <c:v>2006/2007</c:v>
                </c:pt>
                <c:pt idx="1">
                  <c:v>2007/2008</c:v>
                </c:pt>
                <c:pt idx="2">
                  <c:v>2008/2009</c:v>
                </c:pt>
                <c:pt idx="3">
                  <c:v>2009/2010</c:v>
                </c:pt>
                <c:pt idx="4">
                  <c:v>2010/2011</c:v>
                </c:pt>
                <c:pt idx="5">
                  <c:v>2011/2012</c:v>
                </c:pt>
                <c:pt idx="6">
                  <c:v>2012/2013</c:v>
                </c:pt>
                <c:pt idx="7">
                  <c:v>2013/2014</c:v>
                </c:pt>
                <c:pt idx="8">
                  <c:v>2014/2015</c:v>
                </c:pt>
                <c:pt idx="9">
                  <c:v>2015/2016</c:v>
                </c:pt>
                <c:pt idx="10">
                  <c:v>2016/2017</c:v>
                </c:pt>
                <c:pt idx="11">
                  <c:v>2017/2018</c:v>
                </c:pt>
              </c:strCache>
            </c:strRef>
          </c:cat>
          <c:val>
            <c:numRef>
              <c:f>'Total Nac Ultimas 3 temporadas'!$C$222:$C$233</c:f>
              <c:numCache>
                <c:formatCode>General</c:formatCode>
                <c:ptCount val="12"/>
                <c:pt idx="0">
                  <c:v>252</c:v>
                </c:pt>
                <c:pt idx="1">
                  <c:v>273</c:v>
                </c:pt>
                <c:pt idx="2">
                  <c:v>236</c:v>
                </c:pt>
                <c:pt idx="3">
                  <c:v>194</c:v>
                </c:pt>
                <c:pt idx="4">
                  <c:v>140</c:v>
                </c:pt>
                <c:pt idx="5">
                  <c:v>184</c:v>
                </c:pt>
                <c:pt idx="6">
                  <c:v>213</c:v>
                </c:pt>
                <c:pt idx="7">
                  <c:v>194</c:v>
                </c:pt>
                <c:pt idx="8">
                  <c:v>163</c:v>
                </c:pt>
                <c:pt idx="9" formatCode="#,##0">
                  <c:v>239</c:v>
                </c:pt>
                <c:pt idx="10" formatCode="#,##0">
                  <c:v>223</c:v>
                </c:pt>
                <c:pt idx="11" formatCode="#,##0">
                  <c:v>227</c:v>
                </c:pt>
              </c:numCache>
            </c:numRef>
          </c:val>
          <c:smooth val="0"/>
          <c:extLst xmlns:c16r2="http://schemas.microsoft.com/office/drawing/2015/06/chart">
            <c:ext xmlns:c16="http://schemas.microsoft.com/office/drawing/2014/chart" uri="{C3380CC4-5D6E-409C-BE32-E72D297353CC}">
              <c16:uniqueId val="{00000003-09D5-4C91-B5DC-117C8CBDC816}"/>
            </c:ext>
          </c:extLst>
        </c:ser>
        <c:dLbls>
          <c:showLegendKey val="0"/>
          <c:showVal val="0"/>
          <c:showCatName val="0"/>
          <c:showSerName val="0"/>
          <c:showPercent val="0"/>
          <c:showBubbleSize val="0"/>
        </c:dLbls>
        <c:marker val="1"/>
        <c:smooth val="0"/>
        <c:axId val="146533760"/>
        <c:axId val="158418816"/>
      </c:lineChart>
      <c:catAx>
        <c:axId val="146533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L"/>
          </a:p>
        </c:txPr>
        <c:crossAx val="158418816"/>
        <c:crosses val="autoZero"/>
        <c:auto val="0"/>
        <c:lblAlgn val="ctr"/>
        <c:lblOffset val="100"/>
        <c:noMultiLvlLbl val="0"/>
      </c:catAx>
      <c:valAx>
        <c:axId val="158418816"/>
        <c:scaling>
          <c:orientation val="minMax"/>
          <c:max val="420"/>
        </c:scaling>
        <c:delete val="0"/>
        <c:axPos val="l"/>
        <c:numFmt formatCode="General" sourceLinked="1"/>
        <c:majorTickMark val="none"/>
        <c:minorTickMark val="none"/>
        <c:tickLblPos val="none"/>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L"/>
          </a:p>
        </c:txPr>
        <c:crossAx val="146533760"/>
        <c:crosses val="autoZero"/>
        <c:crossBetween val="between"/>
      </c:valAx>
      <c:valAx>
        <c:axId val="158420352"/>
        <c:scaling>
          <c:orientation val="minMax"/>
          <c:max val="0.8"/>
          <c:min val="-4.2"/>
        </c:scaling>
        <c:delete val="0"/>
        <c:axPos val="r"/>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L"/>
          </a:p>
        </c:txPr>
        <c:crossAx val="159868032"/>
        <c:crosses val="max"/>
        <c:crossBetween val="between"/>
        <c:majorUnit val="0.60000000000000009"/>
      </c:valAx>
      <c:catAx>
        <c:axId val="159868032"/>
        <c:scaling>
          <c:orientation val="minMax"/>
        </c:scaling>
        <c:delete val="1"/>
        <c:axPos val="b"/>
        <c:numFmt formatCode="General" sourceLinked="1"/>
        <c:majorTickMark val="none"/>
        <c:minorTickMark val="none"/>
        <c:tickLblPos val="nextTo"/>
        <c:crossAx val="1584203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B3E5-3A5A-432B-A6BC-2BE517B2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Esteban Muñoz Ruz</dc:creator>
  <cp:lastModifiedBy>aantiguay</cp:lastModifiedBy>
  <cp:revision>2</cp:revision>
  <cp:lastPrinted>2018-06-12T21:51:00Z</cp:lastPrinted>
  <dcterms:created xsi:type="dcterms:W3CDTF">2018-06-13T21:12:00Z</dcterms:created>
  <dcterms:modified xsi:type="dcterms:W3CDTF">2018-06-13T21:12:00Z</dcterms:modified>
</cp:coreProperties>
</file>