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1"/>
      </w:tblGrid>
      <w:tr w:rsidR="0077687D" w14:paraId="441FE9ED" w14:textId="77777777" w:rsidTr="004D2B54">
        <w:tc>
          <w:tcPr>
            <w:tcW w:w="123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D9D9D9"/>
          </w:tcPr>
          <w:p w14:paraId="649F0E0A" w14:textId="77777777" w:rsidR="0077687D" w:rsidRDefault="0077687D" w:rsidP="004D2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bookmarkStart w:id="0" w:name="_GoBack"/>
            <w:bookmarkEnd w:id="0"/>
          </w:p>
          <w:p w14:paraId="44EA8DD1" w14:textId="77777777" w:rsidR="0077687D" w:rsidRDefault="0077687D" w:rsidP="004D2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</w:p>
          <w:tbl>
            <w:tblPr>
              <w:tblW w:w="0" w:type="auto"/>
              <w:tblInd w:w="11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3"/>
            </w:tblGrid>
            <w:tr w:rsidR="0077687D" w14:paraId="03DEED9A" w14:textId="77777777" w:rsidTr="004D2B54">
              <w:tc>
                <w:tcPr>
                  <w:tcW w:w="1006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754F7240" w14:textId="4C2A90A7" w:rsidR="0077687D" w:rsidRDefault="00D658C7" w:rsidP="004D2B54">
                  <w:pPr>
                    <w:pStyle w:val="Titulodocument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both"/>
                  </w:pPr>
                  <w:r>
                    <w:t>Definiciones sobre pesca de subsistencia</w:t>
                  </w:r>
                </w:p>
              </w:tc>
            </w:tr>
            <w:tr w:rsidR="0077687D" w14:paraId="36AD77AB" w14:textId="77777777" w:rsidTr="004D2B54">
              <w:tblPrEx>
                <w:tblLook w:val="00A0" w:firstRow="1" w:lastRow="0" w:firstColumn="1" w:lastColumn="0" w:noHBand="0" w:noVBand="0"/>
              </w:tblPrEx>
              <w:tc>
                <w:tcPr>
                  <w:tcW w:w="1006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1A4DD33C" w14:textId="77777777" w:rsidR="0077687D" w:rsidRPr="004D2B54" w:rsidRDefault="0077687D" w:rsidP="004D2B54">
                  <w:pPr>
                    <w:pStyle w:val="Subttulo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/>
                    <w:jc w:val="left"/>
                    <w:rPr>
                      <w:color w:val="808080"/>
                    </w:rPr>
                  </w:pPr>
                </w:p>
              </w:tc>
            </w:tr>
          </w:tbl>
          <w:p w14:paraId="37D4B0EA" w14:textId="77777777" w:rsidR="0077687D" w:rsidRDefault="0077687D" w:rsidP="004D2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</w:p>
          <w:p w14:paraId="7593DA05" w14:textId="77777777" w:rsidR="0077687D" w:rsidRDefault="0077687D" w:rsidP="004D2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</w:p>
        </w:tc>
      </w:tr>
    </w:tbl>
    <w:p w14:paraId="175E0988" w14:textId="77777777" w:rsidR="0077687D" w:rsidRDefault="00776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tbl>
      <w:tblPr>
        <w:tblW w:w="0" w:type="auto"/>
        <w:tblInd w:w="5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CellMar>
          <w:right w:w="57" w:type="dxa"/>
        </w:tblCellMar>
        <w:tblLook w:val="00A0" w:firstRow="1" w:lastRow="0" w:firstColumn="1" w:lastColumn="0" w:noHBand="0" w:noVBand="0"/>
      </w:tblPr>
      <w:tblGrid>
        <w:gridCol w:w="2642"/>
        <w:gridCol w:w="238"/>
        <w:gridCol w:w="7183"/>
      </w:tblGrid>
      <w:tr w:rsidR="0077687D" w:rsidRPr="0051733B" w14:paraId="0BF6319C" w14:textId="77777777" w:rsidTr="004D2B54">
        <w:trPr>
          <w:trHeight w:val="7158"/>
        </w:trPr>
        <w:tc>
          <w:tcPr>
            <w:tcW w:w="264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one" w:sz="4" w:space="0" w:color="000000"/>
                <w:left w:val="single" w:sz="4" w:space="0" w:color="000000"/>
                <w:bottom w:val="none" w:sz="4" w:space="0" w:color="000000"/>
                <w:right w:val="singl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693"/>
            </w:tblGrid>
            <w:tr w:rsidR="0077687D" w:rsidRPr="0051733B" w14:paraId="601471B0" w14:textId="77777777" w:rsidTr="004D2B54">
              <w:tc>
                <w:tcPr>
                  <w:tcW w:w="2693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14:paraId="0DA0777B" w14:textId="7DF35944" w:rsidR="0077687D" w:rsidRPr="0051733B" w:rsidRDefault="0077687D" w:rsidP="0051733B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lang w:val="pt-BR"/>
                    </w:rPr>
                  </w:pPr>
                  <w:r w:rsidRPr="0051733B">
                    <w:rPr>
                      <w:lang w:val="pt-BR"/>
                    </w:rPr>
                    <w:t>Autor</w:t>
                  </w:r>
                  <w:r w:rsidR="0051733B">
                    <w:rPr>
                      <w:lang w:val="pt-BR"/>
                    </w:rPr>
                    <w:t>es</w:t>
                  </w:r>
                </w:p>
              </w:tc>
            </w:tr>
            <w:tr w:rsidR="0077687D" w:rsidRPr="0051733B" w14:paraId="6C365F46" w14:textId="77777777" w:rsidTr="004D2B54">
              <w:tc>
                <w:tcPr>
                  <w:tcW w:w="2693" w:type="dxa"/>
                  <w:tcBorders>
                    <w:top w:val="singl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0B5A5C22" w14:textId="4CB5CA3B" w:rsidR="0077687D" w:rsidRPr="0051733B" w:rsidRDefault="0051733B" w:rsidP="0051733B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lang w:val="pt-BR"/>
                    </w:rPr>
                  </w:pPr>
                  <w:r w:rsidRPr="0051733B">
                    <w:rPr>
                      <w:lang w:val="pt-BR"/>
                    </w:rPr>
                    <w:t>Leonardo Arancibia Jeraldo</w:t>
                  </w:r>
                </w:p>
                <w:p w14:paraId="248D4D1C" w14:textId="43BECC9F" w:rsidR="0077687D" w:rsidRPr="0051733B" w:rsidRDefault="0077687D" w:rsidP="0051733B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lang w:val="pt-BR"/>
                    </w:rPr>
                  </w:pPr>
                  <w:r w:rsidRPr="0051733B">
                    <w:rPr>
                      <w:lang w:val="pt-BR"/>
                    </w:rPr>
                    <w:t xml:space="preserve">Email: </w:t>
                  </w:r>
                  <w:r w:rsidR="0051733B" w:rsidRPr="0051733B">
                    <w:rPr>
                      <w:lang w:val="pt-BR"/>
                    </w:rPr>
                    <w:t>larancibia</w:t>
                  </w:r>
                  <w:r w:rsidRPr="0051733B">
                    <w:rPr>
                      <w:lang w:val="pt-BR"/>
                    </w:rPr>
                    <w:t>@bcn.cl</w:t>
                  </w:r>
                </w:p>
                <w:p w14:paraId="767D8CB8" w14:textId="77777777" w:rsidR="0077687D" w:rsidRPr="00C6034C" w:rsidRDefault="0077687D" w:rsidP="0051733B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lang w:val="fr-FR"/>
                    </w:rPr>
                  </w:pPr>
                  <w:r w:rsidRPr="00C6034C">
                    <w:rPr>
                      <w:lang w:val="fr-FR"/>
                    </w:rPr>
                    <w:t>Tel.: (56) 32 226 3</w:t>
                  </w:r>
                  <w:r w:rsidR="0051733B" w:rsidRPr="00C6034C">
                    <w:rPr>
                      <w:lang w:val="fr-FR"/>
                    </w:rPr>
                    <w:t>197</w:t>
                  </w:r>
                </w:p>
                <w:p w14:paraId="498C5665" w14:textId="77777777" w:rsidR="0051733B" w:rsidRPr="00C6034C" w:rsidRDefault="0051733B" w:rsidP="0051733B">
                  <w:pPr>
                    <w:pStyle w:val="Textosecciones"/>
                    <w:spacing w:line="240" w:lineRule="auto"/>
                    <w:rPr>
                      <w:lang w:val="fr-FR"/>
                    </w:rPr>
                  </w:pPr>
                </w:p>
                <w:p w14:paraId="13D9AFDB" w14:textId="77777777" w:rsidR="0051733B" w:rsidRPr="00C6034C" w:rsidRDefault="0051733B" w:rsidP="0051733B">
                  <w:pPr>
                    <w:pStyle w:val="Textosecciones"/>
                    <w:spacing w:line="240" w:lineRule="auto"/>
                    <w:rPr>
                      <w:lang w:val="fr-FR"/>
                    </w:rPr>
                  </w:pPr>
                  <w:r w:rsidRPr="00C6034C">
                    <w:rPr>
                      <w:lang w:val="fr-FR"/>
                    </w:rPr>
                    <w:t>Virginie Loiseau</w:t>
                  </w:r>
                </w:p>
                <w:p w14:paraId="213C0FA5" w14:textId="4CFECB6D" w:rsidR="0051733B" w:rsidRPr="0051733B" w:rsidRDefault="0051733B" w:rsidP="0051733B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lang w:val="fr-FR"/>
                    </w:rPr>
                  </w:pPr>
                  <w:r w:rsidRPr="0051733B">
                    <w:rPr>
                      <w:lang w:val="fr-FR"/>
                    </w:rPr>
                    <w:t>Email: vloiseau@bcn.cl</w:t>
                  </w:r>
                </w:p>
                <w:p w14:paraId="1830F16E" w14:textId="0EBAF26F" w:rsidR="0051733B" w:rsidRPr="0051733B" w:rsidRDefault="0051733B" w:rsidP="0051733B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lang w:val="fr-FR"/>
                    </w:rPr>
                  </w:pPr>
                  <w:r w:rsidRPr="0051733B">
                    <w:rPr>
                      <w:lang w:val="fr-FR"/>
                    </w:rPr>
                    <w:t>Tel.: (56) 2 22701882</w:t>
                  </w:r>
                </w:p>
                <w:p w14:paraId="5BD3ECF5" w14:textId="033E0931" w:rsidR="0051733B" w:rsidRPr="0051733B" w:rsidRDefault="0051733B" w:rsidP="0051733B">
                  <w:pPr>
                    <w:rPr>
                      <w:lang w:val="fr-FR"/>
                    </w:rPr>
                  </w:pPr>
                </w:p>
              </w:tc>
            </w:tr>
            <w:tr w:rsidR="0077687D" w:rsidRPr="0051733B" w14:paraId="68041B92" w14:textId="77777777" w:rsidTr="004D2B54">
              <w:trPr>
                <w:trHeight w:val="134"/>
              </w:trPr>
              <w:tc>
                <w:tcPr>
                  <w:tcW w:w="269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7CF1EC53" w14:textId="77777777" w:rsidR="0077687D" w:rsidRPr="0051733B" w:rsidRDefault="0077687D" w:rsidP="0051733B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lang w:val="fr-FR"/>
                    </w:rPr>
                  </w:pPr>
                </w:p>
              </w:tc>
            </w:tr>
            <w:tr w:rsidR="0077687D" w:rsidRPr="0051733B" w14:paraId="7725C7AF" w14:textId="77777777" w:rsidTr="004D2B54">
              <w:tc>
                <w:tcPr>
                  <w:tcW w:w="269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00A28DC7" w14:textId="13DF3EEC" w:rsidR="0077687D" w:rsidRPr="0051733B" w:rsidRDefault="0077687D" w:rsidP="0051733B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lang w:val="pt-BR"/>
                    </w:rPr>
                  </w:pPr>
                  <w:r w:rsidRPr="0051733B">
                    <w:rPr>
                      <w:lang w:val="pt-BR"/>
                    </w:rPr>
                    <w:t xml:space="preserve">Nº SUP: </w:t>
                  </w:r>
                  <w:r w:rsidR="0051733B" w:rsidRPr="0051733B">
                    <w:rPr>
                      <w:lang w:val="pt-BR"/>
                    </w:rPr>
                    <w:t>116811</w:t>
                  </w:r>
                </w:p>
              </w:tc>
            </w:tr>
          </w:tbl>
          <w:p w14:paraId="7F6A6DD9" w14:textId="77777777" w:rsidR="0077687D" w:rsidRPr="0051733B" w:rsidRDefault="0077687D" w:rsidP="0051733B">
            <w:pPr>
              <w:pStyle w:val="Textoseccion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lang w:val="pt-BR"/>
              </w:rPr>
            </w:pPr>
          </w:p>
        </w:tc>
        <w:tc>
          <w:tcPr>
            <w:tcW w:w="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0B27" w14:textId="77777777" w:rsidR="0077687D" w:rsidRPr="0051733B" w:rsidRDefault="0077687D" w:rsidP="0051733B">
            <w:pPr>
              <w:pStyle w:val="Textoseccion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lang w:val="pt-BR"/>
              </w:rPr>
            </w:pPr>
          </w:p>
        </w:tc>
        <w:tc>
          <w:tcPr>
            <w:tcW w:w="7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one" w:sz="4" w:space="0" w:color="000000"/>
                <w:left w:val="single" w:sz="4" w:space="0" w:color="000000"/>
                <w:bottom w:val="none" w:sz="4" w:space="0" w:color="000000"/>
                <w:right w:val="singl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113" w:type="dxa"/>
              </w:tblCellMar>
              <w:tblLook w:val="00A0" w:firstRow="1" w:lastRow="0" w:firstColumn="1" w:lastColumn="0" w:noHBand="0" w:noVBand="0"/>
            </w:tblPr>
            <w:tblGrid>
              <w:gridCol w:w="7228"/>
            </w:tblGrid>
            <w:tr w:rsidR="0077687D" w:rsidRPr="0051733B" w14:paraId="226F6A5E" w14:textId="77777777" w:rsidTr="004D2B54">
              <w:tc>
                <w:tcPr>
                  <w:tcW w:w="722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14:paraId="2989B19C" w14:textId="77777777" w:rsidR="0077687D" w:rsidRPr="0051733B" w:rsidRDefault="0077687D" w:rsidP="0051733B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lang w:val="pt-BR"/>
                    </w:rPr>
                  </w:pPr>
                  <w:r w:rsidRPr="00BD6426">
                    <w:rPr>
                      <w:b/>
                      <w:color w:val="auto"/>
                      <w:lang w:val="pt-BR"/>
                    </w:rPr>
                    <w:t>Resumen</w:t>
                  </w:r>
                </w:p>
              </w:tc>
            </w:tr>
            <w:tr w:rsidR="0077687D" w:rsidRPr="0051733B" w14:paraId="68EBCD65" w14:textId="77777777" w:rsidTr="004D2B54">
              <w:tc>
                <w:tcPr>
                  <w:tcW w:w="7228" w:type="dxa"/>
                  <w:tcBorders>
                    <w:top w:val="singl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27505092" w14:textId="3592AA83" w:rsidR="0077687D" w:rsidRPr="00BD6426" w:rsidRDefault="00AD4BE6" w:rsidP="00AD4BE6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jc w:val="both"/>
                    <w:rPr>
                      <w:color w:val="auto"/>
                      <w:lang w:val="es-CL"/>
                    </w:rPr>
                  </w:pPr>
                  <w:r w:rsidRPr="00BD6426">
                    <w:rPr>
                      <w:color w:val="auto"/>
                      <w:lang w:val="es-CL"/>
                    </w:rPr>
                    <w:t>La definición de pesca de subsistencia establecida por la FAO en 2008, señala los tres patrones considerados en legislaciones locales sobre la temática; pesca de baja escala, con técnicas simples y para consumo familiar sin venta. En la legislación de la Unión Europea, hay una importante discusión sobre el tema y los límites que tiene este concepto con la pesca deportiva y la pesca de baja escala, destacando en su análisis que por un tema consuetudinario Noruega se sale de los patrones ya señalados con una pequeña venta de estos pescadores</w:t>
                  </w:r>
                </w:p>
                <w:p w14:paraId="4F2FC243" w14:textId="77777777" w:rsidR="0077687D" w:rsidRPr="00BD6426" w:rsidRDefault="0077687D" w:rsidP="0051733B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color w:val="auto"/>
                      <w:lang w:val="es-CL"/>
                    </w:rPr>
                  </w:pPr>
                </w:p>
                <w:p w14:paraId="763C5A48" w14:textId="5D61A82C" w:rsidR="0077687D" w:rsidRPr="00BD6426" w:rsidRDefault="00AD4BE6" w:rsidP="00AD4BE6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jc w:val="both"/>
                    <w:rPr>
                      <w:color w:val="auto"/>
                      <w:lang w:val="es-CL"/>
                    </w:rPr>
                  </w:pPr>
                  <w:r w:rsidRPr="00BD6426">
                    <w:rPr>
                      <w:color w:val="auto"/>
                      <w:lang w:val="es-CL"/>
                    </w:rPr>
                    <w:t>Las legislaciones nacionales analizadas (Perú, Colombia, Ecuador, Guatemala, Nicaragua, Costa Rica y México) dan cuenta en sus definiciones los mismos patrones en los que relevan que se pesca para consumo familiar  sin comercializar o sin fin de lucro.</w:t>
                  </w:r>
                </w:p>
                <w:p w14:paraId="0460631D" w14:textId="77777777" w:rsidR="0077687D" w:rsidRPr="00BD6426" w:rsidRDefault="0077687D" w:rsidP="0051733B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color w:val="auto"/>
                      <w:lang w:val="es-CL"/>
                    </w:rPr>
                  </w:pPr>
                </w:p>
                <w:p w14:paraId="00C6F2D5" w14:textId="5775A96C" w:rsidR="0077687D" w:rsidRPr="00BD6426" w:rsidRDefault="00AD4BE6" w:rsidP="00AD4BE6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jc w:val="both"/>
                    <w:rPr>
                      <w:color w:val="auto"/>
                      <w:lang w:val="es-CL"/>
                    </w:rPr>
                  </w:pPr>
                  <w:r w:rsidRPr="00BD6426">
                    <w:rPr>
                      <w:color w:val="auto"/>
                      <w:lang w:val="es-CL"/>
                    </w:rPr>
                    <w:t>Finalmente la ONG World Fisheries Trust la define como la pesca, que no es deportiva, que se lleva a cabo principalmente para alimentar a la familia y parientes de la persona que ejecuta la pesca</w:t>
                  </w:r>
                </w:p>
                <w:p w14:paraId="6B5E77B2" w14:textId="77777777" w:rsidR="0077687D" w:rsidRPr="00C6034C" w:rsidRDefault="0077687D" w:rsidP="0051733B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lang w:val="es-CL"/>
                    </w:rPr>
                  </w:pPr>
                </w:p>
                <w:p w14:paraId="2B80027A" w14:textId="77777777" w:rsidR="0077687D" w:rsidRPr="00C6034C" w:rsidRDefault="0077687D" w:rsidP="0051733B">
                  <w:pPr>
                    <w:pStyle w:val="Textoseccione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rPr>
                      <w:lang w:val="es-CL"/>
                    </w:rPr>
                  </w:pPr>
                </w:p>
              </w:tc>
            </w:tr>
          </w:tbl>
          <w:p w14:paraId="39339C0B" w14:textId="77777777" w:rsidR="0077687D" w:rsidRPr="00C6034C" w:rsidRDefault="0077687D" w:rsidP="0051733B">
            <w:pPr>
              <w:pStyle w:val="Textoseccion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lang w:val="es-CL"/>
              </w:rPr>
            </w:pPr>
          </w:p>
        </w:tc>
      </w:tr>
    </w:tbl>
    <w:p w14:paraId="7ED9D874" w14:textId="77777777" w:rsidR="0077687D" w:rsidRDefault="00776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0651CF7B" w14:textId="77777777" w:rsidR="0077687D" w:rsidRDefault="00776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0B91668C" w14:textId="77777777" w:rsidR="004B615A" w:rsidRDefault="004B6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6417B990" w14:textId="77777777" w:rsidR="0077687D" w:rsidRDefault="00776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7D36A5B2" w14:textId="77777777" w:rsidR="0077687D" w:rsidRPr="00D37B45" w:rsidRDefault="0077687D">
      <w:pPr>
        <w:pStyle w:val="Seccindocumento"/>
        <w:pBdr>
          <w:top w:val="none" w:sz="0" w:space="0" w:color="auto"/>
          <w:left w:val="none" w:sz="0" w:space="0" w:color="auto"/>
          <w:right w:val="none" w:sz="0" w:space="0" w:color="auto"/>
          <w:between w:val="none" w:sz="0" w:space="0" w:color="auto"/>
        </w:pBdr>
        <w:rPr>
          <w:b w:val="0"/>
        </w:rPr>
      </w:pPr>
      <w:r>
        <w:rPr>
          <w:rStyle w:val="Seccindocumentocharacter"/>
          <w:b/>
        </w:rPr>
        <w:t xml:space="preserve">I. </w:t>
      </w:r>
      <w:r w:rsidRPr="00D37B45">
        <w:rPr>
          <w:rStyle w:val="Seccindocumentocharacter"/>
          <w:b/>
        </w:rPr>
        <w:t>Introducción</w:t>
      </w:r>
    </w:p>
    <w:p w14:paraId="1EA181C8" w14:textId="1C2A55CB" w:rsidR="0077687D" w:rsidRDefault="0077687D" w:rsidP="006046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556B90">
        <w:t xml:space="preserve">El presente informe </w:t>
      </w:r>
      <w:r>
        <w:t xml:space="preserve">presenta </w:t>
      </w:r>
      <w:r w:rsidR="0051733B">
        <w:t xml:space="preserve">las distintas definiciones encontradas al concepto de pesca de subsistencia. Para el desarrollo de este trabajo, se consultaron las siguientes fuentes Organización de las Naciones Unidas para la Alimentación y la Agricultura (FAO), Comisión Internacional para la </w:t>
      </w:r>
      <w:r w:rsidR="0051733B">
        <w:lastRenderedPageBreak/>
        <w:t xml:space="preserve">Conservación del Atún Atlántico (CICAA / ICCAT / CICTA), </w:t>
      </w:r>
      <w:r w:rsidR="0051733B" w:rsidRPr="0051733B">
        <w:rPr>
          <w:i/>
          <w:iCs/>
          <w:lang w:val="es-CL"/>
        </w:rPr>
        <w:t>World Fisheries Trust</w:t>
      </w:r>
      <w:r w:rsidR="0051733B">
        <w:rPr>
          <w:lang w:val="es-CL"/>
        </w:rPr>
        <w:t xml:space="preserve">, </w:t>
      </w:r>
      <w:r w:rsidR="0051733B" w:rsidRPr="0051733B">
        <w:rPr>
          <w:lang w:val="es-CL"/>
        </w:rPr>
        <w:t>Unión Europea (UE)</w:t>
      </w:r>
      <w:r w:rsidR="0051733B">
        <w:rPr>
          <w:lang w:val="es-CL"/>
        </w:rPr>
        <w:t xml:space="preserve">, </w:t>
      </w:r>
      <w:r w:rsidR="0051733B">
        <w:t>entre otras además de Legislación nacional</w:t>
      </w:r>
      <w:r w:rsidR="006046E2">
        <w:t xml:space="preserve"> e internacional</w:t>
      </w:r>
      <w:r w:rsidR="0051733B">
        <w:t xml:space="preserve"> y programas de políticas públicas de otros países.</w:t>
      </w:r>
    </w:p>
    <w:p w14:paraId="5F312E2C" w14:textId="7CC52DD0" w:rsidR="0094373D" w:rsidRPr="00556B90" w:rsidRDefault="0094373D" w:rsidP="006046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Las traducciones son propias</w:t>
      </w:r>
    </w:p>
    <w:p w14:paraId="34FC8A42" w14:textId="16DD2B77" w:rsidR="0077687D" w:rsidRDefault="0051733B" w:rsidP="00BD6426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hanging="426"/>
        <w:rPr>
          <w:b/>
          <w:sz w:val="24"/>
          <w:szCs w:val="24"/>
        </w:rPr>
      </w:pPr>
      <w:r w:rsidRPr="00BD6426">
        <w:rPr>
          <w:b/>
          <w:sz w:val="24"/>
          <w:szCs w:val="24"/>
        </w:rPr>
        <w:t>Definiciones de organizaciones internacionales</w:t>
      </w:r>
    </w:p>
    <w:p w14:paraId="21159047" w14:textId="77777777" w:rsidR="00BD6426" w:rsidRPr="00BD6426" w:rsidRDefault="00BD6426" w:rsidP="00BD642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rPr>
          <w:b/>
          <w:sz w:val="24"/>
          <w:szCs w:val="24"/>
        </w:rPr>
      </w:pPr>
    </w:p>
    <w:p w14:paraId="4F4DFF3A" w14:textId="3FF7309F" w:rsidR="0051733B" w:rsidRPr="00BD6426" w:rsidRDefault="0051733B" w:rsidP="00BD6426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b/>
          <w:bCs/>
          <w:u w:val="single"/>
        </w:rPr>
      </w:pPr>
      <w:r w:rsidRPr="00BD6426">
        <w:rPr>
          <w:b/>
          <w:bCs/>
        </w:rPr>
        <w:t>Organización de las Naciones Unidas para la Agricultura y la Alimentación FAO</w:t>
      </w:r>
      <w:r w:rsidRPr="00BD6426">
        <w:rPr>
          <w:b/>
          <w:bCs/>
          <w:u w:val="single"/>
        </w:rPr>
        <w:t xml:space="preserve"> </w:t>
      </w:r>
    </w:p>
    <w:p w14:paraId="7E454270" w14:textId="77777777" w:rsidR="0051733B" w:rsidRDefault="0051733B" w:rsidP="00C6034C">
      <w:pPr>
        <w:spacing w:after="0" w:line="240" w:lineRule="auto"/>
      </w:pPr>
    </w:p>
    <w:p w14:paraId="17E3C673" w14:textId="3756DA93" w:rsidR="0051733B" w:rsidRDefault="0051733B" w:rsidP="0055379E">
      <w:pPr>
        <w:spacing w:after="0" w:line="240" w:lineRule="auto"/>
      </w:pPr>
      <w:r>
        <w:t xml:space="preserve">La FAO en su documento </w:t>
      </w:r>
      <w:r w:rsidRPr="0051733B">
        <w:t>Directrices para la Recopilación Sistemática de Datos Relativos a la Pesca de Captura</w:t>
      </w:r>
      <w:r>
        <w:t xml:space="preserve"> de 1998</w:t>
      </w:r>
      <w:r w:rsidR="001166D2">
        <w:rPr>
          <w:rStyle w:val="Refdenotaalpie"/>
        </w:rPr>
        <w:footnoteReference w:id="1"/>
      </w:r>
      <w:r>
        <w:t xml:space="preserve"> establece en su Glosario (Anexo 5) “</w:t>
      </w:r>
      <w:r w:rsidRPr="0051733B">
        <w:t>Pesca de subsistencia: Pesca en la que los peces capturados son consumidos directamente por las familias en lugar de ser vendidos por intermediarios en mercado</w:t>
      </w:r>
      <w:r w:rsidR="00D70EA3">
        <w:t>s</w:t>
      </w:r>
      <w:r w:rsidRPr="0051733B">
        <w:t xml:space="preserve"> </w:t>
      </w:r>
      <w:r w:rsidR="0055379E">
        <w:t>vecinos más grandes</w:t>
      </w:r>
      <w:r>
        <w:t>”</w:t>
      </w:r>
    </w:p>
    <w:p w14:paraId="2E0E0C07" w14:textId="51B63F58" w:rsidR="0051733B" w:rsidRDefault="0051733B" w:rsidP="00C6034C">
      <w:pPr>
        <w:spacing w:after="0" w:line="240" w:lineRule="auto"/>
      </w:pPr>
    </w:p>
    <w:p w14:paraId="7D6B3AF8" w14:textId="77777777" w:rsidR="0094373D" w:rsidRDefault="001166D2" w:rsidP="00C6034C">
      <w:pPr>
        <w:spacing w:after="0" w:line="240" w:lineRule="auto"/>
      </w:pPr>
      <w:r>
        <w:t xml:space="preserve">Una definición </w:t>
      </w:r>
      <w:r w:rsidR="00D70EA3">
        <w:t>que puede relacionarse</w:t>
      </w:r>
      <w:r>
        <w:t xml:space="preserve"> al concepto de subsistencia, es el entregado a su vez en el </w:t>
      </w:r>
      <w:r w:rsidRPr="001166D2">
        <w:t>portal terminológico de la FAO</w:t>
      </w:r>
      <w:r>
        <w:rPr>
          <w:rStyle w:val="Refdenotaalpie"/>
        </w:rPr>
        <w:footnoteReference w:id="2"/>
      </w:r>
      <w:r>
        <w:t xml:space="preserve"> que dentro de sus conceptualizaciones tiene el relacionado con "Pesquerías artesanales"</w:t>
      </w:r>
      <w:r w:rsidR="00D44CB8">
        <w:t xml:space="preserve"> (</w:t>
      </w:r>
      <w:r w:rsidR="00D44CB8" w:rsidRPr="00D44CB8">
        <w:rPr>
          <w:i/>
          <w:iCs/>
        </w:rPr>
        <w:t>artisanal fisheries</w:t>
      </w:r>
      <w:r w:rsidR="00D44CB8">
        <w:t>)</w:t>
      </w:r>
      <w:r>
        <w:t xml:space="preserve"> que es definido como </w:t>
      </w:r>
    </w:p>
    <w:p w14:paraId="557C395B" w14:textId="77777777" w:rsidR="0094373D" w:rsidRDefault="0094373D" w:rsidP="00C6034C">
      <w:pPr>
        <w:spacing w:after="0" w:line="240" w:lineRule="auto"/>
      </w:pPr>
    </w:p>
    <w:p w14:paraId="16E68B7A" w14:textId="55651CD9" w:rsidR="001166D2" w:rsidRDefault="0094373D" w:rsidP="0094373D">
      <w:pPr>
        <w:spacing w:after="0" w:line="240" w:lineRule="auto"/>
        <w:ind w:left="567"/>
      </w:pPr>
      <w:r>
        <w:t>[</w:t>
      </w:r>
      <w:r w:rsidR="00D70EA3">
        <w:t>p</w:t>
      </w:r>
      <w:r>
        <w:t>]</w:t>
      </w:r>
      <w:r w:rsidR="001166D2">
        <w:t xml:space="preserve">esquerías tradicionales que involucran a </w:t>
      </w:r>
      <w:r w:rsidR="00D70EA3">
        <w:t>comunidades</w:t>
      </w:r>
      <w:r w:rsidR="001166D2">
        <w:t xml:space="preserve"> pesquer</w:t>
      </w:r>
      <w:r w:rsidR="00D70EA3">
        <w:t>a</w:t>
      </w:r>
      <w:r w:rsidR="001166D2">
        <w:t>s (a diferencia de las empresas comerciales), que utilizan una cantidad relativamente pequeña de capital y energía, embarcaciones de pesca relativamente pequeñas (si las hay), realizan viajes de pesca cortos, cerca de la costa, principalmente para el consumo local”.</w:t>
      </w:r>
    </w:p>
    <w:p w14:paraId="623EF3DB" w14:textId="77777777" w:rsidR="0051733B" w:rsidRDefault="0051733B" w:rsidP="00C6034C">
      <w:pPr>
        <w:spacing w:after="0" w:line="240" w:lineRule="auto"/>
      </w:pPr>
    </w:p>
    <w:p w14:paraId="13308194" w14:textId="77777777" w:rsidR="0094373D" w:rsidRDefault="00C6034C" w:rsidP="00C6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lang w:val="es-CL"/>
        </w:rPr>
      </w:pPr>
      <w:r>
        <w:t>Por su parte, en e</w:t>
      </w:r>
      <w:r w:rsidRPr="00D44CB8">
        <w:rPr>
          <w:lang w:val="es-CL"/>
        </w:rPr>
        <w:t>l documento “</w:t>
      </w:r>
      <w:r w:rsidRPr="00D44CB8">
        <w:rPr>
          <w:i/>
          <w:iCs/>
          <w:lang w:val="es-CL"/>
        </w:rPr>
        <w:t>A Fishery Manager’s Guidebook</w:t>
      </w:r>
      <w:r w:rsidRPr="00D44CB8">
        <w:rPr>
          <w:lang w:val="es-CL"/>
        </w:rPr>
        <w:t>”</w:t>
      </w:r>
      <w:r>
        <w:rPr>
          <w:rStyle w:val="Refdenotaalpie"/>
          <w:lang w:val="es-CL"/>
        </w:rPr>
        <w:footnoteReference w:id="3"/>
      </w:r>
      <w:r w:rsidRPr="00D44CB8">
        <w:rPr>
          <w:lang w:val="es-CL"/>
        </w:rPr>
        <w:t>, de 2009 proviene la siguiente definición de pescador de pequeña escala</w:t>
      </w:r>
      <w:r>
        <w:rPr>
          <w:lang w:val="es-CL"/>
        </w:rPr>
        <w:t xml:space="preserve"> (</w:t>
      </w:r>
      <w:r w:rsidRPr="00D44CB8">
        <w:rPr>
          <w:i/>
          <w:iCs/>
          <w:lang w:val="es-CL"/>
        </w:rPr>
        <w:t>small-scale fishery</w:t>
      </w:r>
      <w:r>
        <w:rPr>
          <w:lang w:val="es-CL"/>
        </w:rPr>
        <w:t xml:space="preserve">) </w:t>
      </w:r>
      <w:r w:rsidRPr="00D44CB8">
        <w:rPr>
          <w:lang w:val="es-CL"/>
        </w:rPr>
        <w:t>“</w:t>
      </w:r>
    </w:p>
    <w:p w14:paraId="46A4BDBA" w14:textId="77777777" w:rsidR="0094373D" w:rsidRDefault="0094373D" w:rsidP="00943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rPr>
          <w:lang w:val="es-CL"/>
        </w:rPr>
      </w:pPr>
    </w:p>
    <w:p w14:paraId="518B4EDC" w14:textId="129BC898" w:rsidR="00C6034C" w:rsidRDefault="0094373D" w:rsidP="00943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rPr>
          <w:lang w:val="es-CL"/>
        </w:rPr>
      </w:pPr>
      <w:r>
        <w:rPr>
          <w:lang w:val="es-CL"/>
        </w:rPr>
        <w:t>[</w:t>
      </w:r>
      <w:r w:rsidR="00C6034C">
        <w:rPr>
          <w:lang w:val="es-CL"/>
        </w:rPr>
        <w:t>s</w:t>
      </w:r>
      <w:r>
        <w:rPr>
          <w:lang w:val="es-CL"/>
        </w:rPr>
        <w:t>]</w:t>
      </w:r>
      <w:r w:rsidR="00C6034C">
        <w:rPr>
          <w:lang w:val="es-CL"/>
        </w:rPr>
        <w:t>e presenta en países en desarrollo y es</w:t>
      </w:r>
      <w:r w:rsidR="00C6034C" w:rsidRPr="00D44CB8">
        <w:rPr>
          <w:lang w:val="es-CL"/>
        </w:rPr>
        <w:t>, un pescador que:</w:t>
      </w:r>
      <w:r w:rsidR="00C6034C">
        <w:rPr>
          <w:lang w:val="es-CL"/>
        </w:rPr>
        <w:t xml:space="preserve"> </w:t>
      </w:r>
      <w:r w:rsidR="00C6034C" w:rsidRPr="00D44CB8">
        <w:rPr>
          <w:lang w:val="es-CL"/>
        </w:rPr>
        <w:t>(a) generalmente se encuentra cerca de la costa y cerca de su comunidad de origen y depende de los recursos locales;</w:t>
      </w:r>
      <w:r w:rsidR="00C6034C">
        <w:rPr>
          <w:lang w:val="es-CL"/>
        </w:rPr>
        <w:t xml:space="preserve"> </w:t>
      </w:r>
      <w:r w:rsidR="00C6034C" w:rsidRPr="00D44CB8">
        <w:rPr>
          <w:lang w:val="es-CL"/>
        </w:rPr>
        <w:t>(b) tiene oportunidades limitadas para un empleo alternativo; (c) utiliza embarcaciones pequeñas y artes simples</w:t>
      </w:r>
      <w:r w:rsidR="00C6034C">
        <w:rPr>
          <w:lang w:val="es-CL"/>
        </w:rPr>
        <w:t xml:space="preserve"> </w:t>
      </w:r>
      <w:r w:rsidR="00C6034C" w:rsidRPr="00D44CB8">
        <w:rPr>
          <w:lang w:val="es-CL"/>
        </w:rPr>
        <w:t xml:space="preserve">(aunque no necesariamente técnicas simples) y (d) generalmente está vinculado por </w:t>
      </w:r>
      <w:r w:rsidR="00C6034C">
        <w:rPr>
          <w:lang w:val="es-CL"/>
        </w:rPr>
        <w:t xml:space="preserve">sus </w:t>
      </w:r>
      <w:r w:rsidR="00C6034C" w:rsidRPr="00D44CB8">
        <w:rPr>
          <w:lang w:val="es-CL"/>
        </w:rPr>
        <w:t xml:space="preserve">costumbres </w:t>
      </w:r>
      <w:r w:rsidR="00C6034C">
        <w:rPr>
          <w:lang w:val="es-CL"/>
        </w:rPr>
        <w:t xml:space="preserve">y </w:t>
      </w:r>
      <w:r w:rsidR="00C6034C" w:rsidRPr="00D44CB8">
        <w:rPr>
          <w:lang w:val="es-CL"/>
        </w:rPr>
        <w:t>la comunidad tradicional.</w:t>
      </w:r>
    </w:p>
    <w:p w14:paraId="739441BD" w14:textId="77777777" w:rsidR="00E53521" w:rsidRDefault="00E53521" w:rsidP="00C6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lang w:val="es-CL"/>
        </w:rPr>
      </w:pPr>
    </w:p>
    <w:p w14:paraId="528B0A70" w14:textId="2675AFF2" w:rsidR="00E53521" w:rsidRPr="00640880" w:rsidRDefault="00E53521" w:rsidP="00640880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rPr>
          <w:b/>
          <w:bCs/>
          <w:lang w:val="es-CL"/>
        </w:rPr>
      </w:pPr>
      <w:r w:rsidRPr="00640880">
        <w:rPr>
          <w:b/>
          <w:bCs/>
          <w:lang w:val="es-CL"/>
        </w:rPr>
        <w:t>Unión Europea</w:t>
      </w:r>
    </w:p>
    <w:p w14:paraId="471619DC" w14:textId="0805FFE9" w:rsidR="00E53521" w:rsidRDefault="00E53521" w:rsidP="00C6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lang w:val="es-CL"/>
        </w:rPr>
      </w:pPr>
    </w:p>
    <w:p w14:paraId="3D5FCA37" w14:textId="12AE640F" w:rsidR="00D03B87" w:rsidRDefault="00E53521" w:rsidP="00B85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t>En el caso del Parlamento Europeo, se revisó el sitio Web con la normativa comunitaria europea, Eur-Lex, en busca de directivas, reglamentos y otros documentos que incluyeran unas defini</w:t>
      </w:r>
      <w:r w:rsidR="00B85956">
        <w:t>ciones de pesca de subsistencia</w:t>
      </w:r>
      <w:r>
        <w:t xml:space="preserve">. Las búsquedas por términos libres no arrojaron ningún texto con definiciones. Si se </w:t>
      </w:r>
      <w:r>
        <w:lastRenderedPageBreak/>
        <w:t>encontraron trabajos como el de Hyder et al (2017)</w:t>
      </w:r>
      <w:r>
        <w:rPr>
          <w:rStyle w:val="Refdenotaalpie"/>
        </w:rPr>
        <w:footnoteReference w:id="4"/>
      </w:r>
      <w:r w:rsidR="0094373D">
        <w:t xml:space="preserve">. En éste, </w:t>
      </w:r>
      <w:r>
        <w:t>el concepto es analizado desde la problemática que l</w:t>
      </w:r>
      <w:r w:rsidRPr="00E53521">
        <w:rPr>
          <w:lang w:val="es-CL"/>
        </w:rPr>
        <w:t xml:space="preserve">a consideración de las actividades de pesca de subsistencia </w:t>
      </w:r>
      <w:r w:rsidR="0094373D">
        <w:rPr>
          <w:lang w:val="es-CL"/>
        </w:rPr>
        <w:t>como</w:t>
      </w:r>
      <w:r w:rsidR="0094373D" w:rsidRPr="00E53521">
        <w:rPr>
          <w:lang w:val="es-CL"/>
        </w:rPr>
        <w:t xml:space="preserve"> </w:t>
      </w:r>
      <w:r w:rsidRPr="00E53521">
        <w:rPr>
          <w:lang w:val="es-CL"/>
        </w:rPr>
        <w:t>particularmente relevante</w:t>
      </w:r>
      <w:r w:rsidR="0094373D">
        <w:rPr>
          <w:lang w:val="es-CL"/>
        </w:rPr>
        <w:t>s</w:t>
      </w:r>
      <w:r w:rsidRPr="00E53521">
        <w:rPr>
          <w:lang w:val="es-CL"/>
        </w:rPr>
        <w:t xml:space="preserve"> para la </w:t>
      </w:r>
      <w:r>
        <w:rPr>
          <w:lang w:val="es-CL"/>
        </w:rPr>
        <w:t xml:space="preserve">política de </w:t>
      </w:r>
      <w:r w:rsidRPr="00E53521">
        <w:rPr>
          <w:lang w:val="es-CL"/>
        </w:rPr>
        <w:t>pesca costera</w:t>
      </w:r>
      <w:r>
        <w:rPr>
          <w:lang w:val="es-CL"/>
        </w:rPr>
        <w:t>, pero su</w:t>
      </w:r>
      <w:r w:rsidRPr="00E53521">
        <w:rPr>
          <w:lang w:val="es-CL"/>
        </w:rPr>
        <w:t xml:space="preserve"> reconocimiento formal </w:t>
      </w:r>
      <w:r>
        <w:rPr>
          <w:lang w:val="es-CL"/>
        </w:rPr>
        <w:t xml:space="preserve">como </w:t>
      </w:r>
      <w:r w:rsidRPr="00E53521">
        <w:rPr>
          <w:lang w:val="es-CL"/>
        </w:rPr>
        <w:t>pesca de subsistencia a menudo está ausente de los marcos de políticas</w:t>
      </w:r>
      <w:r>
        <w:rPr>
          <w:lang w:val="es-CL"/>
        </w:rPr>
        <w:t xml:space="preserve"> y al respecto, un</w:t>
      </w:r>
      <w:r w:rsidRPr="00E53521">
        <w:rPr>
          <w:lang w:val="es-CL"/>
        </w:rPr>
        <w:t xml:space="preserve"> problema crítico es el signi</w:t>
      </w:r>
      <w:r>
        <w:rPr>
          <w:lang w:val="es-CL"/>
        </w:rPr>
        <w:t xml:space="preserve">ficado del término subsistencia, básicamente porque el concepto </w:t>
      </w:r>
      <w:r w:rsidRPr="00E53521">
        <w:rPr>
          <w:lang w:val="es-CL"/>
        </w:rPr>
        <w:t>en comparación con otros tipos de pesca, es difus</w:t>
      </w:r>
      <w:r>
        <w:rPr>
          <w:lang w:val="es-CL"/>
        </w:rPr>
        <w:t>o</w:t>
      </w:r>
      <w:r w:rsidRPr="00E53521">
        <w:rPr>
          <w:lang w:val="es-CL"/>
        </w:rPr>
        <w:t>,</w:t>
      </w:r>
      <w:r>
        <w:rPr>
          <w:lang w:val="es-CL"/>
        </w:rPr>
        <w:t xml:space="preserve"> </w:t>
      </w:r>
      <w:r w:rsidRPr="00E53521">
        <w:rPr>
          <w:lang w:val="es-CL"/>
        </w:rPr>
        <w:t>esporádico y difícil de controlar</w:t>
      </w:r>
      <w:r>
        <w:rPr>
          <w:lang w:val="es-CL"/>
        </w:rPr>
        <w:t xml:space="preserve"> sobre todo en los límites </w:t>
      </w:r>
      <w:r w:rsidRPr="00E53521">
        <w:rPr>
          <w:lang w:val="es-CL"/>
        </w:rPr>
        <w:t xml:space="preserve">entre las pesquerías de subsistencia y los sectores </w:t>
      </w:r>
      <w:r>
        <w:rPr>
          <w:lang w:val="es-CL"/>
        </w:rPr>
        <w:t>de pesca recreativa y comerciales de baja escala. En el citado trabajo</w:t>
      </w:r>
      <w:r w:rsidR="0094373D">
        <w:rPr>
          <w:lang w:val="es-CL"/>
        </w:rPr>
        <w:t>,</w:t>
      </w:r>
      <w:r>
        <w:rPr>
          <w:lang w:val="es-CL"/>
        </w:rPr>
        <w:t xml:space="preserve"> en las definiciones consideradas para pesca de subsistencia (en la experiencia extranjera)</w:t>
      </w:r>
      <w:r w:rsidR="0094373D">
        <w:rPr>
          <w:lang w:val="es-CL"/>
        </w:rPr>
        <w:t xml:space="preserve"> se</w:t>
      </w:r>
      <w:r>
        <w:rPr>
          <w:lang w:val="es-CL"/>
        </w:rPr>
        <w:t xml:space="preserve"> </w:t>
      </w:r>
      <w:r w:rsidR="0094373D">
        <w:rPr>
          <w:lang w:val="es-CL"/>
        </w:rPr>
        <w:t xml:space="preserve">incluyen </w:t>
      </w:r>
      <w:r>
        <w:rPr>
          <w:lang w:val="es-CL"/>
        </w:rPr>
        <w:t>la definici</w:t>
      </w:r>
      <w:r w:rsidR="00D03B87">
        <w:rPr>
          <w:lang w:val="es-CL"/>
        </w:rPr>
        <w:t>ón</w:t>
      </w:r>
      <w:r>
        <w:rPr>
          <w:lang w:val="es-CL"/>
        </w:rPr>
        <w:t xml:space="preserve"> de FAO, </w:t>
      </w:r>
      <w:r w:rsidR="00D03B87">
        <w:rPr>
          <w:lang w:val="es-CL"/>
        </w:rPr>
        <w:t xml:space="preserve">de </w:t>
      </w:r>
      <w:r>
        <w:t>Berkes, F</w:t>
      </w:r>
      <w:r w:rsidR="00D03B87">
        <w:t xml:space="preserve"> (1988)</w:t>
      </w:r>
      <w:r w:rsidR="00D03B87">
        <w:rPr>
          <w:rStyle w:val="Refdenotaalpie"/>
        </w:rPr>
        <w:footnoteReference w:id="5"/>
      </w:r>
      <w:r w:rsidR="0094373D">
        <w:t>, quien</w:t>
      </w:r>
      <w:r w:rsidR="00D03B87">
        <w:t xml:space="preserve"> en el caso de Canadá define</w:t>
      </w:r>
      <w:r w:rsidR="0094373D">
        <w:t xml:space="preserve"> las</w:t>
      </w:r>
      <w:r w:rsidR="00D03B87">
        <w:t xml:space="preserve"> “ Pesquerías locales no comerciales, no orientadas hacia la recreación, que operan con objetivo de adquirir pescado para el consumo propio de los pescadores, sus familias y comunidad” y de </w:t>
      </w:r>
      <w:r w:rsidR="006046E2">
        <w:t xml:space="preserve">la </w:t>
      </w:r>
      <w:r w:rsidR="00C863DA" w:rsidRPr="00C863DA">
        <w:rPr>
          <w:i/>
          <w:iCs/>
        </w:rPr>
        <w:t>South Africa´s Marine Living Resources Act (South African Government, 1998)</w:t>
      </w:r>
      <w:r w:rsidR="006046E2">
        <w:rPr>
          <w:rStyle w:val="Refdenotaalpie"/>
          <w:i/>
          <w:iCs/>
        </w:rPr>
        <w:footnoteReference w:id="6"/>
      </w:r>
      <w:r w:rsidR="006046E2">
        <w:t xml:space="preserve"> que define al pescador de subsistencia como “</w:t>
      </w:r>
      <w:r w:rsidR="00C863DA">
        <w:t>una persona que captura regularmente peces</w:t>
      </w:r>
      <w:r w:rsidR="006046E2">
        <w:t xml:space="preserve"> para su </w:t>
      </w:r>
      <w:r w:rsidR="00C863DA">
        <w:t xml:space="preserve">consumo personal </w:t>
      </w:r>
      <w:r w:rsidR="006046E2">
        <w:t xml:space="preserve">y </w:t>
      </w:r>
      <w:r w:rsidR="00C863DA">
        <w:t xml:space="preserve">de sus dependientes, </w:t>
      </w:r>
      <w:r w:rsidR="006046E2">
        <w:t xml:space="preserve">incluye a quienes eventualmente se </w:t>
      </w:r>
      <w:r w:rsidR="00C863DA">
        <w:t>compromete</w:t>
      </w:r>
      <w:r w:rsidR="006046E2">
        <w:t>n</w:t>
      </w:r>
      <w:r w:rsidR="00C863DA">
        <w:t xml:space="preserve"> en la venta local o trueque de exceso de captura</w:t>
      </w:r>
      <w:r w:rsidR="006046E2">
        <w:t>. No considera</w:t>
      </w:r>
      <w:r w:rsidR="00C863DA">
        <w:t xml:space="preserve"> </w:t>
      </w:r>
      <w:r w:rsidR="006046E2">
        <w:t>a quienes</w:t>
      </w:r>
      <w:r w:rsidR="00C863DA">
        <w:t xml:space="preserve"> que se involucra</w:t>
      </w:r>
      <w:r w:rsidR="006046E2">
        <w:t>n</w:t>
      </w:r>
      <w:r w:rsidR="00C863DA">
        <w:t xml:space="preserve"> en una escala sustancial</w:t>
      </w:r>
      <w:r w:rsidR="006046E2">
        <w:t xml:space="preserve"> </w:t>
      </w:r>
      <w:r w:rsidR="00C863DA">
        <w:t>en la venta de pescado</w:t>
      </w:r>
      <w:r w:rsidR="006046E2">
        <w:t>,</w:t>
      </w:r>
      <w:r w:rsidR="00C863DA">
        <w:t xml:space="preserve"> sobre una base comercial</w:t>
      </w:r>
      <w:r w:rsidR="006046E2">
        <w:t>”</w:t>
      </w:r>
      <w:r w:rsidR="00C863DA">
        <w:t>.</w:t>
      </w:r>
    </w:p>
    <w:p w14:paraId="1EDD6EA8" w14:textId="77777777" w:rsidR="00D03B87" w:rsidRPr="00D44CB8" w:rsidRDefault="00D03B87" w:rsidP="00E53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lang w:val="es-CL"/>
        </w:rPr>
      </w:pPr>
    </w:p>
    <w:p w14:paraId="3E148B53" w14:textId="0F5B9641" w:rsidR="00C6034C" w:rsidRDefault="00C6034C" w:rsidP="00640880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hanging="426"/>
        <w:rPr>
          <w:b/>
        </w:rPr>
      </w:pPr>
      <w:r w:rsidRPr="00640880">
        <w:rPr>
          <w:b/>
        </w:rPr>
        <w:t>Definiciones de legislaciones pesqueras</w:t>
      </w:r>
      <w:r w:rsidR="00241DF6" w:rsidRPr="00640880">
        <w:rPr>
          <w:b/>
        </w:rPr>
        <w:t xml:space="preserve"> en la experiencia extranjera</w:t>
      </w:r>
    </w:p>
    <w:p w14:paraId="57D81B3C" w14:textId="77777777" w:rsidR="0094373D" w:rsidRPr="00640880" w:rsidRDefault="0094373D" w:rsidP="00640880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rPr>
          <w:b/>
        </w:rPr>
      </w:pPr>
    </w:p>
    <w:p w14:paraId="14FE6B67" w14:textId="692D9CEE" w:rsidR="00241DF6" w:rsidRPr="00640880" w:rsidRDefault="00241DF6" w:rsidP="00640880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 w:hanging="426"/>
        <w:rPr>
          <w:b/>
        </w:rPr>
      </w:pPr>
      <w:r w:rsidRPr="00640880">
        <w:rPr>
          <w:b/>
        </w:rPr>
        <w:t>Perú</w:t>
      </w:r>
    </w:p>
    <w:p w14:paraId="2E02DFF1" w14:textId="77777777" w:rsidR="0094373D" w:rsidRDefault="002742C1" w:rsidP="002742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Cs/>
        </w:rPr>
      </w:pPr>
      <w:r w:rsidRPr="002742C1">
        <w:rPr>
          <w:bCs/>
        </w:rPr>
        <w:t>El Decreto Ley N°</w:t>
      </w:r>
      <w:r>
        <w:rPr>
          <w:bCs/>
        </w:rPr>
        <w:t xml:space="preserve"> 25977 de 2013</w:t>
      </w:r>
      <w:r>
        <w:rPr>
          <w:rStyle w:val="Refdenotaalpie"/>
          <w:bCs/>
        </w:rPr>
        <w:footnoteReference w:id="7"/>
      </w:r>
      <w:r>
        <w:rPr>
          <w:bCs/>
        </w:rPr>
        <w:t xml:space="preserve"> Ley General de Pesca de Perú, en su a</w:t>
      </w:r>
      <w:r w:rsidRPr="002742C1">
        <w:rPr>
          <w:bCs/>
        </w:rPr>
        <w:t>rtículo 19</w:t>
      </w:r>
      <w:r>
        <w:rPr>
          <w:bCs/>
        </w:rPr>
        <w:t>° establece que</w:t>
      </w:r>
    </w:p>
    <w:p w14:paraId="137F075C" w14:textId="3C58DC59" w:rsidR="002742C1" w:rsidRPr="002742C1" w:rsidRDefault="0094373D" w:rsidP="00943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567"/>
        <w:rPr>
          <w:bCs/>
        </w:rPr>
      </w:pPr>
      <w:r>
        <w:rPr>
          <w:bCs/>
        </w:rPr>
        <w:t>[</w:t>
      </w:r>
      <w:r w:rsidR="002742C1" w:rsidRPr="002742C1">
        <w:rPr>
          <w:bCs/>
        </w:rPr>
        <w:t>L</w:t>
      </w:r>
      <w:r>
        <w:rPr>
          <w:bCs/>
        </w:rPr>
        <w:t>]</w:t>
      </w:r>
      <w:r w:rsidR="002742C1" w:rsidRPr="002742C1">
        <w:rPr>
          <w:bCs/>
        </w:rPr>
        <w:t>a extracción es la fase de la actividad pesquera que tiene por objeto la captura de los recursos hidrobiológicos mediante la pesca, la caza acuática o la recolección</w:t>
      </w:r>
      <w:r w:rsidR="002742C1">
        <w:rPr>
          <w:bCs/>
        </w:rPr>
        <w:t>”</w:t>
      </w:r>
      <w:r w:rsidR="002742C1" w:rsidRPr="002742C1">
        <w:rPr>
          <w:bCs/>
        </w:rPr>
        <w:t>.</w:t>
      </w:r>
      <w:r w:rsidR="002742C1">
        <w:rPr>
          <w:bCs/>
        </w:rPr>
        <w:t xml:space="preserve"> Posteriormente en el artículo siguiente (letra b, número 3) la clasifica explicitando como extracción no comercial la pesca de subsistencia, dando la siguiente definición: </w:t>
      </w:r>
      <w:r>
        <w:rPr>
          <w:bCs/>
        </w:rPr>
        <w:t>(…)</w:t>
      </w:r>
    </w:p>
    <w:p w14:paraId="39A25DAB" w14:textId="0B4A03EE" w:rsidR="002742C1" w:rsidRPr="002742C1" w:rsidRDefault="002742C1" w:rsidP="00943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567"/>
        <w:rPr>
          <w:bCs/>
          <w:lang w:val="es-CL"/>
        </w:rPr>
      </w:pPr>
      <w:r w:rsidRPr="002742C1">
        <w:rPr>
          <w:bCs/>
        </w:rPr>
        <w:t xml:space="preserve">3. </w:t>
      </w:r>
      <w:r w:rsidRPr="002742C1">
        <w:rPr>
          <w:bCs/>
        </w:rPr>
        <w:tab/>
        <w:t>De subsistencia: la realizada con fines de consumo doméstico o trueque, sin fines de lucro.</w:t>
      </w:r>
    </w:p>
    <w:p w14:paraId="24F1DEC8" w14:textId="380A1CEC" w:rsidR="00241DF6" w:rsidRPr="00241DF6" w:rsidRDefault="0094373D" w:rsidP="000B0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</w:rPr>
      </w:pPr>
      <w:r>
        <w:rPr>
          <w:bCs/>
        </w:rPr>
        <w:t xml:space="preserve">2. </w:t>
      </w:r>
      <w:r w:rsidR="00241DF6" w:rsidRPr="00241DF6">
        <w:rPr>
          <w:b/>
        </w:rPr>
        <w:t>Colombia</w:t>
      </w:r>
    </w:p>
    <w:p w14:paraId="441B22CD" w14:textId="7704545C" w:rsidR="0094373D" w:rsidRDefault="000B0963" w:rsidP="000B09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Cs/>
        </w:rPr>
      </w:pPr>
      <w:r>
        <w:rPr>
          <w:bCs/>
        </w:rPr>
        <w:t xml:space="preserve">En Colombia, mediante la </w:t>
      </w:r>
      <w:r w:rsidRPr="000B0963">
        <w:rPr>
          <w:bCs/>
        </w:rPr>
        <w:t>L</w:t>
      </w:r>
      <w:r>
        <w:rPr>
          <w:bCs/>
        </w:rPr>
        <w:t>ey N°</w:t>
      </w:r>
      <w:r w:rsidRPr="000B0963">
        <w:rPr>
          <w:bCs/>
        </w:rPr>
        <w:t xml:space="preserve"> 13 de 1990</w:t>
      </w:r>
      <w:r>
        <w:rPr>
          <w:rStyle w:val="Refdenotaalpie"/>
          <w:bCs/>
        </w:rPr>
        <w:footnoteReference w:id="8"/>
      </w:r>
      <w:r>
        <w:rPr>
          <w:bCs/>
        </w:rPr>
        <w:t xml:space="preserve"> se </w:t>
      </w:r>
      <w:r w:rsidRPr="000B0963">
        <w:rPr>
          <w:bCs/>
        </w:rPr>
        <w:t>dicta el Estatuto General de Pesca</w:t>
      </w:r>
      <w:r>
        <w:rPr>
          <w:bCs/>
        </w:rPr>
        <w:t xml:space="preserve"> la cual en su a</w:t>
      </w:r>
      <w:r w:rsidRPr="000B0963">
        <w:rPr>
          <w:bCs/>
        </w:rPr>
        <w:t>rtículo 47</w:t>
      </w:r>
      <w:r>
        <w:rPr>
          <w:bCs/>
        </w:rPr>
        <w:t>°</w:t>
      </w:r>
      <w:r>
        <w:rPr>
          <w:rStyle w:val="Refdenotaalpie"/>
          <w:bCs/>
        </w:rPr>
        <w:footnoteReference w:id="9"/>
      </w:r>
      <w:r>
        <w:rPr>
          <w:bCs/>
        </w:rPr>
        <w:t xml:space="preserve"> establece que e</w:t>
      </w:r>
      <w:r w:rsidRPr="000B0963">
        <w:rPr>
          <w:bCs/>
        </w:rPr>
        <w:t>l derecho a ejercer la actividad pesquera se puede obtener</w:t>
      </w:r>
      <w:r>
        <w:rPr>
          <w:bCs/>
        </w:rPr>
        <w:t xml:space="preserve"> en el caso de la pesca de subsistencia por el ministerio de la Ley definiéndola como “la que </w:t>
      </w:r>
      <w:r w:rsidRPr="000B0963">
        <w:rPr>
          <w:bCs/>
        </w:rPr>
        <w:t>se realiza</w:t>
      </w:r>
      <w:r>
        <w:rPr>
          <w:bCs/>
        </w:rPr>
        <w:t xml:space="preserve"> </w:t>
      </w:r>
      <w:r w:rsidRPr="000B0963">
        <w:rPr>
          <w:bCs/>
        </w:rPr>
        <w:t xml:space="preserve">sin ánimo de lucro para </w:t>
      </w:r>
      <w:r w:rsidRPr="000B0963">
        <w:rPr>
          <w:bCs/>
        </w:rPr>
        <w:lastRenderedPageBreak/>
        <w:t>proporcionar alimento al pescador y a su familia. La pesca de subsistencia es libre</w:t>
      </w:r>
      <w:r>
        <w:rPr>
          <w:bCs/>
        </w:rPr>
        <w:t xml:space="preserve"> </w:t>
      </w:r>
      <w:r w:rsidRPr="000B0963">
        <w:rPr>
          <w:bCs/>
        </w:rPr>
        <w:t>en todo el territorio nacional</w:t>
      </w:r>
      <w:r>
        <w:rPr>
          <w:bCs/>
        </w:rPr>
        <w:t>”</w:t>
      </w:r>
      <w:r w:rsidRPr="000B0963">
        <w:rPr>
          <w:bCs/>
        </w:rPr>
        <w:t>.</w:t>
      </w:r>
    </w:p>
    <w:p w14:paraId="6EDF08E0" w14:textId="7C254A53" w:rsidR="00241DF6" w:rsidRPr="00640880" w:rsidRDefault="00241DF6" w:rsidP="00640880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 w:hanging="426"/>
        <w:rPr>
          <w:b/>
        </w:rPr>
      </w:pPr>
      <w:r w:rsidRPr="00640880">
        <w:rPr>
          <w:b/>
        </w:rPr>
        <w:t>Ecuador</w:t>
      </w:r>
    </w:p>
    <w:p w14:paraId="2C209049" w14:textId="112483FC" w:rsidR="000B0963" w:rsidRDefault="00A573D5" w:rsidP="00A57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Cs/>
        </w:rPr>
      </w:pPr>
      <w:r>
        <w:rPr>
          <w:bCs/>
        </w:rPr>
        <w:t xml:space="preserve">La legislación pesquera vigente de Ecuador denominada </w:t>
      </w:r>
      <w:r w:rsidRPr="00A573D5">
        <w:rPr>
          <w:bCs/>
        </w:rPr>
        <w:t xml:space="preserve">Ley </w:t>
      </w:r>
      <w:r>
        <w:rPr>
          <w:bCs/>
        </w:rPr>
        <w:t>de Pesca y Desarrollo Pesquero</w:t>
      </w:r>
      <w:r>
        <w:rPr>
          <w:rStyle w:val="Refdenotaalpie"/>
          <w:bCs/>
        </w:rPr>
        <w:footnoteReference w:id="10"/>
      </w:r>
      <w:r>
        <w:rPr>
          <w:bCs/>
        </w:rPr>
        <w:t xml:space="preserve">, no contempla una definición sobre Pesca de Subsistencia, pero el Ministerio de </w:t>
      </w:r>
      <w:r w:rsidRPr="00A573D5">
        <w:rPr>
          <w:bCs/>
        </w:rPr>
        <w:t xml:space="preserve">Acuacultura </w:t>
      </w:r>
      <w:r>
        <w:rPr>
          <w:bCs/>
        </w:rPr>
        <w:t>y</w:t>
      </w:r>
      <w:r w:rsidRPr="00A573D5">
        <w:rPr>
          <w:bCs/>
        </w:rPr>
        <w:t xml:space="preserve"> Pesca</w:t>
      </w:r>
      <w:r>
        <w:rPr>
          <w:bCs/>
        </w:rPr>
        <w:t xml:space="preserve"> en su </w:t>
      </w:r>
      <w:r w:rsidRPr="00A573D5">
        <w:rPr>
          <w:bCs/>
        </w:rPr>
        <w:t>Borrador Proyecto de Ley 14 de Agosto 2017</w:t>
      </w:r>
      <w:r>
        <w:rPr>
          <w:rStyle w:val="Refdenotaalpie"/>
          <w:bCs/>
        </w:rPr>
        <w:footnoteReference w:id="11"/>
      </w:r>
      <w:r>
        <w:rPr>
          <w:bCs/>
        </w:rPr>
        <w:t xml:space="preserve"> elabora un Glosario que define la Pesca de Subsistencia como “</w:t>
      </w:r>
      <w:r w:rsidRPr="00A573D5">
        <w:rPr>
          <w:bCs/>
        </w:rPr>
        <w:t>Pesca en la que los recursos extraídos son</w:t>
      </w:r>
      <w:r>
        <w:rPr>
          <w:bCs/>
        </w:rPr>
        <w:t xml:space="preserve"> </w:t>
      </w:r>
      <w:r w:rsidRPr="00A573D5">
        <w:rPr>
          <w:bCs/>
        </w:rPr>
        <w:t>consumidos directamente por las familias en lugar de ser</w:t>
      </w:r>
      <w:r>
        <w:rPr>
          <w:bCs/>
        </w:rPr>
        <w:t xml:space="preserve"> </w:t>
      </w:r>
      <w:r w:rsidRPr="00A573D5">
        <w:rPr>
          <w:bCs/>
        </w:rPr>
        <w:t>comercializados</w:t>
      </w:r>
      <w:r>
        <w:rPr>
          <w:bCs/>
        </w:rPr>
        <w:t xml:space="preserve">” </w:t>
      </w:r>
    </w:p>
    <w:p w14:paraId="6F791B1A" w14:textId="3DA14A90" w:rsidR="00241DF6" w:rsidRPr="00640880" w:rsidRDefault="00241DF6" w:rsidP="00640880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 w:hanging="426"/>
        <w:rPr>
          <w:b/>
        </w:rPr>
      </w:pPr>
      <w:r w:rsidRPr="00640880">
        <w:rPr>
          <w:b/>
        </w:rPr>
        <w:t>Guatemala</w:t>
      </w:r>
    </w:p>
    <w:p w14:paraId="67DD2750" w14:textId="77777777" w:rsidR="006A31B5" w:rsidRDefault="00D44CB8" w:rsidP="006A3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Cs/>
        </w:rPr>
      </w:pPr>
      <w:r w:rsidRPr="00D44CB8">
        <w:rPr>
          <w:bCs/>
        </w:rPr>
        <w:t>El Decreto N° 80-2002</w:t>
      </w:r>
      <w:r w:rsidR="00F8340B">
        <w:rPr>
          <w:rStyle w:val="Refdenotaalpie"/>
          <w:bCs/>
        </w:rPr>
        <w:footnoteReference w:id="12"/>
      </w:r>
      <w:r w:rsidRPr="00D44CB8">
        <w:rPr>
          <w:bCs/>
        </w:rPr>
        <w:t xml:space="preserve"> del Congreso de La República de Guatemala</w:t>
      </w:r>
      <w:r>
        <w:rPr>
          <w:bCs/>
        </w:rPr>
        <w:t xml:space="preserve"> </w:t>
      </w:r>
      <w:r w:rsidR="00F8340B">
        <w:rPr>
          <w:bCs/>
        </w:rPr>
        <w:t xml:space="preserve">establece la </w:t>
      </w:r>
      <w:r w:rsidR="00F8340B" w:rsidRPr="00F8340B">
        <w:rPr>
          <w:bCs/>
        </w:rPr>
        <w:t xml:space="preserve">Ley General </w:t>
      </w:r>
      <w:r w:rsidR="00F8340B">
        <w:rPr>
          <w:bCs/>
        </w:rPr>
        <w:t>d</w:t>
      </w:r>
      <w:r w:rsidR="00F8340B" w:rsidRPr="00F8340B">
        <w:rPr>
          <w:bCs/>
        </w:rPr>
        <w:t xml:space="preserve">e Pesca </w:t>
      </w:r>
      <w:r w:rsidR="00F8340B">
        <w:rPr>
          <w:bCs/>
        </w:rPr>
        <w:t>y</w:t>
      </w:r>
      <w:r w:rsidR="00F8340B" w:rsidRPr="00F8340B">
        <w:rPr>
          <w:bCs/>
        </w:rPr>
        <w:t xml:space="preserve"> Acuicultura</w:t>
      </w:r>
      <w:r>
        <w:rPr>
          <w:bCs/>
        </w:rPr>
        <w:t xml:space="preserve"> </w:t>
      </w:r>
      <w:r w:rsidR="00F8340B">
        <w:rPr>
          <w:bCs/>
        </w:rPr>
        <w:t>y en sus definiciones (Artículo 8° número 36), considera la pesca de subsistencia como</w:t>
      </w:r>
      <w:r>
        <w:rPr>
          <w:bCs/>
        </w:rPr>
        <w:t xml:space="preserve"> </w:t>
      </w:r>
      <w:r w:rsidR="00F8340B">
        <w:rPr>
          <w:bCs/>
        </w:rPr>
        <w:t>“p</w:t>
      </w:r>
      <w:r w:rsidR="00F8340B" w:rsidRPr="00F8340B">
        <w:rPr>
          <w:bCs/>
        </w:rPr>
        <w:t>esca que se practica sin embarcaciones o con embarcaciones que no exceda de cero</w:t>
      </w:r>
      <w:r w:rsidR="00F8340B">
        <w:rPr>
          <w:bCs/>
        </w:rPr>
        <w:t xml:space="preserve"> </w:t>
      </w:r>
      <w:r w:rsidR="00F8340B" w:rsidRPr="00F8340B">
        <w:rPr>
          <w:bCs/>
        </w:rPr>
        <w:t>punto cuarenta y cinco (0</w:t>
      </w:r>
      <w:r w:rsidR="00F8340B">
        <w:rPr>
          <w:bCs/>
        </w:rPr>
        <w:t>,</w:t>
      </w:r>
      <w:r w:rsidR="00F8340B" w:rsidRPr="00F8340B">
        <w:rPr>
          <w:bCs/>
        </w:rPr>
        <w:t>45) Toneladas de Registro Neta (TRN) sin fines de lucro y con el único propósito de</w:t>
      </w:r>
      <w:r w:rsidR="00F8340B">
        <w:rPr>
          <w:bCs/>
        </w:rPr>
        <w:t xml:space="preserve"> </w:t>
      </w:r>
      <w:r w:rsidR="00F8340B" w:rsidRPr="00F8340B">
        <w:rPr>
          <w:bCs/>
        </w:rPr>
        <w:t>obtener productos pesqueros para el consumo directo del pescador y su familia, se pude realizar en esteros,</w:t>
      </w:r>
      <w:r w:rsidR="00F8340B">
        <w:rPr>
          <w:bCs/>
        </w:rPr>
        <w:t xml:space="preserve"> </w:t>
      </w:r>
      <w:r w:rsidR="00F8340B" w:rsidRPr="00F8340B">
        <w:rPr>
          <w:bCs/>
        </w:rPr>
        <w:t>lagos, lagunas, ríos y mar</w:t>
      </w:r>
      <w:r w:rsidR="00F8340B">
        <w:rPr>
          <w:bCs/>
        </w:rPr>
        <w:t>”</w:t>
      </w:r>
      <w:r w:rsidR="00F8340B" w:rsidRPr="00F8340B">
        <w:rPr>
          <w:bCs/>
        </w:rPr>
        <w:t xml:space="preserve">. </w:t>
      </w:r>
      <w:r w:rsidR="00F8340B" w:rsidRPr="00F8340B">
        <w:rPr>
          <w:bCs/>
        </w:rPr>
        <w:cr/>
      </w:r>
    </w:p>
    <w:p w14:paraId="53CA347D" w14:textId="7872D811" w:rsidR="00241DF6" w:rsidRPr="00640880" w:rsidRDefault="00241DF6" w:rsidP="00640880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 w:hanging="426"/>
        <w:rPr>
          <w:b/>
        </w:rPr>
      </w:pPr>
      <w:r w:rsidRPr="00640880">
        <w:rPr>
          <w:b/>
        </w:rPr>
        <w:t>Costa Rica</w:t>
      </w:r>
    </w:p>
    <w:p w14:paraId="259A21C8" w14:textId="17769FFE" w:rsidR="008A7908" w:rsidRDefault="008A7908" w:rsidP="006A31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Cs/>
        </w:rPr>
      </w:pPr>
      <w:r>
        <w:rPr>
          <w:bCs/>
        </w:rPr>
        <w:t>La Ley N°8436</w:t>
      </w:r>
      <w:r w:rsidR="00365758">
        <w:rPr>
          <w:rStyle w:val="Refdenotaalpie"/>
          <w:bCs/>
        </w:rPr>
        <w:footnoteReference w:id="13"/>
      </w:r>
      <w:r>
        <w:rPr>
          <w:bCs/>
        </w:rPr>
        <w:t xml:space="preserve"> de 2005 establece para Costa Rica la Ley de Pesca y Acuicultura, la cual en el </w:t>
      </w:r>
      <w:r w:rsidRPr="008A7908">
        <w:rPr>
          <w:bCs/>
        </w:rPr>
        <w:t>Capítulo VIII</w:t>
      </w:r>
      <w:r>
        <w:rPr>
          <w:bCs/>
        </w:rPr>
        <w:t xml:space="preserve"> </w:t>
      </w:r>
      <w:r w:rsidRPr="008A7908">
        <w:rPr>
          <w:bCs/>
        </w:rPr>
        <w:t>Artículo 77</w:t>
      </w:r>
      <w:r>
        <w:rPr>
          <w:bCs/>
        </w:rPr>
        <w:t>° (</w:t>
      </w:r>
      <w:r w:rsidRPr="008A7908">
        <w:rPr>
          <w:bCs/>
        </w:rPr>
        <w:t>Pesca para el consumo doméstico</w:t>
      </w:r>
      <w:r>
        <w:rPr>
          <w:bCs/>
        </w:rPr>
        <w:t xml:space="preserve">) señala la siguiente definición </w:t>
      </w:r>
      <w:r w:rsidR="006A31B5">
        <w:rPr>
          <w:bCs/>
        </w:rPr>
        <w:t>…</w:t>
      </w:r>
      <w:r>
        <w:rPr>
          <w:bCs/>
        </w:rPr>
        <w:t>”</w:t>
      </w:r>
      <w:r w:rsidR="00365758">
        <w:rPr>
          <w:bCs/>
        </w:rPr>
        <w:t>e</w:t>
      </w:r>
      <w:r w:rsidRPr="008A7908">
        <w:rPr>
          <w:bCs/>
        </w:rPr>
        <w:t>ntiéndese como pesca para el consumo doméstico la que</w:t>
      </w:r>
      <w:r>
        <w:rPr>
          <w:bCs/>
        </w:rPr>
        <w:t xml:space="preserve"> </w:t>
      </w:r>
      <w:r w:rsidRPr="008A7908">
        <w:rPr>
          <w:bCs/>
        </w:rPr>
        <w:t>se efectúa desde tierra o en embarcaciones pequeñas, únicamente mediante el</w:t>
      </w:r>
      <w:r>
        <w:rPr>
          <w:bCs/>
        </w:rPr>
        <w:t xml:space="preserve"> </w:t>
      </w:r>
      <w:r w:rsidRPr="008A7908">
        <w:rPr>
          <w:bCs/>
        </w:rPr>
        <w:t>uso de cañas, carretes o cuerdas de mano, sin propósito de lucro y con el único</w:t>
      </w:r>
      <w:r>
        <w:rPr>
          <w:bCs/>
        </w:rPr>
        <w:t xml:space="preserve"> </w:t>
      </w:r>
      <w:r w:rsidRPr="008A7908">
        <w:rPr>
          <w:bCs/>
        </w:rPr>
        <w:t>objeto de consumir el producto para la subsistencia propia o de la familia.</w:t>
      </w:r>
      <w:r>
        <w:rPr>
          <w:bCs/>
        </w:rPr>
        <w:t>”</w:t>
      </w:r>
    </w:p>
    <w:p w14:paraId="070A78F0" w14:textId="114AA2E3" w:rsidR="00241DF6" w:rsidRPr="00640880" w:rsidRDefault="00241DF6" w:rsidP="00640880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6" w:hanging="426"/>
        <w:rPr>
          <w:b/>
        </w:rPr>
      </w:pPr>
      <w:r w:rsidRPr="00640880">
        <w:rPr>
          <w:b/>
        </w:rPr>
        <w:t>Nicaragua</w:t>
      </w:r>
    </w:p>
    <w:p w14:paraId="7A31849F" w14:textId="6B144378" w:rsidR="00F8340B" w:rsidRPr="00D44CB8" w:rsidRDefault="008A7908" w:rsidP="00C6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Cs/>
        </w:rPr>
      </w:pPr>
      <w:r>
        <w:rPr>
          <w:bCs/>
        </w:rPr>
        <w:t>La Ley</w:t>
      </w:r>
      <w:r w:rsidRPr="008A7908">
        <w:rPr>
          <w:bCs/>
        </w:rPr>
        <w:t xml:space="preserve"> N</w:t>
      </w:r>
      <w:r>
        <w:rPr>
          <w:bCs/>
        </w:rPr>
        <w:t>°</w:t>
      </w:r>
      <w:r w:rsidRPr="008A7908">
        <w:rPr>
          <w:bCs/>
        </w:rPr>
        <w:t xml:space="preserve">. 489, </w:t>
      </w:r>
      <w:r>
        <w:rPr>
          <w:bCs/>
        </w:rPr>
        <w:t>de</w:t>
      </w:r>
      <w:r w:rsidRPr="008A7908">
        <w:rPr>
          <w:bCs/>
        </w:rPr>
        <w:t xml:space="preserve"> 2004 </w:t>
      </w:r>
      <w:r>
        <w:rPr>
          <w:bCs/>
        </w:rPr>
        <w:t xml:space="preserve">denominada </w:t>
      </w:r>
      <w:r w:rsidR="00F8340B">
        <w:rPr>
          <w:bCs/>
        </w:rPr>
        <w:t>Ley de Pesca de Nicaragua</w:t>
      </w:r>
      <w:r>
        <w:rPr>
          <w:rStyle w:val="Refdenotaalpie"/>
          <w:bCs/>
        </w:rPr>
        <w:footnoteReference w:id="14"/>
      </w:r>
      <w:r>
        <w:rPr>
          <w:bCs/>
        </w:rPr>
        <w:t xml:space="preserve"> define en el  </w:t>
      </w:r>
      <w:r w:rsidRPr="008A7908">
        <w:rPr>
          <w:bCs/>
        </w:rPr>
        <w:t>Capítulo II</w:t>
      </w:r>
      <w:r>
        <w:rPr>
          <w:bCs/>
        </w:rPr>
        <w:t xml:space="preserve"> </w:t>
      </w:r>
      <w:r w:rsidRPr="008A7908">
        <w:rPr>
          <w:bCs/>
        </w:rPr>
        <w:t>Definiciones</w:t>
      </w:r>
      <w:r>
        <w:rPr>
          <w:bCs/>
        </w:rPr>
        <w:t xml:space="preserve"> (</w:t>
      </w:r>
      <w:r w:rsidRPr="008A7908">
        <w:rPr>
          <w:bCs/>
        </w:rPr>
        <w:t>Artículo 12</w:t>
      </w:r>
      <w:r>
        <w:rPr>
          <w:bCs/>
        </w:rPr>
        <w:t>°)</w:t>
      </w:r>
      <w:r w:rsidRPr="008A7908">
        <w:rPr>
          <w:bCs/>
        </w:rPr>
        <w:t>.</w:t>
      </w:r>
      <w:r w:rsidR="00F8340B">
        <w:rPr>
          <w:bCs/>
        </w:rPr>
        <w:t xml:space="preserve"> </w:t>
      </w:r>
      <w:r w:rsidR="00F8340B" w:rsidRPr="00F8340B">
        <w:rPr>
          <w:bCs/>
        </w:rPr>
        <w:t>Pesca de Subsistencia o de autoconsumo: La realizada por pescadores sin fines comerciales con propósitos de subsistencia o mejora de la dieta familiar.</w:t>
      </w:r>
    </w:p>
    <w:p w14:paraId="006733D8" w14:textId="427D8528" w:rsidR="00241DF6" w:rsidRPr="00640880" w:rsidRDefault="00241DF6" w:rsidP="00640880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426" w:hanging="426"/>
        <w:rPr>
          <w:b/>
          <w:bCs/>
          <w:lang w:val="es-CL"/>
        </w:rPr>
      </w:pPr>
      <w:r w:rsidRPr="00640880">
        <w:rPr>
          <w:b/>
          <w:bCs/>
          <w:lang w:val="es-CL"/>
        </w:rPr>
        <w:t>México</w:t>
      </w:r>
    </w:p>
    <w:p w14:paraId="4C3D9A0A" w14:textId="77777777" w:rsidR="00241DF6" w:rsidRDefault="00241DF6" w:rsidP="009101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lang w:val="es-CL"/>
        </w:rPr>
      </w:pPr>
    </w:p>
    <w:p w14:paraId="0E5BC790" w14:textId="019D00B3" w:rsidR="0077687D" w:rsidRPr="00D44CB8" w:rsidRDefault="009101C2" w:rsidP="009101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lang w:val="es-CL"/>
        </w:rPr>
      </w:pPr>
      <w:r>
        <w:rPr>
          <w:lang w:val="es-CL"/>
        </w:rPr>
        <w:t xml:space="preserve">En México, la </w:t>
      </w:r>
      <w:r w:rsidRPr="009101C2">
        <w:rPr>
          <w:lang w:val="es-CL"/>
        </w:rPr>
        <w:t>Ley General de Pesca y Acuacultura Sustentables</w:t>
      </w:r>
      <w:r>
        <w:rPr>
          <w:lang w:val="es-CL"/>
        </w:rPr>
        <w:t xml:space="preserve"> de 2007</w:t>
      </w:r>
      <w:r>
        <w:rPr>
          <w:rStyle w:val="Refdenotaalpie"/>
          <w:lang w:val="es-CL"/>
        </w:rPr>
        <w:footnoteReference w:id="15"/>
      </w:r>
      <w:r>
        <w:rPr>
          <w:lang w:val="es-CL"/>
        </w:rPr>
        <w:t xml:space="preserve">, no explicita el concepto de subsistencia pero sí la considera bajo el concepto de pesca doméstica en su artículo 4° la cual la define </w:t>
      </w:r>
      <w:r>
        <w:rPr>
          <w:lang w:val="es-CL"/>
        </w:rPr>
        <w:lastRenderedPageBreak/>
        <w:t>como “</w:t>
      </w:r>
      <w:r w:rsidRPr="009101C2">
        <w:rPr>
          <w:lang w:val="es-CL"/>
        </w:rPr>
        <w:t>la captura y extracción que se efectúa sin propósito de lucro y con el único objeto de obtener alimento para quien la realice y de sus dependientes, por tanto no podrá ser objeto de comercialización</w:t>
      </w:r>
      <w:r>
        <w:rPr>
          <w:lang w:val="es-CL"/>
        </w:rPr>
        <w:t>”.</w:t>
      </w:r>
    </w:p>
    <w:p w14:paraId="7203A18C" w14:textId="77777777" w:rsidR="0077687D" w:rsidRDefault="00776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lang w:val="es-CL"/>
        </w:rPr>
      </w:pPr>
    </w:p>
    <w:p w14:paraId="4CA567BA" w14:textId="32F5B500" w:rsidR="005D2CC6" w:rsidRPr="00AD4BE6" w:rsidRDefault="005D2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b/>
          <w:bCs/>
          <w:lang w:val="es-CL"/>
        </w:rPr>
      </w:pPr>
      <w:r w:rsidRPr="00AD4BE6">
        <w:rPr>
          <w:b/>
          <w:bCs/>
          <w:lang w:val="es-CL"/>
        </w:rPr>
        <w:t>Definiciones de Organizaciones No Gubernamentales ONG´s</w:t>
      </w:r>
    </w:p>
    <w:p w14:paraId="063FC502" w14:textId="77777777" w:rsidR="005D2CC6" w:rsidRPr="00AD4BE6" w:rsidRDefault="005D2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lang w:val="es-CL"/>
        </w:rPr>
      </w:pPr>
    </w:p>
    <w:p w14:paraId="27FBE52E" w14:textId="7B54569E" w:rsidR="005D2CC6" w:rsidRDefault="00AD4BE6" w:rsidP="005561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lang w:val="es-CL"/>
        </w:rPr>
      </w:pPr>
      <w:r>
        <w:rPr>
          <w:lang w:val="es-CL"/>
        </w:rPr>
        <w:t>World Fisheries Trust</w:t>
      </w:r>
      <w:r w:rsidR="005D2CC6">
        <w:rPr>
          <w:lang w:val="es-CL"/>
        </w:rPr>
        <w:t>, creada</w:t>
      </w:r>
      <w:r w:rsidR="005D2CC6" w:rsidRPr="005D2CC6">
        <w:rPr>
          <w:lang w:val="es-CL"/>
        </w:rPr>
        <w:t xml:space="preserve"> en 1995, es una organización canadiense sin fines de lucro dedicada al uso y la conservación equitativa y sostenible de la biodiversidad acuática.</w:t>
      </w:r>
      <w:r w:rsidR="005D2CC6">
        <w:rPr>
          <w:lang w:val="es-CL"/>
        </w:rPr>
        <w:t xml:space="preserve"> En su sitio web</w:t>
      </w:r>
      <w:r w:rsidR="0055615A">
        <w:rPr>
          <w:rStyle w:val="Refdenotaalpie"/>
          <w:lang w:val="es-CL"/>
        </w:rPr>
        <w:footnoteReference w:id="16"/>
      </w:r>
      <w:r w:rsidR="005D2CC6">
        <w:rPr>
          <w:lang w:val="es-CL"/>
        </w:rPr>
        <w:t xml:space="preserve"> definen la pesca de subsistencia como “</w:t>
      </w:r>
      <w:r w:rsidR="005D2CC6" w:rsidRPr="005D2CC6">
        <w:rPr>
          <w:lang w:val="es-CL"/>
        </w:rPr>
        <w:t xml:space="preserve">la pesca, que no </w:t>
      </w:r>
      <w:r w:rsidR="005D2CC6">
        <w:rPr>
          <w:lang w:val="es-CL"/>
        </w:rPr>
        <w:t>es deportiva</w:t>
      </w:r>
      <w:r w:rsidR="005D2CC6" w:rsidRPr="005D2CC6">
        <w:rPr>
          <w:lang w:val="es-CL"/>
        </w:rPr>
        <w:t xml:space="preserve">, que se lleva a cabo </w:t>
      </w:r>
      <w:r w:rsidR="0055615A">
        <w:rPr>
          <w:lang w:val="es-CL"/>
        </w:rPr>
        <w:t>principalmente para alimentar a</w:t>
      </w:r>
      <w:r w:rsidR="005D2CC6" w:rsidRPr="005D2CC6">
        <w:rPr>
          <w:lang w:val="es-CL"/>
        </w:rPr>
        <w:t xml:space="preserve"> </w:t>
      </w:r>
      <w:r w:rsidR="0055615A">
        <w:rPr>
          <w:lang w:val="es-CL"/>
        </w:rPr>
        <w:t>la f</w:t>
      </w:r>
      <w:r w:rsidR="005D2CC6" w:rsidRPr="005D2CC6">
        <w:rPr>
          <w:lang w:val="es-CL"/>
        </w:rPr>
        <w:t>amilia</w:t>
      </w:r>
      <w:r w:rsidR="0055615A">
        <w:rPr>
          <w:lang w:val="es-CL"/>
        </w:rPr>
        <w:t xml:space="preserve"> y parientes</w:t>
      </w:r>
      <w:r w:rsidR="005D2CC6" w:rsidRPr="005D2CC6">
        <w:rPr>
          <w:lang w:val="es-CL"/>
        </w:rPr>
        <w:t xml:space="preserve"> de la persona que </w:t>
      </w:r>
      <w:r w:rsidR="0055615A">
        <w:rPr>
          <w:lang w:val="es-CL"/>
        </w:rPr>
        <w:t>ejecuta</w:t>
      </w:r>
      <w:r w:rsidR="005D2CC6" w:rsidRPr="005D2CC6">
        <w:rPr>
          <w:lang w:val="es-CL"/>
        </w:rPr>
        <w:t xml:space="preserve"> la pesca. Generalmente</w:t>
      </w:r>
      <w:r w:rsidR="0055615A">
        <w:rPr>
          <w:lang w:val="es-CL"/>
        </w:rPr>
        <w:t xml:space="preserve"> </w:t>
      </w:r>
      <w:r w:rsidR="005D2CC6" w:rsidRPr="005D2CC6">
        <w:rPr>
          <w:lang w:val="es-CL"/>
        </w:rPr>
        <w:t>también implica el uso de pesca "artesanal" de baja tecnología</w:t>
      </w:r>
      <w:r w:rsidR="0055615A">
        <w:rPr>
          <w:lang w:val="es-CL"/>
        </w:rPr>
        <w:t xml:space="preserve"> </w:t>
      </w:r>
      <w:r w:rsidR="005D2CC6" w:rsidRPr="005D2CC6">
        <w:rPr>
          <w:lang w:val="es-CL"/>
        </w:rPr>
        <w:t xml:space="preserve">y se lleva a cabo por personas que son </w:t>
      </w:r>
      <w:r w:rsidR="0055615A">
        <w:rPr>
          <w:lang w:val="es-CL"/>
        </w:rPr>
        <w:t>de escasos recursos</w:t>
      </w:r>
      <w:r w:rsidR="005D2CC6" w:rsidRPr="005D2CC6">
        <w:rPr>
          <w:lang w:val="es-CL"/>
        </w:rPr>
        <w:t>. Muy a menudo esta pesca es parte de una vida que también</w:t>
      </w:r>
      <w:r w:rsidR="0055615A">
        <w:rPr>
          <w:lang w:val="es-CL"/>
        </w:rPr>
        <w:t xml:space="preserve"> </w:t>
      </w:r>
      <w:r w:rsidR="005D2CC6" w:rsidRPr="005D2CC6">
        <w:rPr>
          <w:lang w:val="es-CL"/>
        </w:rPr>
        <w:t>depende de la agricultura en pequeña escala y otras fuentes de</w:t>
      </w:r>
      <w:r w:rsidR="0055615A">
        <w:rPr>
          <w:lang w:val="es-CL"/>
        </w:rPr>
        <w:t xml:space="preserve"> </w:t>
      </w:r>
      <w:r w:rsidR="005D2CC6" w:rsidRPr="005D2CC6">
        <w:rPr>
          <w:lang w:val="es-CL"/>
        </w:rPr>
        <w:t>ingresos, y puede incluir alguna venta de pescado</w:t>
      </w:r>
      <w:r w:rsidR="0055615A">
        <w:rPr>
          <w:lang w:val="es-CL"/>
        </w:rPr>
        <w:t>”</w:t>
      </w:r>
      <w:r w:rsidR="005D2CC6" w:rsidRPr="005D2CC6">
        <w:rPr>
          <w:lang w:val="es-CL"/>
        </w:rPr>
        <w:t>.</w:t>
      </w:r>
    </w:p>
    <w:p w14:paraId="463BDEAB" w14:textId="77777777" w:rsidR="005D2CC6" w:rsidRDefault="005D2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lang w:val="es-CL"/>
        </w:rPr>
      </w:pPr>
    </w:p>
    <w:p w14:paraId="259EEDD9" w14:textId="77777777" w:rsidR="005D2CC6" w:rsidRDefault="005D2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lang w:val="es-CL"/>
        </w:rPr>
      </w:pPr>
    </w:p>
    <w:p w14:paraId="5D175488" w14:textId="77777777" w:rsidR="005D2CC6" w:rsidRDefault="005D2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lang w:val="es-CL"/>
        </w:rPr>
      </w:pPr>
    </w:p>
    <w:p w14:paraId="6312C6D0" w14:textId="77777777" w:rsidR="005D2CC6" w:rsidRDefault="005D2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lang w:val="es-CL"/>
        </w:rPr>
      </w:pPr>
    </w:p>
    <w:p w14:paraId="6261F87F" w14:textId="77777777" w:rsidR="005D2CC6" w:rsidRDefault="005D2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lang w:val="es-CL"/>
        </w:rPr>
      </w:pPr>
    </w:p>
    <w:p w14:paraId="6386FF4B" w14:textId="77777777" w:rsidR="005D2CC6" w:rsidRPr="005D2CC6" w:rsidRDefault="005D2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lang w:val="es-CL"/>
        </w:rPr>
      </w:pPr>
    </w:p>
    <w:tbl>
      <w:tblPr>
        <w:tblW w:w="0" w:type="auto"/>
        <w:tblInd w:w="51" w:type="dxa"/>
        <w:tblBorders>
          <w:top w:val="single" w:sz="24" w:space="0" w:color="BFBFBF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3"/>
      </w:tblGrid>
      <w:tr w:rsidR="0077687D" w:rsidRPr="00640880" w14:paraId="5EF01BCA" w14:textId="77777777" w:rsidTr="004D2B54">
        <w:trPr>
          <w:trHeight w:val="2872"/>
        </w:trPr>
        <w:tc>
          <w:tcPr>
            <w:tcW w:w="10063" w:type="dxa"/>
            <w:tcBorders>
              <w:top w:val="single" w:sz="24" w:space="0" w:color="BFBFBF"/>
            </w:tcBorders>
            <w:shd w:val="clear" w:color="auto" w:fill="FFFFFF"/>
            <w:tcMar>
              <w:top w:w="170" w:type="dxa"/>
              <w:left w:w="0" w:type="dxa"/>
              <w:bottom w:w="0" w:type="dxa"/>
              <w:right w:w="0" w:type="dxa"/>
            </w:tcMar>
          </w:tcPr>
          <w:p w14:paraId="10596795" w14:textId="77777777" w:rsidR="0077687D" w:rsidRPr="004D2B54" w:rsidRDefault="0077687D" w:rsidP="004D2B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b/>
                <w:color w:val="A6A6A6"/>
              </w:rPr>
            </w:pPr>
            <w:r w:rsidRPr="004D2B54">
              <w:rPr>
                <w:b/>
                <w:color w:val="A6A6A6"/>
                <w:lang w:val="es-CL"/>
              </w:rPr>
              <w:t>Disclaimer</w:t>
            </w:r>
          </w:p>
          <w:p w14:paraId="50E76C03" w14:textId="77777777" w:rsidR="0077687D" w:rsidRPr="004D2B54" w:rsidRDefault="0077687D" w:rsidP="004D2B54">
            <w:pPr>
              <w:pStyle w:val="Textoseccion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color w:val="A6A6A6"/>
              </w:rPr>
            </w:pPr>
            <w:r w:rsidRPr="004D2B54">
              <w:rPr>
                <w:color w:val="A6A6A6"/>
              </w:rPr>
              <w:t>Asesoría Técnica Parlamentaria, e</w:t>
            </w:r>
            <w:r w:rsidRPr="004D2B54">
              <w:rPr>
                <w:color w:val="A6A6A6"/>
                <w:lang w:val="es-CL"/>
              </w:rPr>
              <w:t>stá enfocada en apoyar preferentemente el trabajo de las Comisiones Legislativas de ambas Cámaras, con especial atención al seguimiento de los proyectos de ley. Con lo cual se pretende contribuir a la certeza legislativa y a disminuir la brecha de disponibilidad de información y análisis entre Legislativo y Ejecutivo.</w:t>
            </w:r>
          </w:p>
          <w:p w14:paraId="5927815C" w14:textId="77777777" w:rsidR="0077687D" w:rsidRPr="004D2B54" w:rsidRDefault="0077687D" w:rsidP="004D2B54">
            <w:pPr>
              <w:pStyle w:val="Textoseccion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color w:val="A6A6A6"/>
              </w:rPr>
            </w:pPr>
          </w:p>
          <w:p w14:paraId="5B9A9131" w14:textId="77777777" w:rsidR="0077687D" w:rsidRPr="004D2B54" w:rsidRDefault="0077687D" w:rsidP="004D2B54">
            <w:pPr>
              <w:pStyle w:val="Textoseccion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color w:val="A6A6A6"/>
              </w:rPr>
            </w:pPr>
          </w:p>
          <w:p w14:paraId="53C0FEC8" w14:textId="77777777" w:rsidR="0077687D" w:rsidRPr="004D2B54" w:rsidRDefault="00E463FD" w:rsidP="004D2B54">
            <w:pPr>
              <w:pStyle w:val="Textoseccion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color w:val="A6A6A6"/>
              </w:rPr>
            </w:pPr>
            <w:r>
              <w:rPr>
                <w:noProof/>
                <w:color w:val="A6A6A6"/>
                <w:lang w:val="es-CL" w:eastAsia="zh-TW"/>
              </w:rPr>
              <w:drawing>
                <wp:inline distT="0" distB="0" distL="0" distR="0" wp14:anchorId="61DF84B7" wp14:editId="56F33C31">
                  <wp:extent cx="1009650" cy="352425"/>
                  <wp:effectExtent l="0" t="0" r="0" b="9525"/>
                  <wp:docPr id="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B33C5" w14:textId="77777777" w:rsidR="0077687D" w:rsidRPr="004D2B54" w:rsidRDefault="0077687D" w:rsidP="004D2B54">
            <w:pPr>
              <w:pStyle w:val="Textoseccion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color w:val="A6A6A6"/>
                <w:sz w:val="10"/>
              </w:rPr>
            </w:pPr>
          </w:p>
          <w:p w14:paraId="18FDE2BD" w14:textId="77777777" w:rsidR="0077687D" w:rsidRPr="004B615A" w:rsidRDefault="0077687D" w:rsidP="004D2B54">
            <w:pPr>
              <w:pStyle w:val="Textoseccion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color w:val="A6A6A6"/>
                <w:sz w:val="16"/>
                <w:lang w:val="en-US"/>
              </w:rPr>
            </w:pPr>
            <w:r w:rsidRPr="004B615A">
              <w:rPr>
                <w:color w:val="A6A6A6"/>
                <w:sz w:val="16"/>
                <w:lang w:val="en-US"/>
              </w:rPr>
              <w:t xml:space="preserve">Creative Commons Atribución 3.0 </w:t>
            </w:r>
            <w:r w:rsidRPr="00B6211D">
              <w:rPr>
                <w:color w:val="A6A6A6"/>
                <w:sz w:val="16"/>
                <w:lang w:val="en-US"/>
              </w:rPr>
              <w:br/>
            </w:r>
            <w:r w:rsidRPr="004B615A">
              <w:rPr>
                <w:color w:val="A6A6A6"/>
                <w:sz w:val="16"/>
                <w:lang w:val="en-US"/>
              </w:rPr>
              <w:t>(CC BY 3.0 CL)</w:t>
            </w:r>
          </w:p>
        </w:tc>
      </w:tr>
    </w:tbl>
    <w:p w14:paraId="3C66F7E3" w14:textId="77777777" w:rsidR="0077687D" w:rsidRPr="004B615A" w:rsidRDefault="007768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highlight w:val="white"/>
          <w:lang w:val="en-US"/>
        </w:rPr>
      </w:pPr>
    </w:p>
    <w:sectPr w:rsidR="0077687D" w:rsidRPr="004B615A" w:rsidSect="00FF7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083" w:bottom="1440" w:left="1083" w:header="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097E" w14:textId="77777777" w:rsidR="0055280B" w:rsidRDefault="00552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653841D6" w14:textId="77777777" w:rsidR="0055280B" w:rsidRDefault="00552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bCL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C634E" w14:textId="77777777" w:rsidR="0077687D" w:rsidRDefault="0077687D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405D" w14:textId="77777777" w:rsidR="0077687D" w:rsidRDefault="005D7930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  <w:r>
      <w:rPr>
        <w:noProof/>
      </w:rPr>
      <w:fldChar w:fldCharType="begin"/>
    </w:r>
    <w:r>
      <w:rPr>
        <w:noProof/>
      </w:rPr>
      <w:instrText>PAGE \* MERGEFORMAT</w:instrText>
    </w:r>
    <w:r>
      <w:rPr>
        <w:noProof/>
      </w:rPr>
      <w:fldChar w:fldCharType="separate"/>
    </w:r>
    <w:r w:rsidR="00640880">
      <w:rPr>
        <w:noProof/>
      </w:rPr>
      <w:t>5</w:t>
    </w:r>
    <w:r>
      <w:rPr>
        <w:noProof/>
      </w:rPr>
      <w:fldChar w:fldCharType="end"/>
    </w:r>
  </w:p>
  <w:p w14:paraId="7C72FBAF" w14:textId="77777777" w:rsidR="0077687D" w:rsidRDefault="0077687D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5C24" w14:textId="77777777" w:rsidR="0077687D" w:rsidRDefault="0077687D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FDE1" w14:textId="77777777" w:rsidR="0055280B" w:rsidRDefault="00552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5A7622E1" w14:textId="77777777" w:rsidR="0055280B" w:rsidRDefault="005528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</w:pPr>
      <w:r>
        <w:continuationSeparator/>
      </w:r>
    </w:p>
  </w:footnote>
  <w:footnote w:id="1">
    <w:p w14:paraId="56002786" w14:textId="08396184" w:rsidR="001166D2" w:rsidRPr="001166D2" w:rsidRDefault="001166D2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D70EA3">
        <w:rPr>
          <w:lang w:val="en-US"/>
        </w:rPr>
        <w:t xml:space="preserve"> </w:t>
      </w:r>
      <w:r w:rsidR="00D70EA3">
        <w:rPr>
          <w:lang w:val="en-US"/>
        </w:rPr>
        <w:t>“</w:t>
      </w:r>
      <w:r w:rsidR="00D70EA3" w:rsidRPr="00D70EA3">
        <w:rPr>
          <w:lang w:val="en-US"/>
        </w:rPr>
        <w:t>A fishery where the fish caught are shared and consumed directly by the families and kins of the fishers rather than being bought by middle-(wo)men and sold at the next larger market</w:t>
      </w:r>
      <w:r w:rsidR="00D70EA3">
        <w:rPr>
          <w:lang w:val="en-US"/>
        </w:rPr>
        <w:t xml:space="preserve">”. </w:t>
      </w:r>
      <w:r w:rsidRPr="00D70EA3">
        <w:rPr>
          <w:szCs w:val="20"/>
          <w:lang w:val="es-CL"/>
        </w:rPr>
        <w:t xml:space="preserve">Organización de las Naciones Unidas para la Agricultura y la Alimentación FAO (2001). </w:t>
      </w:r>
      <w:hyperlink r:id="rId1" w:history="1">
        <w:r w:rsidRPr="001166D2">
          <w:rPr>
            <w:rStyle w:val="Hipervnculo"/>
            <w:szCs w:val="20"/>
          </w:rPr>
          <w:t>Directrices para la Recopilación Sistemática de Datos Relativos a la Pesca de Captura</w:t>
        </w:r>
      </w:hyperlink>
      <w:r w:rsidRPr="001166D2">
        <w:rPr>
          <w:b/>
          <w:szCs w:val="20"/>
        </w:rPr>
        <w:t xml:space="preserve"> (Documento Técnico de Pesca n° 382 - Documento preparado por la Consulta de expertos FAO/DANIDA, Bangkok, Tailandia, 18-30 de mayo de 1998): ANEXO 5. GLOSARIO</w:t>
      </w:r>
      <w:r w:rsidRPr="001166D2">
        <w:rPr>
          <w:szCs w:val="20"/>
        </w:rPr>
        <w:t xml:space="preserve">. </w:t>
      </w:r>
      <w:r w:rsidRPr="00C6034C">
        <w:rPr>
          <w:szCs w:val="20"/>
          <w:lang w:val="es-CL"/>
        </w:rPr>
        <w:t xml:space="preserve">Disponible en: </w:t>
      </w:r>
      <w:hyperlink r:id="rId2" w:anchor="bm16" w:history="1">
        <w:r w:rsidRPr="00C6034C">
          <w:rPr>
            <w:rStyle w:val="Hipervnculo"/>
            <w:szCs w:val="20"/>
            <w:lang w:val="es-CL"/>
          </w:rPr>
          <w:t>http://www.fao.org/docrep/005/X2465S/x2465s0g.htm#bm16</w:t>
        </w:r>
      </w:hyperlink>
      <w:r w:rsidRPr="00C6034C">
        <w:rPr>
          <w:szCs w:val="20"/>
          <w:lang w:val="es-CL"/>
        </w:rPr>
        <w:t xml:space="preserve"> (Agosto 2018)</w:t>
      </w:r>
    </w:p>
  </w:footnote>
  <w:footnote w:id="2">
    <w:p w14:paraId="4E72DF17" w14:textId="6C9BDD9C" w:rsidR="001166D2" w:rsidRPr="001166D2" w:rsidRDefault="001166D2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1166D2">
        <w:rPr>
          <w:lang w:val="en-US"/>
        </w:rPr>
        <w:t xml:space="preserve"> FAO Fisheries and Aquaculture Department, FAO, 2014</w:t>
      </w:r>
      <w:r>
        <w:rPr>
          <w:lang w:val="en-US"/>
        </w:rPr>
        <w:t xml:space="preserve">. </w:t>
      </w:r>
      <w:r w:rsidRPr="00703D11">
        <w:t>Organización de las Naciones Unidas para la Agricultura y la Alimentación FAO</w:t>
      </w:r>
      <w:r>
        <w:t>.</w:t>
      </w:r>
      <w:r w:rsidRPr="00703D11">
        <w:t xml:space="preserve"> </w:t>
      </w:r>
      <w:r w:rsidRPr="00703D11">
        <w:rPr>
          <w:b/>
        </w:rPr>
        <w:t>PORTAL TERMINOLÓGICO DE LA FAO.</w:t>
      </w:r>
      <w:r>
        <w:t xml:space="preserve"> Disponible en: </w:t>
      </w:r>
      <w:hyperlink r:id="rId3" w:history="1">
        <w:r w:rsidRPr="00224AF4">
          <w:rPr>
            <w:rStyle w:val="Hipervnculo"/>
          </w:rPr>
          <w:t>http://www.fao.org/faoterm/es/?defaultCollId=21</w:t>
        </w:r>
      </w:hyperlink>
      <w:r>
        <w:rPr>
          <w:rStyle w:val="Hipervnculo"/>
        </w:rPr>
        <w:t xml:space="preserve"> </w:t>
      </w:r>
      <w:r w:rsidRPr="001166D2">
        <w:rPr>
          <w:szCs w:val="20"/>
          <w:lang w:val="es-CL"/>
        </w:rPr>
        <w:t>(Agosto 2018)</w:t>
      </w:r>
    </w:p>
  </w:footnote>
  <w:footnote w:id="3">
    <w:p w14:paraId="5932B0DB" w14:textId="77777777" w:rsidR="00C6034C" w:rsidRPr="00C6034C" w:rsidRDefault="00C6034C" w:rsidP="00C6034C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640880">
        <w:rPr>
          <w:lang w:val="es-CL"/>
        </w:rPr>
        <w:t xml:space="preserve"> Garcia, S.M. (Comp.). 2009. Glossary. In Cochrane, K. and S.M. Garcia. (Eds). </w:t>
      </w:r>
      <w:r w:rsidRPr="00D44CB8">
        <w:rPr>
          <w:lang w:val="en-US"/>
        </w:rPr>
        <w:t>A fishery managers’ handbook. FAO and Wiley-Blackwell:</w:t>
      </w:r>
      <w:r>
        <w:rPr>
          <w:lang w:val="en-US"/>
        </w:rPr>
        <w:t xml:space="preserve"> </w:t>
      </w:r>
      <w:r w:rsidRPr="00D44CB8">
        <w:rPr>
          <w:lang w:val="en-US"/>
        </w:rPr>
        <w:t xml:space="preserve">73-505. </w:t>
      </w:r>
      <w:r w:rsidRPr="00C6034C">
        <w:rPr>
          <w:lang w:val="en-US"/>
        </w:rPr>
        <w:t xml:space="preserve">Disponible en: </w:t>
      </w:r>
      <w:hyperlink r:id="rId4" w:history="1">
        <w:r w:rsidRPr="00C6034C">
          <w:rPr>
            <w:rStyle w:val="Hipervnculo"/>
            <w:rFonts w:cs="Arial"/>
            <w:lang w:val="en-US"/>
          </w:rPr>
          <w:t>https://onlinelibrary.wiley.com/doi/pdf/10.1002/9781444316315.gloss</w:t>
        </w:r>
      </w:hyperlink>
      <w:r w:rsidRPr="00C6034C">
        <w:rPr>
          <w:lang w:val="en-US"/>
        </w:rPr>
        <w:t xml:space="preserve"> (Agosto 2018)</w:t>
      </w:r>
    </w:p>
  </w:footnote>
  <w:footnote w:id="4">
    <w:p w14:paraId="2009FD7C" w14:textId="561CBB67" w:rsidR="00E53521" w:rsidRPr="00E53521" w:rsidRDefault="00E53521">
      <w:pPr>
        <w:pStyle w:val="Textonotapie"/>
      </w:pPr>
      <w:r>
        <w:rPr>
          <w:rStyle w:val="Refdenotaalpie"/>
        </w:rPr>
        <w:footnoteRef/>
      </w:r>
      <w:r w:rsidRPr="00E53521">
        <w:rPr>
          <w:lang w:val="en-US"/>
        </w:rPr>
        <w:t xml:space="preserve"> Hyder, K, Radford, Z, Prellezo, R, Weltersbach, MS, Lewin, WC, Zarauz, L, Ferter, K, Ruiz, J, Townhill, B, Mugerza, E, &amp; Strehlow, HV (2017). Research for PECH Committee - Marine recreational and semi-subsistence fishing - its value and its impact on fish stocks, European Parliament, Policy Department for Structural and Cohesion Policies, Brussels. </w:t>
      </w:r>
      <w:r w:rsidRPr="00E53521">
        <w:t xml:space="preserve">Disponible en: </w:t>
      </w:r>
      <w:hyperlink r:id="rId5" w:history="1">
        <w:r w:rsidRPr="0029140A">
          <w:rPr>
            <w:rStyle w:val="Hipervnculo"/>
            <w:rFonts w:cs="Arial"/>
          </w:rPr>
          <w:t>http://www.europarl.europa.eu/RegData/etudes/STUD/2017/601996/IPOL_STU(2017)601996_EN.pdf</w:t>
        </w:r>
      </w:hyperlink>
      <w:r>
        <w:t xml:space="preserve"> (Agosto 2018)</w:t>
      </w:r>
    </w:p>
  </w:footnote>
  <w:footnote w:id="5">
    <w:p w14:paraId="4C57FE7D" w14:textId="6CBDD4E5" w:rsidR="00D03B87" w:rsidRPr="00D03B87" w:rsidRDefault="00D03B87" w:rsidP="00D03B87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D03B87">
        <w:rPr>
          <w:lang w:val="en-US"/>
        </w:rPr>
        <w:t xml:space="preserve"> Berkes, F. (1988) Subsistence fishing in Canada: a note on terminology, Arctic, 41(4),</w:t>
      </w:r>
      <w:r>
        <w:rPr>
          <w:lang w:val="en-US"/>
        </w:rPr>
        <w:t xml:space="preserve"> </w:t>
      </w:r>
      <w:r w:rsidRPr="00D03B87">
        <w:rPr>
          <w:lang w:val="en-US"/>
        </w:rPr>
        <w:t xml:space="preserve">pp.319-320. </w:t>
      </w:r>
      <w:r w:rsidRPr="00D03B87">
        <w:rPr>
          <w:lang w:val="es-CL"/>
        </w:rPr>
        <w:t xml:space="preserve">Disponible en: </w:t>
      </w:r>
      <w:hyperlink r:id="rId6" w:history="1">
        <w:r w:rsidRPr="00D03B87">
          <w:rPr>
            <w:rStyle w:val="Hipervnculo"/>
            <w:rFonts w:cs="Arial"/>
            <w:lang w:val="es-CL"/>
          </w:rPr>
          <w:t>http://citeseerx.ist.psu.edu/viewdoc/download?doi=10.1.1.522.3966&amp;rep=rep1&amp;type=pdf</w:t>
        </w:r>
      </w:hyperlink>
      <w:r w:rsidRPr="00D03B87">
        <w:rPr>
          <w:lang w:val="es-CL"/>
        </w:rPr>
        <w:t xml:space="preserve"> (Agosto 2018)</w:t>
      </w:r>
    </w:p>
  </w:footnote>
  <w:footnote w:id="6">
    <w:p w14:paraId="4161D598" w14:textId="4C159877" w:rsidR="006046E2" w:rsidRPr="006046E2" w:rsidRDefault="006046E2" w:rsidP="006046E2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6046E2">
        <w:rPr>
          <w:lang w:val="en-US"/>
        </w:rPr>
        <w:t xml:space="preserve"> </w:t>
      </w:r>
      <w:r w:rsidRPr="006046E2">
        <w:rPr>
          <w:i/>
          <w:iCs/>
          <w:lang w:val="en-US"/>
        </w:rPr>
        <w:t>South Africa´s Marine Living Resources Act (South African Government, 1998)</w:t>
      </w:r>
      <w:r>
        <w:rPr>
          <w:lang w:val="en-US"/>
        </w:rPr>
        <w:t xml:space="preserve">. </w:t>
      </w:r>
      <w:r w:rsidRPr="006046E2">
        <w:rPr>
          <w:lang w:val="es-CL"/>
        </w:rPr>
        <w:t xml:space="preserve">Disponible en: </w:t>
      </w:r>
      <w:hyperlink r:id="rId7" w:history="1">
        <w:r w:rsidRPr="006046E2">
          <w:rPr>
            <w:rStyle w:val="Hipervnculo"/>
            <w:rFonts w:cs="Arial"/>
            <w:lang w:val="es-CL"/>
          </w:rPr>
          <w:t>https://www.gov.za/sites/default/files/a18-98.pdf</w:t>
        </w:r>
      </w:hyperlink>
      <w:r w:rsidRPr="006046E2">
        <w:rPr>
          <w:lang w:val="es-CL"/>
        </w:rPr>
        <w:t xml:space="preserve"> (Agosto 2018)</w:t>
      </w:r>
    </w:p>
  </w:footnote>
  <w:footnote w:id="7">
    <w:p w14:paraId="099D6D5D" w14:textId="1F68FBCF" w:rsidR="002742C1" w:rsidRPr="002742C1" w:rsidRDefault="002742C1" w:rsidP="002742C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Ley General de Pesca de Perú. Decreto Ley Nº 25977. Disponible en: </w:t>
      </w:r>
      <w:hyperlink r:id="rId8" w:history="1">
        <w:r w:rsidRPr="0029140A">
          <w:rPr>
            <w:rStyle w:val="Hipervnculo"/>
            <w:rFonts w:cs="Arial"/>
          </w:rPr>
          <w:t>https://www.senace.gob.pe/wp-content/uploads/2016/10/NAS-4-8-01-D-LEY-25977.pdf</w:t>
        </w:r>
      </w:hyperlink>
      <w:r>
        <w:t xml:space="preserve"> (Agosto 2018)</w:t>
      </w:r>
    </w:p>
  </w:footnote>
  <w:footnote w:id="8">
    <w:p w14:paraId="3FB2BF9F" w14:textId="26DB239B" w:rsidR="000B0963" w:rsidRPr="000B0963" w:rsidRDefault="000B0963" w:rsidP="000B0963">
      <w:pPr>
        <w:pStyle w:val="Textonotapie"/>
      </w:pPr>
      <w:r>
        <w:rPr>
          <w:rStyle w:val="Refdenotaalpie"/>
        </w:rPr>
        <w:footnoteRef/>
      </w:r>
      <w:r>
        <w:t xml:space="preserve"> Ley N° 13 del 15 de enero de 1990. Por la cual se dicta el Estatuto General de Pesca Disponible en: </w:t>
      </w:r>
      <w:hyperlink r:id="rId9" w:history="1">
        <w:r w:rsidRPr="0029140A">
          <w:rPr>
            <w:rStyle w:val="Hipervnculo"/>
            <w:rFonts w:cs="Arial"/>
          </w:rPr>
          <w:t>http://extwprlegs1.fao.org/docs/pdf/col3535.pdf</w:t>
        </w:r>
      </w:hyperlink>
      <w:r>
        <w:t xml:space="preserve"> </w:t>
      </w:r>
      <w:r w:rsidR="00A573D5">
        <w:t>(Agosto 2018)</w:t>
      </w:r>
    </w:p>
  </w:footnote>
  <w:footnote w:id="9">
    <w:p w14:paraId="5390C209" w14:textId="70B55C76" w:rsidR="000B0963" w:rsidRPr="000B0963" w:rsidRDefault="000B0963" w:rsidP="000B0963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Título IV De los modos de adquirir derecho para ejercer la actividad pesquera y de las tasas y derechos.</w:t>
      </w:r>
      <w:r w:rsidRPr="000B0963">
        <w:t xml:space="preserve"> Capítulo 1 denominado De los Modos de Adquirir Derecho para Ejercer la Actividad Pesquera</w:t>
      </w:r>
      <w:r>
        <w:t>.</w:t>
      </w:r>
    </w:p>
  </w:footnote>
  <w:footnote w:id="10">
    <w:p w14:paraId="0ACDCA99" w14:textId="2088B2E6" w:rsidR="00A573D5" w:rsidRPr="00A573D5" w:rsidRDefault="00A573D5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Versión codificada en: </w:t>
      </w:r>
      <w:hyperlink r:id="rId10" w:anchor="vid/643461601" w:history="1">
        <w:r w:rsidRPr="0029140A">
          <w:rPr>
            <w:rStyle w:val="Hipervnculo"/>
            <w:rFonts w:cs="Arial"/>
            <w:lang w:val="es-CL"/>
          </w:rPr>
          <w:t>https://app.vlex.com/#vid/643461601</w:t>
        </w:r>
      </w:hyperlink>
      <w:r>
        <w:rPr>
          <w:lang w:val="es-CL"/>
        </w:rPr>
        <w:t xml:space="preserve"> (Agosto 2018)</w:t>
      </w:r>
    </w:p>
  </w:footnote>
  <w:footnote w:id="11">
    <w:p w14:paraId="40E80A20" w14:textId="46E46D73" w:rsidR="00A573D5" w:rsidRPr="00A573D5" w:rsidRDefault="00A573D5" w:rsidP="00A573D5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A573D5">
        <w:rPr>
          <w:lang w:val="es-CL"/>
        </w:rPr>
        <w:t>Mi</w:t>
      </w:r>
      <w:r>
        <w:rPr>
          <w:lang w:val="es-CL"/>
        </w:rPr>
        <w:t xml:space="preserve">nisterio de Acuacultura y Pesca. </w:t>
      </w:r>
      <w:r w:rsidRPr="00A573D5">
        <w:rPr>
          <w:lang w:val="es-CL"/>
        </w:rPr>
        <w:t>Borrador Proyecto de Ley 14 de Agosto 2017</w:t>
      </w:r>
      <w:r>
        <w:rPr>
          <w:lang w:val="es-CL"/>
        </w:rPr>
        <w:t xml:space="preserve">. Disponible en: </w:t>
      </w:r>
      <w:hyperlink r:id="rId11" w:history="1">
        <w:r w:rsidRPr="0029140A">
          <w:rPr>
            <w:rStyle w:val="Hipervnculo"/>
            <w:rFonts w:cs="Arial"/>
            <w:lang w:val="es-CL"/>
          </w:rPr>
          <w:t>http://www.acuaculturaypesca.gob.ec/wp-content/uploads/downloads/2017/12/Glosario-Proyecto-Ley-Pesca.pdf</w:t>
        </w:r>
      </w:hyperlink>
      <w:r>
        <w:rPr>
          <w:lang w:val="es-CL"/>
        </w:rPr>
        <w:t xml:space="preserve"> (Agosto 2018)</w:t>
      </w:r>
    </w:p>
  </w:footnote>
  <w:footnote w:id="12">
    <w:p w14:paraId="06737DE8" w14:textId="65F5F41E" w:rsidR="00F8340B" w:rsidRPr="00F8340B" w:rsidRDefault="00F8340B" w:rsidP="00F8340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F8340B">
        <w:t>Decreto N° 80-2002  del Congre</w:t>
      </w:r>
      <w:r>
        <w:t>so de La República de Guatemala. L</w:t>
      </w:r>
      <w:r w:rsidRPr="00F8340B">
        <w:t>a Ley General de Pesca y Acuicultura</w:t>
      </w:r>
      <w:r>
        <w:t xml:space="preserve">. Disponible en </w:t>
      </w:r>
      <w:hyperlink r:id="rId12" w:history="1">
        <w:r w:rsidRPr="00F50730">
          <w:rPr>
            <w:rStyle w:val="Hipervnculo"/>
            <w:rFonts w:cs="Arial"/>
          </w:rPr>
          <w:t>http://asisehace.gt/media/ley_general_de_pesca_y_acuicultura.pdf</w:t>
        </w:r>
      </w:hyperlink>
      <w:r>
        <w:t xml:space="preserve">  (Agosto 2018)</w:t>
      </w:r>
    </w:p>
  </w:footnote>
  <w:footnote w:id="13">
    <w:p w14:paraId="500282C1" w14:textId="186006EB" w:rsidR="00365758" w:rsidRPr="00365758" w:rsidRDefault="0036575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365758">
        <w:t xml:space="preserve">Ley </w:t>
      </w:r>
      <w:r>
        <w:t>Nº 8436 - Ley de Pesca y A</w:t>
      </w:r>
      <w:r w:rsidRPr="00365758">
        <w:t>cuicultura.</w:t>
      </w:r>
      <w:r>
        <w:t xml:space="preserve"> Disponible en: </w:t>
      </w:r>
      <w:hyperlink r:id="rId13" w:history="1">
        <w:r w:rsidRPr="00F50730">
          <w:rPr>
            <w:rStyle w:val="Hipervnculo"/>
            <w:rFonts w:cs="Arial"/>
          </w:rPr>
          <w:t>https://www.ecolex.org/details/legislation/ley-no-8436-ley-de-pesca-y-acuicultura-lex-faoc060829/</w:t>
        </w:r>
      </w:hyperlink>
      <w:r>
        <w:t xml:space="preserve"> </w:t>
      </w:r>
    </w:p>
  </w:footnote>
  <w:footnote w:id="14">
    <w:p w14:paraId="036D3355" w14:textId="53600484" w:rsidR="008A7908" w:rsidRPr="008A7908" w:rsidRDefault="008A790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8A7908">
        <w:t>Ley N°. 489, de 2004 denominada Ley de Pesca de Nicaragua</w:t>
      </w:r>
      <w:r>
        <w:t xml:space="preserve">. Disponible en </w:t>
      </w:r>
      <w:hyperlink r:id="rId14" w:history="1">
        <w:r w:rsidRPr="00F50730">
          <w:rPr>
            <w:rStyle w:val="Hipervnculo"/>
            <w:rFonts w:cs="Arial"/>
          </w:rPr>
          <w:t>http://legislacion.asamblea.gob.ni/Normaweb.nsf/($All)/1A666D4D9929B0F6062570A100583F5F?OpenDocument</w:t>
        </w:r>
      </w:hyperlink>
      <w:r>
        <w:t xml:space="preserve"> (Agosto 2018)</w:t>
      </w:r>
    </w:p>
  </w:footnote>
  <w:footnote w:id="15">
    <w:p w14:paraId="7F307F75" w14:textId="34658CBC" w:rsidR="009101C2" w:rsidRPr="009101C2" w:rsidRDefault="009101C2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9101C2">
        <w:t>Ley General de Pesca y Acuacultura Sustentables</w:t>
      </w:r>
      <w:r>
        <w:t xml:space="preserve">. Disponible en: </w:t>
      </w:r>
      <w:hyperlink r:id="rId15" w:history="1">
        <w:r w:rsidRPr="0029140A">
          <w:rPr>
            <w:rStyle w:val="Hipervnculo"/>
            <w:rFonts w:cs="Arial"/>
          </w:rPr>
          <w:t>https://mexico.justia.com/federales/leyes/ley-general-de-pesca-y-acuacultura-sustentables/gdoc/</w:t>
        </w:r>
      </w:hyperlink>
      <w:r>
        <w:t xml:space="preserve"> (Agosto 2018)</w:t>
      </w:r>
    </w:p>
  </w:footnote>
  <w:footnote w:id="16">
    <w:p w14:paraId="543220A3" w14:textId="3C9E1E86" w:rsidR="0055615A" w:rsidRPr="0055615A" w:rsidRDefault="0055615A" w:rsidP="0055615A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55615A">
        <w:rPr>
          <w:lang w:val="en-US"/>
        </w:rPr>
        <w:t xml:space="preserve"> WORLD FISHERIES TRUST (2008). Global Citizenship in Fisheries and Aquaculture &gt; INTRODUCTION TO SUSTAINABLE FISHING &gt; Lesson 2: How Does Seafood Get to the Store and on to My Table? &gt; Activity 1: Types of Fisheries and Aquaculture &gt; Fact sheets on types of fisheries and aquaculture: Subsistence Fishing (Fishing Methods Fact Card). </w:t>
      </w:r>
      <w:r w:rsidRPr="0055615A">
        <w:t xml:space="preserve">Disponible en: </w:t>
      </w:r>
      <w:hyperlink r:id="rId16" w:history="1">
        <w:r w:rsidRPr="0029140A">
          <w:rPr>
            <w:rStyle w:val="Hipervnculo"/>
            <w:rFonts w:cs="Arial"/>
          </w:rPr>
          <w:t>http://bcn.cl/26mh7</w:t>
        </w:r>
      </w:hyperlink>
      <w:r>
        <w:t xml:space="preserve"> (Agosto 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D14C" w14:textId="77777777" w:rsidR="0077687D" w:rsidRDefault="0077687D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7F35" w14:textId="77777777" w:rsidR="0077687D" w:rsidRDefault="00E463FD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color w:val="C00000"/>
        <w:sz w:val="18"/>
      </w:rPr>
    </w:pPr>
    <w:r>
      <w:rPr>
        <w:noProof/>
        <w:lang w:val="es-CL" w:eastAsia="zh-TW"/>
      </w:rPr>
      <mc:AlternateContent>
        <mc:Choice Requires="wps">
          <w:drawing>
            <wp:anchor distT="0" distB="0" distL="115570" distR="115570" simplePos="0" relativeHeight="251660288" behindDoc="1" locked="0" layoutInCell="1" allowOverlap="1" wp14:anchorId="742E7772" wp14:editId="35A95231">
              <wp:simplePos x="0" y="0"/>
              <wp:positionH relativeFrom="column">
                <wp:posOffset>-694690</wp:posOffset>
              </wp:positionH>
              <wp:positionV relativeFrom="paragraph">
                <wp:posOffset>-22860</wp:posOffset>
              </wp:positionV>
              <wp:extent cx="7790180" cy="115570"/>
              <wp:effectExtent l="635" t="0" r="635" b="2540"/>
              <wp:wrapNone/>
              <wp:docPr id="1" name="shape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0180" cy="115570"/>
                      </a:xfrm>
                      <a:custGeom>
                        <a:avLst/>
                        <a:gdLst>
                          <a:gd name="T0" fmla="*/ 0 w 100000"/>
                          <a:gd name="T1" fmla="*/ 0 h 100000"/>
                          <a:gd name="T2" fmla="*/ 0 w 100000"/>
                          <a:gd name="T3" fmla="*/ 0 h 100000"/>
                        </a:gdLst>
                        <a:ahLst/>
                        <a:cxnLst/>
                        <a:rect l="T0" t="T1" r="T2" b="T3"/>
                        <a:pathLst/>
                      </a:custGeom>
                      <a:solidFill>
                        <a:srgbClr val="C00000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6FF83" id="shape 0" o:spid="_x0000_s1026" style="position:absolute;margin-left:-54.7pt;margin-top:-1.8pt;width:613.4pt;height:9.1pt;z-index:-251656192;visibility:visible;mso-wrap-style:square;mso-width-percent:0;mso-height-percent:0;mso-wrap-distance-left:9.1pt;mso-wrap-distance-top:0;mso-wrap-distance-right:9.1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" fillcolor="#c00000" strokeweight="1pt">
              <v:path textboxrect="@1,@1,@1,@1"/>
            </v:shape>
          </w:pict>
        </mc:Fallback>
      </mc:AlternateContent>
    </w:r>
  </w:p>
  <w:p w14:paraId="00871163" w14:textId="77777777" w:rsidR="0077687D" w:rsidRDefault="0077687D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color w:val="C00000"/>
        <w:sz w:val="18"/>
      </w:rPr>
    </w:pPr>
  </w:p>
  <w:p w14:paraId="58B2C37A" w14:textId="77777777" w:rsidR="0077687D" w:rsidRDefault="0077687D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color w:val="C00000"/>
        <w:sz w:val="18"/>
      </w:rPr>
    </w:pPr>
  </w:p>
  <w:p w14:paraId="5D020838" w14:textId="77777777" w:rsidR="0077687D" w:rsidRDefault="0077687D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>
      <w:rPr>
        <w:color w:val="C00000"/>
        <w:sz w:val="18"/>
      </w:rPr>
      <w:t>Biblioteca del Congreso Nacional de Chile</w:t>
    </w:r>
    <w:r>
      <w:rPr>
        <w:sz w:val="18"/>
      </w:rPr>
      <w:t xml:space="preserve">  </w:t>
    </w:r>
    <w:r>
      <w:rPr>
        <w:color w:val="808080"/>
        <w:sz w:val="18"/>
      </w:rPr>
      <w:t>|  Asesoría Técnica Parlamentaria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4BD6" w14:textId="77777777" w:rsidR="0077687D" w:rsidRDefault="00E463F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>
      <w:rPr>
        <w:noProof/>
        <w:lang w:val="es-CL" w:eastAsia="zh-TW"/>
      </w:rPr>
      <mc:AlternateContent>
        <mc:Choice Requires="wps">
          <w:drawing>
            <wp:anchor distT="0" distB="0" distL="115200" distR="115200" simplePos="0" relativeHeight="251662336" behindDoc="0" locked="0" layoutInCell="1" allowOverlap="1" wp14:anchorId="3BC2EC5B" wp14:editId="3FF22EA2">
              <wp:simplePos x="0" y="0"/>
              <wp:positionH relativeFrom="column">
                <wp:posOffset>-687705</wp:posOffset>
              </wp:positionH>
              <wp:positionV relativeFrom="paragraph">
                <wp:posOffset>-13970</wp:posOffset>
              </wp:positionV>
              <wp:extent cx="7772400" cy="12668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26682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12700" cap="flat" cmpd="sng" algn="ctr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906"/>
                            <w:gridCol w:w="4763"/>
                            <w:gridCol w:w="2422"/>
                          </w:tblGrid>
                          <w:tr w:rsidR="0077687D" w14:paraId="4FE530FE" w14:textId="77777777" w:rsidTr="004D2B54">
                            <w:trPr>
                              <w:trHeight w:val="992"/>
                              <w:jc w:val="center"/>
                            </w:trPr>
                            <w:tc>
                              <w:tcPr>
                                <w:tcW w:w="2906" w:type="dxa"/>
                                <w:tcBorders>
                                  <w:top w:val="none" w:sz="4" w:space="0" w:color="000000"/>
                                  <w:left w:val="none" w:sz="4" w:space="0" w:color="000000"/>
                                  <w:bottom w:val="none" w:sz="4" w:space="0" w:color="000000"/>
                                  <w:right w:val="none" w:sz="4" w:space="0" w:color="000000"/>
                                </w:tcBorders>
                                <w:noWrap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3B1A1113" w14:textId="77777777" w:rsidR="0077687D" w:rsidRPr="004D2B54" w:rsidRDefault="00E463FD" w:rsidP="004D2B54">
                                <w:pPr>
                                  <w:p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between w:val="none" w:sz="0" w:space="0" w:color="auto"/>
                                  </w:pBdr>
                                  <w:spacing w:after="0" w:line="240" w:lineRule="auto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noProof/>
                                    <w:color w:val="FFFFFF"/>
                                    <w:lang w:val="es-CL" w:eastAsia="zh-TW"/>
                                  </w:rPr>
                                  <w:drawing>
                                    <wp:inline distT="0" distB="0" distL="0" distR="0" wp14:anchorId="023D270A" wp14:editId="7F0F4B4D">
                                      <wp:extent cx="1771650" cy="685800"/>
                                      <wp:effectExtent l="0" t="0" r="0" b="0"/>
                                      <wp:docPr id="11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165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top w:val="none" w:sz="4" w:space="0" w:color="000000"/>
                                  <w:left w:val="none" w:sz="4" w:space="0" w:color="000000"/>
                                  <w:bottom w:val="none" w:sz="4" w:space="0" w:color="000000"/>
                                  <w:right w:val="none" w:sz="4" w:space="0" w:color="000000"/>
                                </w:tcBorders>
                                <w:noWrap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720DCDE8" w14:textId="77777777" w:rsidR="0077687D" w:rsidRPr="004D2B54" w:rsidRDefault="0077687D" w:rsidP="004D2B54">
                                <w:pPr>
                                  <w:pStyle w:val="Ttulo5"/>
                                  <w:p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between w:val="none" w:sz="0" w:space="0" w:color="auto"/>
                                  </w:pBdr>
                                  <w:spacing w:line="240" w:lineRule="auto"/>
                                  <w:rPr>
                                    <w:color w:val="FFFFFF"/>
                                  </w:rPr>
                                </w:pPr>
                              </w:p>
                              <w:p w14:paraId="16A12C7A" w14:textId="77777777" w:rsidR="0077687D" w:rsidRPr="004D2B54" w:rsidRDefault="0077687D" w:rsidP="004D2B54">
                                <w:pPr>
                                  <w:pStyle w:val="Ttulo5"/>
                                  <w:p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between w:val="none" w:sz="0" w:space="0" w:color="auto"/>
                                  </w:pBdr>
                                  <w:spacing w:line="240" w:lineRule="auto"/>
                                  <w:rPr>
                                    <w:color w:val="FFFFFF"/>
                                    <w:sz w:val="26"/>
                                  </w:rPr>
                                </w:pPr>
                                <w:r w:rsidRPr="004D2B54">
                                  <w:rPr>
                                    <w:color w:val="FFFFFF"/>
                                    <w:sz w:val="26"/>
                                  </w:rPr>
                                  <w:t>| Asesoría Técnica Parlamentaria</w:t>
                                </w:r>
                              </w:p>
                            </w:tc>
                            <w:tc>
                              <w:tcPr>
                                <w:tcW w:w="2422" w:type="dxa"/>
                                <w:tcBorders>
                                  <w:top w:val="none" w:sz="4" w:space="0" w:color="000000"/>
                                  <w:left w:val="none" w:sz="4" w:space="0" w:color="000000"/>
                                  <w:bottom w:val="none" w:sz="4" w:space="0" w:color="000000"/>
                                  <w:right w:val="none" w:sz="4" w:space="0" w:color="000000"/>
                                </w:tcBorders>
                                <w:noWrap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40340D13" w14:textId="77777777" w:rsidR="0077687D" w:rsidRDefault="0077687D" w:rsidP="004D2B54">
                                <w:pPr>
                                  <w:pStyle w:val="Ttulo5"/>
                                  <w:p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between w:val="none" w:sz="0" w:space="0" w:color="auto"/>
                                  </w:pBdr>
                                  <w:spacing w:line="240" w:lineRule="auto"/>
                                  <w:jc w:val="right"/>
                                </w:pPr>
                              </w:p>
                              <w:p w14:paraId="27E67A0E" w14:textId="77777777" w:rsidR="0077687D" w:rsidRPr="004D2B54" w:rsidRDefault="0077687D" w:rsidP="004D2B54">
                                <w:pPr>
                                  <w:pStyle w:val="Ttulo5"/>
                                  <w:p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between w:val="none" w:sz="0" w:space="0" w:color="auto"/>
                                  </w:pBdr>
                                  <w:spacing w:line="240" w:lineRule="auto"/>
                                  <w:jc w:val="right"/>
                                  <w:rPr>
                                    <w:color w:val="FFFFFF"/>
                                    <w:sz w:val="26"/>
                                  </w:rPr>
                                </w:pPr>
                                <w:r w:rsidRPr="004D2B54">
                                  <w:rPr>
                                    <w:color w:val="FFFFFF"/>
                                    <w:sz w:val="26"/>
                                  </w:rPr>
                                  <w:t>Agosto 2018</w:t>
                                </w:r>
                              </w:p>
                            </w:tc>
                          </w:tr>
                        </w:tbl>
                        <w:p w14:paraId="26956C2C" w14:textId="77777777" w:rsidR="0077687D" w:rsidRDefault="0077687D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jc w:val="center"/>
                          </w:pPr>
                        </w:p>
                      </w:txbxContent>
                    </wps:txbx>
                    <wps:bodyPr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2EC5B" id="Rectángulo 2" o:spid="_x0000_s1026" style="position:absolute;left:0;text-align:left;margin-left:-54.15pt;margin-top:-1.1pt;width:612pt;height:99.75pt;z-index:251662336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" fillcolor="#c00" stroked="f" strokeweight="1pt">
              <v:textbox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906"/>
                      <w:gridCol w:w="4763"/>
                      <w:gridCol w:w="2422"/>
                    </w:tblGrid>
                    <w:tr w:rsidR="0077687D" w14:paraId="4FE530FE" w14:textId="77777777" w:rsidTr="004D2B54">
                      <w:trPr>
                        <w:trHeight w:val="992"/>
                        <w:jc w:val="center"/>
                      </w:trPr>
                      <w:tc>
                        <w:tcPr>
                          <w:tcW w:w="2906" w:type="dxa"/>
                          <w:tcBorders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tcBorders>
                          <w:noWrap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3B1A1113" w14:textId="77777777" w:rsidR="0077687D" w:rsidRPr="004D2B54" w:rsidRDefault="00E463FD" w:rsidP="004D2B54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  <w:lang w:val="es-CL" w:eastAsia="zh-TW"/>
                            </w:rPr>
                            <w:drawing>
                              <wp:inline distT="0" distB="0" distL="0" distR="0" wp14:anchorId="023D270A" wp14:editId="7F0F4B4D">
                                <wp:extent cx="1771650" cy="685800"/>
                                <wp:effectExtent l="0" t="0" r="0" b="0"/>
                                <wp:docPr id="11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tcBorders>
                          <w:noWrap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720DCDE8" w14:textId="77777777" w:rsidR="0077687D" w:rsidRPr="004D2B54" w:rsidRDefault="0077687D" w:rsidP="004D2B54">
                          <w:pPr>
                            <w:pStyle w:val="Ttulo5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spacing w:line="240" w:lineRule="auto"/>
                            <w:rPr>
                              <w:color w:val="FFFFFF"/>
                            </w:rPr>
                          </w:pPr>
                        </w:p>
                        <w:p w14:paraId="16A12C7A" w14:textId="77777777" w:rsidR="0077687D" w:rsidRPr="004D2B54" w:rsidRDefault="0077687D" w:rsidP="004D2B54">
                          <w:pPr>
                            <w:pStyle w:val="Ttulo5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spacing w:line="240" w:lineRule="auto"/>
                            <w:rPr>
                              <w:color w:val="FFFFFF"/>
                              <w:sz w:val="26"/>
                            </w:rPr>
                          </w:pPr>
                          <w:r w:rsidRPr="004D2B54">
                            <w:rPr>
                              <w:color w:val="FFFFFF"/>
                              <w:sz w:val="26"/>
                            </w:rPr>
                            <w:t>| Asesoría Técnica Parlamentaria</w:t>
                          </w:r>
                        </w:p>
                      </w:tc>
                      <w:tc>
                        <w:tcPr>
                          <w:tcW w:w="2422" w:type="dxa"/>
                          <w:tcBorders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</w:tcBorders>
                          <w:noWrap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40340D13" w14:textId="77777777" w:rsidR="0077687D" w:rsidRDefault="0077687D" w:rsidP="004D2B54">
                          <w:pPr>
                            <w:pStyle w:val="Ttulo5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spacing w:line="240" w:lineRule="auto"/>
                            <w:jc w:val="right"/>
                          </w:pPr>
                        </w:p>
                        <w:p w14:paraId="27E67A0E" w14:textId="77777777" w:rsidR="0077687D" w:rsidRPr="004D2B54" w:rsidRDefault="0077687D" w:rsidP="004D2B54">
                          <w:pPr>
                            <w:pStyle w:val="Ttulo5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spacing w:line="240" w:lineRule="auto"/>
                            <w:jc w:val="right"/>
                            <w:rPr>
                              <w:color w:val="FFFFFF"/>
                              <w:sz w:val="26"/>
                            </w:rPr>
                          </w:pPr>
                          <w:r w:rsidRPr="004D2B54">
                            <w:rPr>
                              <w:color w:val="FFFFFF"/>
                              <w:sz w:val="26"/>
                            </w:rPr>
                            <w:t>Agosto 2018</w:t>
                          </w:r>
                        </w:p>
                      </w:tc>
                    </w:tr>
                  </w:tbl>
                  <w:p w14:paraId="26956C2C" w14:textId="77777777" w:rsidR="0077687D" w:rsidRDefault="0077687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2D5F2603" w14:textId="77777777" w:rsidR="0077687D" w:rsidRDefault="0077687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-1067"/>
    </w:pPr>
  </w:p>
  <w:p w14:paraId="36420FB1" w14:textId="77777777" w:rsidR="0077687D" w:rsidRDefault="0077687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1F3"/>
    <w:multiLevelType w:val="hybridMultilevel"/>
    <w:tmpl w:val="A96C25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785"/>
    <w:multiLevelType w:val="hybridMultilevel"/>
    <w:tmpl w:val="89284B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830"/>
    <w:multiLevelType w:val="hybridMultilevel"/>
    <w:tmpl w:val="F29023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D7691"/>
    <w:multiLevelType w:val="hybridMultilevel"/>
    <w:tmpl w:val="F5F2CFBC"/>
    <w:lvl w:ilvl="0" w:tplc="1D6C26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513E"/>
    <w:multiLevelType w:val="hybridMultilevel"/>
    <w:tmpl w:val="A00EA9EE"/>
    <w:lvl w:ilvl="0" w:tplc="AF96B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65"/>
    <w:rsid w:val="00014C65"/>
    <w:rsid w:val="00023F6C"/>
    <w:rsid w:val="0003445A"/>
    <w:rsid w:val="000B0963"/>
    <w:rsid w:val="000C729C"/>
    <w:rsid w:val="001166D2"/>
    <w:rsid w:val="0015203C"/>
    <w:rsid w:val="001723EC"/>
    <w:rsid w:val="00207895"/>
    <w:rsid w:val="00241DF6"/>
    <w:rsid w:val="002633F9"/>
    <w:rsid w:val="002742C1"/>
    <w:rsid w:val="002B2D0B"/>
    <w:rsid w:val="002C085B"/>
    <w:rsid w:val="00365758"/>
    <w:rsid w:val="0039183B"/>
    <w:rsid w:val="00391DCB"/>
    <w:rsid w:val="004464F3"/>
    <w:rsid w:val="00477220"/>
    <w:rsid w:val="004B615A"/>
    <w:rsid w:val="004D2B54"/>
    <w:rsid w:val="004F1005"/>
    <w:rsid w:val="0051733B"/>
    <w:rsid w:val="0055280B"/>
    <w:rsid w:val="0055379E"/>
    <w:rsid w:val="0055615A"/>
    <w:rsid w:val="00556B90"/>
    <w:rsid w:val="00571155"/>
    <w:rsid w:val="00594B63"/>
    <w:rsid w:val="005D2CC6"/>
    <w:rsid w:val="005D7930"/>
    <w:rsid w:val="005E1D27"/>
    <w:rsid w:val="006046E2"/>
    <w:rsid w:val="00606C50"/>
    <w:rsid w:val="00640880"/>
    <w:rsid w:val="006541AA"/>
    <w:rsid w:val="006A31B5"/>
    <w:rsid w:val="006B61CA"/>
    <w:rsid w:val="00717309"/>
    <w:rsid w:val="0077687D"/>
    <w:rsid w:val="0085124E"/>
    <w:rsid w:val="008A7908"/>
    <w:rsid w:val="009101C2"/>
    <w:rsid w:val="0094373D"/>
    <w:rsid w:val="00A3634C"/>
    <w:rsid w:val="00A573D5"/>
    <w:rsid w:val="00AB5F55"/>
    <w:rsid w:val="00AD4BE6"/>
    <w:rsid w:val="00B34842"/>
    <w:rsid w:val="00B6211D"/>
    <w:rsid w:val="00B85956"/>
    <w:rsid w:val="00B86F7C"/>
    <w:rsid w:val="00BA0E9D"/>
    <w:rsid w:val="00BA3F7B"/>
    <w:rsid w:val="00BD6426"/>
    <w:rsid w:val="00BF0282"/>
    <w:rsid w:val="00C149F4"/>
    <w:rsid w:val="00C6034C"/>
    <w:rsid w:val="00C863DA"/>
    <w:rsid w:val="00CB5658"/>
    <w:rsid w:val="00D03B87"/>
    <w:rsid w:val="00D22404"/>
    <w:rsid w:val="00D37B45"/>
    <w:rsid w:val="00D44CB8"/>
    <w:rsid w:val="00D658C7"/>
    <w:rsid w:val="00D70EA3"/>
    <w:rsid w:val="00DA582C"/>
    <w:rsid w:val="00DC7565"/>
    <w:rsid w:val="00DE643F"/>
    <w:rsid w:val="00E463FD"/>
    <w:rsid w:val="00E53521"/>
    <w:rsid w:val="00E71880"/>
    <w:rsid w:val="00F345BF"/>
    <w:rsid w:val="00F418A3"/>
    <w:rsid w:val="00F6137C"/>
    <w:rsid w:val="00F8340B"/>
    <w:rsid w:val="00FF021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F36F7D"/>
  <w15:docId w15:val="{907AE702-635A-4F37-9623-E14D4255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B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both"/>
    </w:pPr>
    <w:rPr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F782F"/>
    <w:pPr>
      <w:keepNext/>
      <w:keepLines/>
      <w:spacing w:before="480" w:after="0"/>
      <w:outlineLvl w:val="0"/>
    </w:pPr>
    <w:rPr>
      <w:b/>
      <w:bCs/>
      <w:color w:val="000000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FF782F"/>
    <w:pPr>
      <w:keepNext/>
      <w:keepLines/>
      <w:spacing w:before="200" w:after="0"/>
      <w:outlineLvl w:val="1"/>
    </w:pPr>
    <w:rPr>
      <w:b/>
      <w:bCs/>
      <w:color w:val="000000"/>
      <w:sz w:val="40"/>
    </w:rPr>
  </w:style>
  <w:style w:type="paragraph" w:styleId="Ttulo3">
    <w:name w:val="heading 3"/>
    <w:basedOn w:val="Normal"/>
    <w:next w:val="Normal"/>
    <w:link w:val="Ttulo3Car"/>
    <w:uiPriority w:val="99"/>
    <w:qFormat/>
    <w:rsid w:val="00FF782F"/>
    <w:pPr>
      <w:keepNext/>
      <w:keepLines/>
      <w:spacing w:before="200" w:after="0"/>
      <w:outlineLvl w:val="2"/>
    </w:pPr>
    <w:rPr>
      <w:b/>
      <w:bCs/>
      <w:i/>
      <w:iCs/>
      <w:color w:val="000000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9"/>
    <w:qFormat/>
    <w:rsid w:val="00FF782F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9"/>
    <w:qFormat/>
    <w:rsid w:val="00FF782F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FF782F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FF782F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FF782F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FF782F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F782F"/>
    <w:rPr>
      <w:rFonts w:ascii="Arial" w:eastAsia="Times New Roman" w:hAnsi="Arial" w:cs="Arial"/>
      <w:b/>
      <w:bCs/>
      <w:color w:val="000000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9"/>
    <w:rsid w:val="00FF782F"/>
    <w:rPr>
      <w:rFonts w:ascii="Arial" w:eastAsia="Times New Roman" w:hAnsi="Arial" w:cs="Arial"/>
      <w:b/>
      <w:bCs/>
      <w:color w:val="000000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9"/>
    <w:rsid w:val="00FF782F"/>
    <w:rPr>
      <w:rFonts w:ascii="Arial" w:eastAsia="Times New Roman" w:hAnsi="Arial" w:cs="Arial"/>
      <w:b/>
      <w:bCs/>
      <w:i/>
      <w:iCs/>
      <w:color w:val="000000"/>
      <w:sz w:val="40"/>
      <w:szCs w:val="40"/>
    </w:rPr>
  </w:style>
  <w:style w:type="character" w:customStyle="1" w:styleId="Ttulo4Car">
    <w:name w:val="Título 4 Car"/>
    <w:basedOn w:val="Fuentedeprrafopredeter"/>
    <w:link w:val="Ttulo4"/>
    <w:uiPriority w:val="99"/>
    <w:rsid w:val="00FF782F"/>
    <w:rPr>
      <w:rFonts w:ascii="Arial" w:eastAsia="Times New Roman" w:hAnsi="Arial" w:cs="Arial"/>
      <w:color w:val="232323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9"/>
    <w:rsid w:val="00FF782F"/>
    <w:rPr>
      <w:rFonts w:ascii="Arial" w:eastAsia="Times New Roman" w:hAnsi="Arial" w:cs="Arial"/>
      <w:b/>
      <w:bCs/>
      <w:color w:val="444444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rsid w:val="00FF782F"/>
    <w:rPr>
      <w:rFonts w:ascii="Arial" w:eastAsia="Times New Roman" w:hAnsi="Arial" w:cs="Arial"/>
      <w:i/>
      <w:iCs/>
      <w:color w:val="232323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9"/>
    <w:rsid w:val="00FF782F"/>
    <w:rPr>
      <w:rFonts w:ascii="Arial" w:eastAsia="Times New Roman" w:hAnsi="Arial" w:cs="Arial"/>
      <w:b/>
      <w:bCs/>
      <w:color w:val="606060"/>
      <w:sz w:val="28"/>
      <w:szCs w:val="28"/>
    </w:rPr>
  </w:style>
  <w:style w:type="character" w:customStyle="1" w:styleId="Ttulo8Car">
    <w:name w:val="Título 8 Car"/>
    <w:basedOn w:val="Fuentedeprrafopredeter"/>
    <w:link w:val="Ttulo8"/>
    <w:uiPriority w:val="99"/>
    <w:rsid w:val="00FF782F"/>
    <w:rPr>
      <w:rFonts w:ascii="Arial" w:eastAsia="Times New Roman" w:hAnsi="Arial" w:cs="Arial"/>
      <w:color w:val="444444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FF782F"/>
    <w:rPr>
      <w:rFonts w:ascii="Arial" w:eastAsia="Times New Roman" w:hAnsi="Arial" w:cs="Arial"/>
      <w:i/>
      <w:iCs/>
      <w:color w:val="444444"/>
      <w:sz w:val="23"/>
      <w:szCs w:val="23"/>
    </w:rPr>
  </w:style>
  <w:style w:type="paragraph" w:styleId="Textonotapie">
    <w:name w:val="footnote text"/>
    <w:basedOn w:val="Normal"/>
    <w:link w:val="TextonotapieCar"/>
    <w:uiPriority w:val="99"/>
    <w:semiHidden/>
    <w:rsid w:val="00FF782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FF782F"/>
    <w:rPr>
      <w:rFonts w:cs="Times New Roman"/>
      <w:sz w:val="20"/>
    </w:rPr>
  </w:style>
  <w:style w:type="paragraph" w:styleId="TDC1">
    <w:name w:val="toc 1"/>
    <w:basedOn w:val="Normal"/>
    <w:next w:val="Normal"/>
    <w:uiPriority w:val="99"/>
    <w:rsid w:val="00FF782F"/>
    <w:pPr>
      <w:spacing w:after="57"/>
    </w:pPr>
  </w:style>
  <w:style w:type="paragraph" w:styleId="TDC2">
    <w:name w:val="toc 2"/>
    <w:basedOn w:val="Normal"/>
    <w:next w:val="Normal"/>
    <w:uiPriority w:val="99"/>
    <w:rsid w:val="00FF782F"/>
    <w:pPr>
      <w:spacing w:after="57"/>
      <w:ind w:left="283"/>
    </w:pPr>
  </w:style>
  <w:style w:type="paragraph" w:styleId="TDC3">
    <w:name w:val="toc 3"/>
    <w:basedOn w:val="Normal"/>
    <w:next w:val="Normal"/>
    <w:uiPriority w:val="99"/>
    <w:rsid w:val="00FF782F"/>
    <w:pPr>
      <w:spacing w:after="57"/>
      <w:ind w:left="567"/>
    </w:pPr>
  </w:style>
  <w:style w:type="paragraph" w:styleId="TDC4">
    <w:name w:val="toc 4"/>
    <w:basedOn w:val="Normal"/>
    <w:next w:val="Normal"/>
    <w:uiPriority w:val="99"/>
    <w:rsid w:val="00FF782F"/>
    <w:pPr>
      <w:spacing w:after="57"/>
      <w:ind w:left="850"/>
    </w:pPr>
  </w:style>
  <w:style w:type="paragraph" w:styleId="TDC5">
    <w:name w:val="toc 5"/>
    <w:basedOn w:val="Normal"/>
    <w:next w:val="Normal"/>
    <w:uiPriority w:val="99"/>
    <w:rsid w:val="00FF782F"/>
    <w:pPr>
      <w:spacing w:after="57"/>
      <w:ind w:left="1134"/>
    </w:pPr>
  </w:style>
  <w:style w:type="paragraph" w:styleId="TDC6">
    <w:name w:val="toc 6"/>
    <w:basedOn w:val="Normal"/>
    <w:next w:val="Normal"/>
    <w:uiPriority w:val="99"/>
    <w:rsid w:val="00FF782F"/>
    <w:pPr>
      <w:spacing w:after="57"/>
      <w:ind w:left="1417"/>
    </w:pPr>
  </w:style>
  <w:style w:type="paragraph" w:styleId="TDC7">
    <w:name w:val="toc 7"/>
    <w:basedOn w:val="Normal"/>
    <w:next w:val="Normal"/>
    <w:uiPriority w:val="99"/>
    <w:rsid w:val="00FF782F"/>
    <w:pPr>
      <w:spacing w:after="57"/>
      <w:ind w:left="1701"/>
    </w:pPr>
  </w:style>
  <w:style w:type="paragraph" w:styleId="TDC8">
    <w:name w:val="toc 8"/>
    <w:basedOn w:val="Normal"/>
    <w:next w:val="Normal"/>
    <w:uiPriority w:val="99"/>
    <w:rsid w:val="00FF782F"/>
    <w:pPr>
      <w:spacing w:after="57"/>
      <w:ind w:left="1984"/>
    </w:pPr>
  </w:style>
  <w:style w:type="paragraph" w:styleId="TDC9">
    <w:name w:val="toc 9"/>
    <w:basedOn w:val="Normal"/>
    <w:next w:val="Normal"/>
    <w:uiPriority w:val="99"/>
    <w:rsid w:val="00FF782F"/>
    <w:pPr>
      <w:spacing w:after="57"/>
      <w:ind w:left="2268"/>
    </w:pPr>
  </w:style>
  <w:style w:type="paragraph" w:styleId="TtuloTDC">
    <w:name w:val="TOC Heading"/>
    <w:basedOn w:val="Ttulo1"/>
    <w:uiPriority w:val="99"/>
    <w:qFormat/>
    <w:rsid w:val="00FF782F"/>
    <w:pPr>
      <w:keepNext w:val="0"/>
      <w:keepLines w:val="0"/>
      <w:spacing w:before="0" w:after="200"/>
      <w:jc w:val="left"/>
      <w:outlineLvl w:val="9"/>
    </w:pPr>
    <w:rPr>
      <w:b w:val="0"/>
      <w:bCs w:val="0"/>
      <w:color w:val="auto"/>
      <w:sz w:val="22"/>
      <w:szCs w:val="22"/>
    </w:rPr>
  </w:style>
  <w:style w:type="table" w:styleId="Tablaconcuadrcula">
    <w:name w:val="Table Grid"/>
    <w:basedOn w:val="Tablanormal"/>
    <w:uiPriority w:val="99"/>
    <w:rsid w:val="00FF78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FF782F"/>
    <w:rPr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FF782F"/>
    <w:rPr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FF782F"/>
    <w:rPr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FF782F"/>
    <w:rPr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FF782F"/>
    <w:rPr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FF782F"/>
    <w:rPr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FF782F"/>
    <w:rPr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FF782F"/>
    <w:rPr>
      <w:color w:val="404040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basedOn w:val="Fuentedeprrafopredeter"/>
    <w:uiPriority w:val="99"/>
    <w:rsid w:val="00FF782F"/>
    <w:rPr>
      <w:rFonts w:cs="Times New Roman"/>
      <w:color w:val="CC9900"/>
      <w:u w:val="single"/>
    </w:rPr>
  </w:style>
  <w:style w:type="character" w:styleId="Refdenotaalpie">
    <w:name w:val="footnote reference"/>
    <w:basedOn w:val="Fuentedeprrafopredeter"/>
    <w:uiPriority w:val="99"/>
    <w:semiHidden/>
    <w:rsid w:val="00FF782F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uiPriority w:val="99"/>
    <w:rsid w:val="00FF782F"/>
    <w:pPr>
      <w:spacing w:after="0" w:line="240" w:lineRule="auto"/>
    </w:pPr>
    <w:rPr>
      <w:color w:val="00000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0718"/>
    <w:rPr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FF782F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0718"/>
    <w:rPr>
      <w:lang w:val="es-ES" w:eastAsia="en-US"/>
    </w:rPr>
  </w:style>
  <w:style w:type="paragraph" w:styleId="Sinespaciado">
    <w:name w:val="No Spacing"/>
    <w:basedOn w:val="Normal"/>
    <w:uiPriority w:val="99"/>
    <w:qFormat/>
    <w:rsid w:val="00FF782F"/>
    <w:pPr>
      <w:spacing w:after="0" w:line="240" w:lineRule="auto"/>
    </w:pPr>
    <w:rPr>
      <w:color w:val="000000"/>
    </w:rPr>
  </w:style>
  <w:style w:type="paragraph" w:styleId="Cita">
    <w:name w:val="Quote"/>
    <w:basedOn w:val="Normal"/>
    <w:next w:val="Normal"/>
    <w:link w:val="CitaCar"/>
    <w:uiPriority w:val="99"/>
    <w:qFormat/>
    <w:rsid w:val="00FF782F"/>
    <w:pPr>
      <w:pBdr>
        <w:top w:val="none" w:sz="8" w:space="9" w:color="000000"/>
        <w:left w:val="single" w:sz="18" w:space="9" w:color="D9D9D9"/>
        <w:bottom w:val="none" w:sz="8" w:space="9" w:color="000000"/>
        <w:right w:val="none" w:sz="8" w:space="9" w:color="000000"/>
        <w:between w:val="none" w:sz="4" w:space="9" w:color="000000"/>
      </w:pBdr>
      <w:spacing w:after="0"/>
      <w:ind w:left="709" w:right="720"/>
    </w:pPr>
    <w:rPr>
      <w:color w:val="000000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530718"/>
    <w:rPr>
      <w:i/>
      <w:iCs/>
      <w:color w:val="000000" w:themeColor="text1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FF782F"/>
    <w:pPr>
      <w:spacing w:line="240" w:lineRule="auto"/>
      <w:outlineLvl w:val="0"/>
    </w:pPr>
    <w:rPr>
      <w:color w:val="4E4A4A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530718"/>
    <w:rPr>
      <w:rFonts w:asciiTheme="majorHAnsi" w:eastAsiaTheme="majorEastAsia" w:hAnsiTheme="majorHAnsi" w:cstheme="majorBidi"/>
      <w:sz w:val="24"/>
      <w:szCs w:val="24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FF782F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0718"/>
    <w:rPr>
      <w:b/>
      <w:bCs/>
      <w:i/>
      <w:iCs/>
      <w:color w:val="4F81BD" w:themeColor="accent1"/>
      <w:lang w:val="es-ES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FF782F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character" w:customStyle="1" w:styleId="TtuloCar">
    <w:name w:val="Título Car"/>
    <w:basedOn w:val="Fuentedeprrafopredeter"/>
    <w:link w:val="Ttulo"/>
    <w:uiPriority w:val="10"/>
    <w:rsid w:val="00530718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n-US"/>
    </w:rPr>
  </w:style>
  <w:style w:type="paragraph" w:styleId="Prrafodelista">
    <w:name w:val="List Paragraph"/>
    <w:basedOn w:val="Normal"/>
    <w:uiPriority w:val="34"/>
    <w:qFormat/>
    <w:rsid w:val="00FF782F"/>
    <w:pPr>
      <w:ind w:left="720"/>
      <w:contextualSpacing/>
    </w:pPr>
  </w:style>
  <w:style w:type="character" w:customStyle="1" w:styleId="Heading5character">
    <w:name w:val="Heading 5_character"/>
    <w:uiPriority w:val="99"/>
    <w:rsid w:val="00FF782F"/>
    <w:rPr>
      <w:sz w:val="26"/>
    </w:rPr>
  </w:style>
  <w:style w:type="character" w:customStyle="1" w:styleId="Subtitlecharacter">
    <w:name w:val="Subtitle_character"/>
    <w:uiPriority w:val="99"/>
    <w:rsid w:val="00FF782F"/>
    <w:rPr>
      <w:color w:val="4E4A4A"/>
      <w:sz w:val="32"/>
    </w:rPr>
  </w:style>
  <w:style w:type="character" w:customStyle="1" w:styleId="Heading4character">
    <w:name w:val="Heading 4_character"/>
    <w:uiPriority w:val="99"/>
    <w:rsid w:val="00FF782F"/>
  </w:style>
  <w:style w:type="character" w:customStyle="1" w:styleId="Heading3character">
    <w:name w:val="Heading 3_character"/>
    <w:uiPriority w:val="99"/>
    <w:rsid w:val="00FF782F"/>
  </w:style>
  <w:style w:type="character" w:customStyle="1" w:styleId="Normalcharacter">
    <w:name w:val="Normal_character"/>
    <w:uiPriority w:val="99"/>
    <w:rsid w:val="00FF782F"/>
  </w:style>
  <w:style w:type="character" w:customStyle="1" w:styleId="Seccionescharacter">
    <w:name w:val="Secciones_character"/>
    <w:uiPriority w:val="99"/>
    <w:rsid w:val="00FF782F"/>
    <w:rPr>
      <w:b/>
      <w:sz w:val="24"/>
    </w:rPr>
  </w:style>
  <w:style w:type="paragraph" w:customStyle="1" w:styleId="Secciones">
    <w:name w:val="Secciones"/>
    <w:next w:val="Normal"/>
    <w:uiPriority w:val="99"/>
    <w:rsid w:val="00FF78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b/>
      <w:sz w:val="24"/>
      <w:lang w:val="es-ES" w:eastAsia="en-US"/>
    </w:rPr>
  </w:style>
  <w:style w:type="character" w:customStyle="1" w:styleId="Textoseccionescharacter">
    <w:name w:val="Texto secciones_character"/>
    <w:uiPriority w:val="99"/>
    <w:rsid w:val="00FF782F"/>
    <w:rPr>
      <w:color w:val="808080"/>
      <w:sz w:val="20"/>
    </w:rPr>
  </w:style>
  <w:style w:type="paragraph" w:customStyle="1" w:styleId="Textosecciones">
    <w:name w:val="Texto secciones"/>
    <w:next w:val="Normal"/>
    <w:uiPriority w:val="99"/>
    <w:rsid w:val="00FF78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8" w:line="276" w:lineRule="auto"/>
    </w:pPr>
    <w:rPr>
      <w:color w:val="808080"/>
      <w:sz w:val="20"/>
      <w:lang w:val="es-ES" w:eastAsia="en-US"/>
    </w:rPr>
  </w:style>
  <w:style w:type="character" w:customStyle="1" w:styleId="Titulodocumentocharacter">
    <w:name w:val="Titulo documento_character"/>
    <w:uiPriority w:val="99"/>
    <w:rsid w:val="00FF782F"/>
    <w:rPr>
      <w:b/>
      <w:sz w:val="48"/>
    </w:rPr>
  </w:style>
  <w:style w:type="paragraph" w:customStyle="1" w:styleId="Titulodocumento">
    <w:name w:val="Titulo documento"/>
    <w:next w:val="Normal"/>
    <w:uiPriority w:val="99"/>
    <w:rsid w:val="00FF78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b/>
      <w:sz w:val="48"/>
      <w:lang w:val="es-ES" w:eastAsia="en-US"/>
    </w:rPr>
  </w:style>
  <w:style w:type="character" w:customStyle="1" w:styleId="Footercharacter">
    <w:name w:val="Footer_character"/>
    <w:basedOn w:val="Refdenotaalpie"/>
    <w:uiPriority w:val="99"/>
    <w:rsid w:val="00FF782F"/>
    <w:rPr>
      <w:rFonts w:cs="Times New Roman"/>
      <w:sz w:val="20"/>
      <w:vertAlign w:val="superscript"/>
    </w:rPr>
  </w:style>
  <w:style w:type="character" w:customStyle="1" w:styleId="Quotecharacter">
    <w:name w:val="Quote_character"/>
    <w:uiPriority w:val="99"/>
    <w:rsid w:val="00FF782F"/>
    <w:rPr>
      <w:color w:val="000000"/>
    </w:rPr>
  </w:style>
  <w:style w:type="character" w:customStyle="1" w:styleId="Seccindocumentocharacter">
    <w:name w:val="Sección documento_character"/>
    <w:uiPriority w:val="99"/>
    <w:rsid w:val="00FF782F"/>
    <w:rPr>
      <w:b/>
      <w:sz w:val="24"/>
    </w:rPr>
  </w:style>
  <w:style w:type="paragraph" w:customStyle="1" w:styleId="Seccindocumento">
    <w:name w:val="Sección documento"/>
    <w:next w:val="Normal"/>
    <w:uiPriority w:val="99"/>
    <w:rsid w:val="00FF782F"/>
    <w:pPr>
      <w:pBdr>
        <w:top w:val="none" w:sz="4" w:space="0" w:color="000000"/>
        <w:left w:val="none" w:sz="4" w:space="0" w:color="000000"/>
        <w:bottom w:val="single" w:sz="8" w:space="0" w:color="808080"/>
        <w:right w:val="none" w:sz="4" w:space="0" w:color="000000"/>
        <w:between w:val="none" w:sz="4" w:space="0" w:color="000000"/>
      </w:pBdr>
      <w:spacing w:after="142" w:line="276" w:lineRule="auto"/>
    </w:pPr>
    <w:rPr>
      <w:b/>
      <w:sz w:val="24"/>
      <w:lang w:val="es-ES" w:eastAsia="en-US"/>
    </w:rPr>
  </w:style>
  <w:style w:type="paragraph" w:customStyle="1" w:styleId="Titulotabla">
    <w:name w:val="Titulo tabla"/>
    <w:next w:val="Normal"/>
    <w:uiPriority w:val="99"/>
    <w:rsid w:val="00FF78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3" w:after="57" w:line="276" w:lineRule="auto"/>
      <w:jc w:val="center"/>
    </w:pPr>
    <w:rPr>
      <w:color w:val="7F7F7F"/>
      <w:lang w:val="es-ES" w:eastAsia="en-US"/>
    </w:rPr>
  </w:style>
  <w:style w:type="paragraph" w:customStyle="1" w:styleId="Piedetabla">
    <w:name w:val="Pie de tabla"/>
    <w:next w:val="Normal"/>
    <w:uiPriority w:val="99"/>
    <w:rsid w:val="00FF78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85" w:after="283" w:line="276" w:lineRule="auto"/>
      <w:jc w:val="center"/>
    </w:pPr>
    <w:rPr>
      <w:color w:val="7F7F7F"/>
      <w:sz w:val="18"/>
      <w:lang w:val="es-ES" w:eastAsia="en-US"/>
    </w:rPr>
  </w:style>
  <w:style w:type="character" w:customStyle="1" w:styleId="fontstyle01">
    <w:name w:val="fontstyle01"/>
    <w:basedOn w:val="Fuentedeprrafopredeter"/>
    <w:uiPriority w:val="99"/>
    <w:rsid w:val="00D37B45"/>
    <w:rPr>
      <w:rFonts w:ascii="gobCL-Bold" w:hAnsi="gobCL-Bold" w:cs="Times New Roman"/>
      <w:b/>
      <w:bCs/>
      <w:color w:val="FFFFFF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37B45"/>
    <w:rPr>
      <w:rFonts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B62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718"/>
    <w:rPr>
      <w:rFonts w:ascii="Times New Roman" w:hAnsi="Times New Roman"/>
      <w:sz w:val="0"/>
      <w:szCs w:val="0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418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18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18A3"/>
    <w:rPr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8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8A3"/>
    <w:rPr>
      <w:b/>
      <w:bCs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ce.gob.pe/wp-content/uploads/2016/10/NAS-4-8-01-D-LEY-25977.pdf" TargetMode="External"/><Relationship Id="rId13" Type="http://schemas.openxmlformats.org/officeDocument/2006/relationships/hyperlink" Target="https://www.ecolex.org/details/legislation/ley-no-8436-ley-de-pesca-y-acuicultura-lex-faoc060829/" TargetMode="External"/><Relationship Id="rId3" Type="http://schemas.openxmlformats.org/officeDocument/2006/relationships/hyperlink" Target="http://www.fao.org/faoterm/es/?defaultCollId=21" TargetMode="External"/><Relationship Id="rId7" Type="http://schemas.openxmlformats.org/officeDocument/2006/relationships/hyperlink" Target="https://www.gov.za/sites/default/files/a18-98.pdf" TargetMode="External"/><Relationship Id="rId12" Type="http://schemas.openxmlformats.org/officeDocument/2006/relationships/hyperlink" Target="http://asisehace.gt/media/ley_general_de_pesca_y_acuicultura.pdf" TargetMode="External"/><Relationship Id="rId2" Type="http://schemas.openxmlformats.org/officeDocument/2006/relationships/hyperlink" Target="http://www.fao.org/docrep/005/X2465S/x2465s0g.htm" TargetMode="External"/><Relationship Id="rId16" Type="http://schemas.openxmlformats.org/officeDocument/2006/relationships/hyperlink" Target="http://bcn.cl/26mh7" TargetMode="External"/><Relationship Id="rId1" Type="http://schemas.openxmlformats.org/officeDocument/2006/relationships/hyperlink" Target="http://www.fao.org/docrep/005/X2465S/x2465s00.htm" TargetMode="External"/><Relationship Id="rId6" Type="http://schemas.openxmlformats.org/officeDocument/2006/relationships/hyperlink" Target="http://citeseerx.ist.psu.edu/viewdoc/download?doi=10.1.1.522.3966&amp;rep=rep1&amp;type=pdf" TargetMode="External"/><Relationship Id="rId11" Type="http://schemas.openxmlformats.org/officeDocument/2006/relationships/hyperlink" Target="http://www.acuaculturaypesca.gob.ec/wp-content/uploads/downloads/2017/12/Glosario-Proyecto-Ley-Pesca.pdf" TargetMode="External"/><Relationship Id="rId5" Type="http://schemas.openxmlformats.org/officeDocument/2006/relationships/hyperlink" Target="http://www.europarl.europa.eu/RegData/etudes/STUD/2017/601996/IPOL_STU(2017)601996_EN.pdf" TargetMode="External"/><Relationship Id="rId15" Type="http://schemas.openxmlformats.org/officeDocument/2006/relationships/hyperlink" Target="https://mexico.justia.com/federales/leyes/ley-general-de-pesca-y-acuacultura-sustentables/gdoc/" TargetMode="External"/><Relationship Id="rId10" Type="http://schemas.openxmlformats.org/officeDocument/2006/relationships/hyperlink" Target="https://app.vlex.com/" TargetMode="External"/><Relationship Id="rId4" Type="http://schemas.openxmlformats.org/officeDocument/2006/relationships/hyperlink" Target="https://onlinelibrary.wiley.com/doi/pdf/10.1002/9781444316315.gloss" TargetMode="External"/><Relationship Id="rId9" Type="http://schemas.openxmlformats.org/officeDocument/2006/relationships/hyperlink" Target="http://extwprlegs1.fao.org/docs/pdf/col3535.pdf" TargetMode="External"/><Relationship Id="rId14" Type="http://schemas.openxmlformats.org/officeDocument/2006/relationships/hyperlink" Target="http://legislacion.asamblea.gob.ni/Normaweb.nsf/($All)/1A666D4D9929B0F6062570A100583F5F?OpenDocume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4610-B2D5-4DA8-9E4D-42183E3C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Comportamiento del Presupuesto para Ley 18</vt:lpstr>
    </vt:vector>
  </TitlesOfParts>
  <Company>Hewlett-Packard Company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Comportamiento del Presupuesto para Ley 18</dc:title>
  <dc:subject/>
  <dc:creator>Baeza, Eduardo</dc:creator>
  <cp:keywords/>
  <dc:description/>
  <cp:lastModifiedBy>LRIVEROS</cp:lastModifiedBy>
  <cp:revision>2</cp:revision>
  <dcterms:created xsi:type="dcterms:W3CDTF">2018-09-04T20:50:00Z</dcterms:created>
  <dcterms:modified xsi:type="dcterms:W3CDTF">2018-09-04T20:50:00Z</dcterms:modified>
</cp:coreProperties>
</file>