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15" w:rsidRPr="00715615" w:rsidRDefault="00715615" w:rsidP="0071561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15615">
        <w:rPr>
          <w:rFonts w:ascii="Arial" w:hAnsi="Arial" w:cs="Arial"/>
          <w:b/>
          <w:sz w:val="24"/>
          <w:szCs w:val="24"/>
        </w:rPr>
        <w:t xml:space="preserve">MINUTA SOBRE LA DISCUSIÓN </w:t>
      </w:r>
      <w:r>
        <w:rPr>
          <w:rFonts w:ascii="Arial" w:hAnsi="Arial" w:cs="Arial"/>
          <w:b/>
          <w:sz w:val="24"/>
          <w:szCs w:val="24"/>
        </w:rPr>
        <w:t xml:space="preserve">ACERCA DE </w:t>
      </w:r>
      <w:r w:rsidRPr="00715615">
        <w:rPr>
          <w:rFonts w:ascii="Arial" w:hAnsi="Arial" w:cs="Arial"/>
          <w:b/>
          <w:sz w:val="24"/>
          <w:szCs w:val="24"/>
        </w:rPr>
        <w:t>LA CONSTITUCIONALIDAD DEL PROYECTO DE LEY QUE</w:t>
      </w:r>
      <w:r w:rsidRPr="00715615">
        <w:rPr>
          <w:b/>
        </w:rPr>
        <w:t xml:space="preserve"> </w:t>
      </w:r>
      <w:r w:rsidRPr="00715615">
        <w:rPr>
          <w:rFonts w:ascii="Arial" w:hAnsi="Arial" w:cs="Arial"/>
          <w:b/>
          <w:sz w:val="24"/>
          <w:szCs w:val="24"/>
        </w:rPr>
        <w:t>MODIFICA LA LEY GENERAL DE PESCA Y ACUICULTURA, CON EL OBJETO DE REGULAR LA CAPTURA DE LA JIBIA, BOLETÍN N° 9.489-21.</w:t>
      </w:r>
    </w:p>
    <w:p w:rsidR="00715615" w:rsidRDefault="00715615" w:rsidP="007156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3EA8" w:rsidRDefault="00B93EA8" w:rsidP="007156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5615" w:rsidRDefault="00715615" w:rsidP="0071561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medular </w:t>
      </w:r>
      <w:r w:rsidR="00880A96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proyecto</w:t>
      </w:r>
      <w:r w:rsidR="00880A96">
        <w:rPr>
          <w:rFonts w:ascii="Arial" w:hAnsi="Arial" w:cs="Arial"/>
          <w:sz w:val="24"/>
          <w:szCs w:val="24"/>
        </w:rPr>
        <w:t>, iniciado por moción de los Diputados señores Daniel Núñez y Víctor Torres,</w:t>
      </w:r>
      <w:r>
        <w:rPr>
          <w:rFonts w:ascii="Arial" w:hAnsi="Arial" w:cs="Arial"/>
          <w:sz w:val="24"/>
          <w:szCs w:val="24"/>
        </w:rPr>
        <w:t xml:space="preserve"> </w:t>
      </w:r>
      <w:r w:rsidR="00D86598">
        <w:rPr>
          <w:rFonts w:ascii="Arial" w:hAnsi="Arial" w:cs="Arial"/>
          <w:sz w:val="24"/>
          <w:szCs w:val="24"/>
        </w:rPr>
        <w:t xml:space="preserve">restringe a potera y línea de mano los </w:t>
      </w:r>
      <w:r w:rsidRPr="00715615">
        <w:rPr>
          <w:rFonts w:ascii="Arial" w:hAnsi="Arial" w:cs="Arial"/>
          <w:sz w:val="24"/>
          <w:szCs w:val="24"/>
        </w:rPr>
        <w:t>arte</w:t>
      </w:r>
      <w:r w:rsidR="00D86598">
        <w:rPr>
          <w:rFonts w:ascii="Arial" w:hAnsi="Arial" w:cs="Arial"/>
          <w:sz w:val="24"/>
          <w:szCs w:val="24"/>
        </w:rPr>
        <w:t>s</w:t>
      </w:r>
      <w:r w:rsidRPr="00715615">
        <w:rPr>
          <w:rFonts w:ascii="Arial" w:hAnsi="Arial" w:cs="Arial"/>
          <w:sz w:val="24"/>
          <w:szCs w:val="24"/>
        </w:rPr>
        <w:t xml:space="preserve"> </w:t>
      </w:r>
      <w:r w:rsidR="000B5FB5">
        <w:rPr>
          <w:rFonts w:ascii="Arial" w:hAnsi="Arial" w:cs="Arial"/>
          <w:sz w:val="24"/>
          <w:szCs w:val="24"/>
        </w:rPr>
        <w:t>y/o aparejo</w:t>
      </w:r>
      <w:r w:rsidR="00D86598">
        <w:rPr>
          <w:rFonts w:ascii="Arial" w:hAnsi="Arial" w:cs="Arial"/>
          <w:sz w:val="24"/>
          <w:szCs w:val="24"/>
        </w:rPr>
        <w:t>s</w:t>
      </w:r>
      <w:r w:rsidR="000B5FB5">
        <w:rPr>
          <w:rFonts w:ascii="Arial" w:hAnsi="Arial" w:cs="Arial"/>
          <w:sz w:val="24"/>
          <w:szCs w:val="24"/>
        </w:rPr>
        <w:t xml:space="preserve"> </w:t>
      </w:r>
      <w:r w:rsidR="00D86598">
        <w:rPr>
          <w:rFonts w:ascii="Arial" w:hAnsi="Arial" w:cs="Arial"/>
          <w:sz w:val="24"/>
          <w:szCs w:val="24"/>
        </w:rPr>
        <w:t xml:space="preserve">para la captura de </w:t>
      </w:r>
      <w:r>
        <w:rPr>
          <w:rFonts w:ascii="Arial" w:hAnsi="Arial" w:cs="Arial"/>
          <w:sz w:val="24"/>
          <w:szCs w:val="24"/>
        </w:rPr>
        <w:t xml:space="preserve">la jibia, </w:t>
      </w:r>
      <w:r w:rsidR="00D86598">
        <w:rPr>
          <w:rFonts w:ascii="Arial" w:hAnsi="Arial" w:cs="Arial"/>
          <w:sz w:val="24"/>
          <w:szCs w:val="24"/>
        </w:rPr>
        <w:t>y prohíbe cualquier otro</w:t>
      </w:r>
      <w:r>
        <w:rPr>
          <w:rFonts w:ascii="Arial" w:hAnsi="Arial" w:cs="Arial"/>
          <w:sz w:val="24"/>
          <w:szCs w:val="24"/>
        </w:rPr>
        <w:t>.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15615" w:rsidRDefault="00715615" w:rsidP="0071561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Ejecutivo sustenta la tesis </w:t>
      </w:r>
      <w:r w:rsidR="003D3DE3">
        <w:rPr>
          <w:rFonts w:ascii="Arial" w:hAnsi="Arial" w:cs="Arial"/>
          <w:sz w:val="24"/>
          <w:szCs w:val="24"/>
        </w:rPr>
        <w:t xml:space="preserve">de que </w:t>
      </w:r>
      <w:r>
        <w:rPr>
          <w:rFonts w:ascii="Arial" w:hAnsi="Arial" w:cs="Arial"/>
          <w:sz w:val="24"/>
          <w:szCs w:val="24"/>
        </w:rPr>
        <w:t xml:space="preserve">ello implica modificar </w:t>
      </w:r>
      <w:r w:rsidR="003D3DE3">
        <w:rPr>
          <w:rFonts w:ascii="Arial" w:hAnsi="Arial" w:cs="Arial"/>
          <w:sz w:val="24"/>
          <w:szCs w:val="24"/>
        </w:rPr>
        <w:t>una facultad de la Subsecretaría de Pesca y Acuicultura, contenida en la letra b) del artículo 4° de la Ley General de Pesca y Acuicultura, materia que el ordinal 2° del inciso cuarto del artículo 65 de la Constitución Política de la República reserva a la iniciativa exclusiva para legislar</w:t>
      </w:r>
      <w:r w:rsidR="00880A96">
        <w:rPr>
          <w:rFonts w:ascii="Arial" w:hAnsi="Arial" w:cs="Arial"/>
          <w:sz w:val="24"/>
          <w:szCs w:val="24"/>
        </w:rPr>
        <w:t xml:space="preserve"> del </w:t>
      </w:r>
      <w:r w:rsidR="003D3DE3">
        <w:rPr>
          <w:rFonts w:ascii="Arial" w:hAnsi="Arial" w:cs="Arial"/>
          <w:sz w:val="24"/>
          <w:szCs w:val="24"/>
        </w:rPr>
        <w:t>Presidente de la República.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D3DE3" w:rsidRDefault="003D3DE3" w:rsidP="0071561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agrega que históricamente la Subsecretaría ha sustentado la misma tesis.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25525" w:rsidRDefault="00D25525" w:rsidP="00D2552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 predicamento ha sostenido el Ejecutivo e</w:t>
      </w:r>
      <w:r w:rsidRPr="00D25525">
        <w:rPr>
          <w:rFonts w:ascii="Arial" w:hAnsi="Arial" w:cs="Arial"/>
          <w:sz w:val="24"/>
          <w:szCs w:val="24"/>
        </w:rPr>
        <w:t>n la discusión general del proyecto de ley que introduce diversas modificaciones a la Ley General de Pesca y Acuicultura y a la ley N° 20.657, Boletín Nº 10.190-21</w:t>
      </w:r>
      <w:r>
        <w:rPr>
          <w:rFonts w:ascii="Arial" w:hAnsi="Arial" w:cs="Arial"/>
          <w:sz w:val="24"/>
          <w:szCs w:val="24"/>
        </w:rPr>
        <w:t xml:space="preserve">, </w:t>
      </w:r>
      <w:r w:rsidRPr="00D25525">
        <w:rPr>
          <w:rFonts w:ascii="Arial" w:hAnsi="Arial" w:cs="Arial"/>
          <w:sz w:val="24"/>
          <w:szCs w:val="24"/>
        </w:rPr>
        <w:t>iniciado en Moción de los Honorables Senadores señoras Goic y Muñoz y señor Quinteros,</w:t>
      </w:r>
      <w:r>
        <w:rPr>
          <w:rFonts w:ascii="Arial" w:hAnsi="Arial" w:cs="Arial"/>
          <w:sz w:val="24"/>
          <w:szCs w:val="24"/>
        </w:rPr>
        <w:t xml:space="preserve"> oportunidad en que invocó también el artículo 5° de la Ley General de Pesca y Acuicultura en apoyo a su planteamiento. 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25525" w:rsidRDefault="00D25525" w:rsidP="00D2552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misma ocasión manifestó que la Subsecretaría de Pesca y Acuicultura ha ejercido la facultad mencionada en el numeral </w:t>
      </w:r>
      <w:r w:rsidR="006F01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supra a través del reglamento contenido en el decreto N° 408, del Ministerio de Economía, Fomento y Reconstrucción, de 1987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76A80" w:rsidRDefault="00376A80" w:rsidP="00D2552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Finalmente, en la discusión de este proyecto en la Comisión de Intereses Marítimos, Pesca y Acuicultura del Senado el Ejecutivo ha traído a colación que en la Cámara de Diputados encontraron acogida dos interpretaciones contradictorias sobre el particular objeto de la presente minuta. 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76A80" w:rsidRDefault="00376A80" w:rsidP="00D2552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la Cámara de Diputados resolvió </w:t>
      </w:r>
      <w:r w:rsidR="00375CFA">
        <w:rPr>
          <w:rFonts w:ascii="Arial" w:hAnsi="Arial" w:cs="Arial"/>
          <w:sz w:val="24"/>
          <w:szCs w:val="24"/>
        </w:rPr>
        <w:t xml:space="preserve">en definitiva </w:t>
      </w:r>
      <w:r>
        <w:rPr>
          <w:rFonts w:ascii="Arial" w:hAnsi="Arial" w:cs="Arial"/>
          <w:sz w:val="24"/>
          <w:szCs w:val="24"/>
        </w:rPr>
        <w:t>y se inclinó por la opción de la constitucionalidad de la iniciativa de ley y la comunicó al Senado, para que cumpliera el segundo trámite constitucional.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77C56" w:rsidRDefault="00E77C56" w:rsidP="00E77C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7C56">
        <w:rPr>
          <w:rFonts w:ascii="Arial" w:hAnsi="Arial" w:cs="Arial"/>
          <w:sz w:val="24"/>
          <w:szCs w:val="24"/>
        </w:rPr>
        <w:t xml:space="preserve">El artículo 4°, letra b), de la Ley General de Pesca y Acuicultura dispone </w:t>
      </w:r>
      <w:r>
        <w:rPr>
          <w:rFonts w:ascii="Arial" w:hAnsi="Arial" w:cs="Arial"/>
          <w:sz w:val="24"/>
          <w:szCs w:val="24"/>
        </w:rPr>
        <w:t>lo siguiente:</w:t>
      </w:r>
    </w:p>
    <w:p w:rsidR="00E77C56" w:rsidRPr="00E77C56" w:rsidRDefault="00E77C56" w:rsidP="00E77C5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77C56" w:rsidRDefault="00E77C56" w:rsidP="009B2C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77C5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Artículo 4°.- </w:t>
      </w:r>
      <w:r w:rsidRPr="00E77C56">
        <w:rPr>
          <w:rFonts w:ascii="Arial" w:hAnsi="Arial" w:cs="Arial"/>
          <w:sz w:val="24"/>
          <w:szCs w:val="24"/>
        </w:rPr>
        <w:t xml:space="preserve">En toda área de pesca, independientemente del régimen de acceso a que se encuentre sometida, la Subsecretaría, mediante resolución fundada, previa consulta al Consejo Zonal de Pesca que corresponda y comunicación previa al Comité Científico Técnico, podrá establecer una o más de las siguientes prohibiciones o medidas de administración de los recursos hidrobiológicos: </w:t>
      </w:r>
    </w:p>
    <w:p w:rsidR="00E77C56" w:rsidRDefault="00E77C56" w:rsidP="009B2C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77C56">
        <w:rPr>
          <w:rFonts w:ascii="Arial" w:hAnsi="Arial" w:cs="Arial"/>
          <w:sz w:val="24"/>
          <w:szCs w:val="24"/>
        </w:rPr>
        <w:t xml:space="preserve">…. </w:t>
      </w:r>
    </w:p>
    <w:p w:rsidR="00E77C56" w:rsidRDefault="00E77C56" w:rsidP="00E77C5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77C56">
        <w:rPr>
          <w:rFonts w:ascii="Arial" w:hAnsi="Arial" w:cs="Arial"/>
          <w:sz w:val="24"/>
          <w:szCs w:val="24"/>
        </w:rPr>
        <w:t>b) Fijación de las dimensiones y características de las artes y los aparejos de pesca.</w:t>
      </w:r>
    </w:p>
    <w:p w:rsidR="00A773CA" w:rsidRDefault="00A773CA" w:rsidP="00E77C5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41E3C" w:rsidRDefault="00E77C56" w:rsidP="00E77C5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77C56">
        <w:rPr>
          <w:rFonts w:ascii="Arial" w:hAnsi="Arial" w:cs="Arial"/>
          <w:sz w:val="24"/>
          <w:szCs w:val="24"/>
        </w:rPr>
        <w:t xml:space="preserve"> Prohíbese realizar actividades pesqueras extractivas en contravención a lo dispuesto en este artículo.</w:t>
      </w:r>
      <w:r>
        <w:rPr>
          <w:rFonts w:ascii="Arial" w:hAnsi="Arial" w:cs="Arial"/>
          <w:sz w:val="24"/>
          <w:szCs w:val="24"/>
        </w:rPr>
        <w:t>”.</w:t>
      </w:r>
    </w:p>
    <w:p w:rsidR="00A773CA" w:rsidRPr="00E77C56" w:rsidRDefault="00A773CA" w:rsidP="00E77C5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41E3C" w:rsidRDefault="00A41E3C" w:rsidP="0009356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9356C">
        <w:rPr>
          <w:rFonts w:ascii="Arial" w:hAnsi="Arial" w:cs="Arial"/>
          <w:sz w:val="24"/>
          <w:szCs w:val="24"/>
        </w:rPr>
        <w:t xml:space="preserve">Los aparejos de pesca están definidos en el numeral 5) del artículo 2° de la Ley General de Pesca y Acuicultura, como </w:t>
      </w:r>
      <w:r w:rsidR="0009356C">
        <w:rPr>
          <w:rFonts w:ascii="Arial" w:hAnsi="Arial" w:cs="Arial"/>
          <w:sz w:val="24"/>
          <w:szCs w:val="24"/>
        </w:rPr>
        <w:t>“</w:t>
      </w:r>
      <w:r w:rsidR="0009356C" w:rsidRPr="0009356C">
        <w:rPr>
          <w:rFonts w:ascii="Arial" w:hAnsi="Arial" w:cs="Arial"/>
          <w:sz w:val="24"/>
          <w:szCs w:val="24"/>
        </w:rPr>
        <w:t>sistema o                                 artificio de pesca preparado para la captura de recursos hidrobiológicos, formado por líneas o cabos con anzuelos o con otros útiles que, en general, sean aptos para dicho fin, pero sin utilizar paños de redes.</w:t>
      </w:r>
      <w:r w:rsidR="0009356C">
        <w:rPr>
          <w:rFonts w:ascii="Arial" w:hAnsi="Arial" w:cs="Arial"/>
          <w:sz w:val="24"/>
          <w:szCs w:val="24"/>
        </w:rPr>
        <w:t>”.</w:t>
      </w:r>
      <w:r w:rsidR="007E3F9F">
        <w:rPr>
          <w:rFonts w:ascii="Arial" w:hAnsi="Arial" w:cs="Arial"/>
          <w:sz w:val="24"/>
          <w:szCs w:val="24"/>
        </w:rPr>
        <w:t xml:space="preserve"> Estos se utilizan en la captura de la jibia.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9356C" w:rsidRDefault="0009356C" w:rsidP="007E3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3F9F">
        <w:rPr>
          <w:rFonts w:ascii="Arial" w:hAnsi="Arial" w:cs="Arial"/>
          <w:sz w:val="24"/>
          <w:szCs w:val="24"/>
        </w:rPr>
        <w:t xml:space="preserve"> Las artes de pesca están definidas en el numeral </w:t>
      </w:r>
      <w:r w:rsidR="007E3F9F" w:rsidRPr="007E3F9F">
        <w:rPr>
          <w:rFonts w:ascii="Arial" w:hAnsi="Arial" w:cs="Arial"/>
          <w:sz w:val="24"/>
          <w:szCs w:val="24"/>
        </w:rPr>
        <w:t>9</w:t>
      </w:r>
      <w:r w:rsidRPr="007E3F9F">
        <w:rPr>
          <w:rFonts w:ascii="Arial" w:hAnsi="Arial" w:cs="Arial"/>
          <w:sz w:val="24"/>
          <w:szCs w:val="24"/>
        </w:rPr>
        <w:t>) del artículo 2° de la Ley General de Pesca y Acuicultura, como</w:t>
      </w:r>
      <w:r w:rsidR="007E3F9F" w:rsidRPr="007E3F9F">
        <w:rPr>
          <w:rFonts w:ascii="Arial" w:hAnsi="Arial" w:cs="Arial"/>
          <w:sz w:val="24"/>
          <w:szCs w:val="24"/>
        </w:rPr>
        <w:t xml:space="preserve"> </w:t>
      </w:r>
      <w:r w:rsidR="008560B8">
        <w:rPr>
          <w:rFonts w:ascii="Arial" w:hAnsi="Arial" w:cs="Arial"/>
          <w:sz w:val="24"/>
          <w:szCs w:val="24"/>
        </w:rPr>
        <w:t>“</w:t>
      </w:r>
      <w:r w:rsidR="007E3F9F" w:rsidRPr="007E3F9F">
        <w:rPr>
          <w:rFonts w:ascii="Arial" w:hAnsi="Arial" w:cs="Arial"/>
          <w:sz w:val="24"/>
          <w:szCs w:val="24"/>
        </w:rPr>
        <w:t xml:space="preserve">sistema o artificio de </w:t>
      </w:r>
      <w:r w:rsidR="007E3F9F" w:rsidRPr="007E3F9F">
        <w:rPr>
          <w:rFonts w:ascii="Arial" w:hAnsi="Arial" w:cs="Arial"/>
          <w:sz w:val="24"/>
          <w:szCs w:val="24"/>
        </w:rPr>
        <w:lastRenderedPageBreak/>
        <w:t>pesca preparado para la captura de recursos hidrobiológicos, formado principalmente con paños de redes.</w:t>
      </w:r>
      <w:r w:rsidR="007E3F9F">
        <w:rPr>
          <w:rFonts w:ascii="Arial" w:hAnsi="Arial" w:cs="Arial"/>
          <w:sz w:val="24"/>
          <w:szCs w:val="24"/>
        </w:rPr>
        <w:t>”.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E77C56" w:rsidRDefault="009B2CEC" w:rsidP="00E77C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demás literales del artículo 4° discurren sobre tamaños y pesos mínimos de extracción, dispositivos o utensilios para evitar la captura de fauna acompañante o incidental, utensilios para liberar ejemplares capturados incidentalmente y buenas prácticas para minimizar o mitigar la captura incidental.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901F4" w:rsidRDefault="006901F4" w:rsidP="00E77C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 evidente que fijar dimensiones y características de artes y aparejos de pesca no puede confundirse con la posibilidad de prohibirlos, como se verá más adelante.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B2CEC" w:rsidRDefault="009B2CEC" w:rsidP="00E77C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artículo 5° de la Ley General de Pesca y Acuicultura prohíbe las actividades pesqueras extractivas con artes, aparejos y otros implementos de pesca que afecten el fondo marino, en la primera milla. Acto seguido, luego del punto y coma que cierra la oración que contiene la primera prohibición, establece igual prohibición en aguas interiores, en la forma que determine el reglamento.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901F4" w:rsidRDefault="006901F4" w:rsidP="00E77C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Las prohibiciones siempre deben interpretarse y aplicarse con un criterio estricto y restrictivo. Todas las prohibiciones del artículo 5° están referidas a áreas geográficas y no a especies de recursos marinos. Las referidas al fondo marino, aguas interiores, bahías y áreas entre puntos notables quedan para ser reguladas por actos administrativos propios de la potestad reglamentaria. 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901F4" w:rsidRDefault="006901F4" w:rsidP="00E77C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lo expuesto es posible concluir que la ley no ha conferido a la Subsecretaría de Pesca y Acuicultura una facultad amplia para regular to</w:t>
      </w:r>
      <w:r w:rsidR="008560B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lo relativo a artes </w:t>
      </w:r>
      <w:r w:rsidR="00880A96">
        <w:rPr>
          <w:rFonts w:ascii="Arial" w:hAnsi="Arial" w:cs="Arial"/>
          <w:sz w:val="24"/>
          <w:szCs w:val="24"/>
        </w:rPr>
        <w:t xml:space="preserve">y aparejos </w:t>
      </w:r>
      <w:r>
        <w:rPr>
          <w:rFonts w:ascii="Arial" w:hAnsi="Arial" w:cs="Arial"/>
          <w:sz w:val="24"/>
          <w:szCs w:val="24"/>
        </w:rPr>
        <w:t xml:space="preserve">de pesca, sino que le otorga </w:t>
      </w:r>
      <w:r w:rsidR="00043846">
        <w:rPr>
          <w:rFonts w:ascii="Arial" w:hAnsi="Arial" w:cs="Arial"/>
          <w:sz w:val="24"/>
          <w:szCs w:val="24"/>
        </w:rPr>
        <w:t>atribuciones</w:t>
      </w:r>
      <w:r>
        <w:rPr>
          <w:rFonts w:ascii="Arial" w:hAnsi="Arial" w:cs="Arial"/>
          <w:sz w:val="24"/>
          <w:szCs w:val="24"/>
        </w:rPr>
        <w:t xml:space="preserve"> defini</w:t>
      </w:r>
      <w:r w:rsidR="00043846">
        <w:rPr>
          <w:rFonts w:ascii="Arial" w:hAnsi="Arial" w:cs="Arial"/>
          <w:sz w:val="24"/>
          <w:szCs w:val="24"/>
        </w:rPr>
        <w:t>das en forma muy precisa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43846" w:rsidRDefault="00043846" w:rsidP="00777D6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Ejecutivo invoca el artículo 5° del reglamento contenido en el decreto N° 408, del Ministerio de Economía, Fomento y Reconstrucción, de 1987, aludido en el numeral 5 supra de esta minuta. Dicho cuerpo normativo no confiere facultad expresa alguna al Ministerio de </w:t>
      </w:r>
      <w:r>
        <w:rPr>
          <w:rFonts w:ascii="Arial" w:hAnsi="Arial" w:cs="Arial"/>
          <w:sz w:val="24"/>
          <w:szCs w:val="24"/>
        </w:rPr>
        <w:lastRenderedPageBreak/>
        <w:t xml:space="preserve">Economía, Fomento y Turismo ni a la Subsecretaría de Pesca. </w:t>
      </w:r>
      <w:r w:rsidR="00777D6B">
        <w:rPr>
          <w:rFonts w:ascii="Arial" w:hAnsi="Arial" w:cs="Arial"/>
          <w:sz w:val="24"/>
          <w:szCs w:val="24"/>
        </w:rPr>
        <w:t xml:space="preserve">Él contiene </w:t>
      </w:r>
      <w:r w:rsidR="00777D6B" w:rsidRPr="00777D6B">
        <w:rPr>
          <w:rFonts w:ascii="Arial" w:hAnsi="Arial" w:cs="Arial"/>
          <w:sz w:val="24"/>
          <w:szCs w:val="24"/>
        </w:rPr>
        <w:t>prohib</w:t>
      </w:r>
      <w:r w:rsidR="00777D6B">
        <w:rPr>
          <w:rFonts w:ascii="Arial" w:hAnsi="Arial" w:cs="Arial"/>
          <w:sz w:val="24"/>
          <w:szCs w:val="24"/>
        </w:rPr>
        <w:t>iciones</w:t>
      </w:r>
      <w:r w:rsidR="00777D6B" w:rsidRPr="00777D6B">
        <w:rPr>
          <w:rFonts w:ascii="Arial" w:hAnsi="Arial" w:cs="Arial"/>
          <w:sz w:val="24"/>
          <w:szCs w:val="24"/>
        </w:rPr>
        <w:t xml:space="preserve"> </w:t>
      </w:r>
      <w:r w:rsidR="00777D6B">
        <w:rPr>
          <w:rFonts w:ascii="Arial" w:hAnsi="Arial" w:cs="Arial"/>
          <w:sz w:val="24"/>
          <w:szCs w:val="24"/>
        </w:rPr>
        <w:t xml:space="preserve">de </w:t>
      </w:r>
      <w:r w:rsidR="00777D6B" w:rsidRPr="00777D6B">
        <w:rPr>
          <w:rFonts w:ascii="Arial" w:hAnsi="Arial" w:cs="Arial"/>
          <w:sz w:val="24"/>
          <w:szCs w:val="24"/>
        </w:rPr>
        <w:t>uso de artes de pesca de arrastre y de cerco en las áreas que indica</w:t>
      </w:r>
      <w:r w:rsidR="00777D6B">
        <w:rPr>
          <w:rFonts w:ascii="Arial" w:hAnsi="Arial" w:cs="Arial"/>
          <w:sz w:val="24"/>
          <w:szCs w:val="24"/>
        </w:rPr>
        <w:t xml:space="preserve">, basado en la Ley </w:t>
      </w:r>
      <w:r w:rsidR="00777D6B" w:rsidRPr="00777D6B">
        <w:rPr>
          <w:rFonts w:ascii="Arial" w:hAnsi="Arial" w:cs="Arial"/>
          <w:sz w:val="24"/>
          <w:szCs w:val="24"/>
        </w:rPr>
        <w:t>sobre la Industria Pesquera y sus Derivados</w:t>
      </w:r>
      <w:r w:rsidR="00777D6B">
        <w:rPr>
          <w:rFonts w:ascii="Arial" w:hAnsi="Arial" w:cs="Arial"/>
          <w:sz w:val="24"/>
          <w:szCs w:val="24"/>
        </w:rPr>
        <w:t>, contenida en el decreto con fuerza de ley N° 5, del Ministerio de Economía, Fomento y Reconstrucción, de 1983.</w:t>
      </w:r>
    </w:p>
    <w:p w:rsidR="00B05275" w:rsidRPr="00B05275" w:rsidRDefault="00B05275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6217C" w:rsidRDefault="00C6217C" w:rsidP="00C6217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217C">
        <w:rPr>
          <w:rFonts w:ascii="Arial" w:hAnsi="Arial" w:cs="Arial"/>
          <w:sz w:val="24"/>
          <w:szCs w:val="24"/>
        </w:rPr>
        <w:t xml:space="preserve"> La única prohibición que allí se encuentra es la del artículo 19, número 2, letra d), que faculta al Departamento de Pesquerías de la Subsecretaría para estudiar y proponer prohibiciones o medidas de administración de recursos hidrobiológicos.</w:t>
      </w:r>
      <w:r>
        <w:rPr>
          <w:rFonts w:ascii="Arial" w:hAnsi="Arial" w:cs="Arial"/>
          <w:sz w:val="24"/>
          <w:szCs w:val="24"/>
        </w:rPr>
        <w:t xml:space="preserve"> Recursos, no artes </w:t>
      </w:r>
      <w:r w:rsidR="00EA5189">
        <w:rPr>
          <w:rFonts w:ascii="Arial" w:hAnsi="Arial" w:cs="Arial"/>
          <w:sz w:val="24"/>
          <w:szCs w:val="24"/>
        </w:rPr>
        <w:t xml:space="preserve">ni aparejos </w:t>
      </w:r>
      <w:r>
        <w:rPr>
          <w:rFonts w:ascii="Arial" w:hAnsi="Arial" w:cs="Arial"/>
          <w:sz w:val="24"/>
          <w:szCs w:val="24"/>
        </w:rPr>
        <w:t>de pesca</w:t>
      </w:r>
      <w:r w:rsidR="00BE3921">
        <w:rPr>
          <w:rFonts w:ascii="Arial" w:hAnsi="Arial" w:cs="Arial"/>
          <w:sz w:val="24"/>
          <w:szCs w:val="24"/>
        </w:rPr>
        <w:t>, por lo que cabe reiterar aquí lo expresado en el numeral 1</w:t>
      </w:r>
      <w:r w:rsidR="006F01EC">
        <w:rPr>
          <w:rFonts w:ascii="Arial" w:hAnsi="Arial" w:cs="Arial"/>
          <w:sz w:val="24"/>
          <w:szCs w:val="24"/>
        </w:rPr>
        <w:t>4</w:t>
      </w:r>
      <w:r w:rsidR="00BE3921">
        <w:rPr>
          <w:rFonts w:ascii="Arial" w:hAnsi="Arial" w:cs="Arial"/>
          <w:sz w:val="24"/>
          <w:szCs w:val="24"/>
        </w:rPr>
        <w:t xml:space="preserve"> supra, en cuanto al criterio estricto y restrictivo con que deben interpretarse y aplicarse las prohibiciones.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E3F9F" w:rsidRDefault="007E3F9F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Ahora bien, las artes y los aparejos de pesca son medios para adquirir por ocupación el dominio de recursos hidrobiológicos, al tenor de los artículos 606, 607 y 608 del Código Civil:</w:t>
      </w:r>
    </w:p>
    <w:p w:rsidR="00A773CA" w:rsidRPr="00A773CA" w:rsidRDefault="00A773CA" w:rsidP="00A773C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E3F9F" w:rsidRPr="00B05275" w:rsidRDefault="007E3F9F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>“Art. 606. Por la ocupación se adquiere el dominio de las cosas que no pertenecen a nadie, y cuya adquisición no es prohibida por las leyes chilenas, o por el Derecho Internacional.</w:t>
      </w:r>
    </w:p>
    <w:p w:rsidR="00A773CA" w:rsidRPr="007E3F9F" w:rsidRDefault="00A773CA" w:rsidP="007E3F9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7E3F9F" w:rsidRPr="00B05275" w:rsidRDefault="007E3F9F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>Art. 607. La caza y pesca son especies de ocupación por las cuales se adquiere el dominio de los animales bravíos.</w:t>
      </w:r>
    </w:p>
    <w:p w:rsidR="00A773CA" w:rsidRPr="007E3F9F" w:rsidRDefault="00A773CA" w:rsidP="007E3F9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7E3F9F" w:rsidRPr="00B05275" w:rsidRDefault="007E3F9F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 xml:space="preserve">Art. 608. Se llaman animales bravíos o salvajes los que viven naturalmente libres e independientes del hombre, como las fieras y los peces; </w:t>
      </w:r>
      <w:r w:rsidR="00D86598" w:rsidRPr="00B05275">
        <w:rPr>
          <w:rFonts w:ascii="Arial" w:hAnsi="Arial" w:cs="Arial"/>
          <w:sz w:val="24"/>
          <w:szCs w:val="24"/>
        </w:rPr>
        <w:t>.</w:t>
      </w:r>
      <w:r w:rsidRPr="00B05275">
        <w:rPr>
          <w:rFonts w:ascii="Arial" w:hAnsi="Arial" w:cs="Arial"/>
          <w:sz w:val="24"/>
          <w:szCs w:val="24"/>
        </w:rPr>
        <w:t>…”.</w:t>
      </w:r>
    </w:p>
    <w:p w:rsidR="00B05275" w:rsidRPr="007E3F9F" w:rsidRDefault="00B05275" w:rsidP="007E3F9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2A3E58" w:rsidRPr="00B05275" w:rsidRDefault="002A3E58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>El ordinal 23° del artículo 19 de la Constitución Política de la República asegura a todas las personas “La libertad para adquirir el dominio de toda clase de bienes, excepto aquellos que la naturaleza ha hecho comunes a todos los hombres o que deban pertenecer a la Nación toda y la ley lo declare así. Lo anterior es sin perjuicio de lo prescrito en otros preceptos de esta Constitución.</w:t>
      </w:r>
    </w:p>
    <w:p w:rsidR="00A773CA" w:rsidRPr="00B05275" w:rsidRDefault="00A773CA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84D41" w:rsidRDefault="002A3E58" w:rsidP="00684D4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84D41">
        <w:rPr>
          <w:rFonts w:ascii="Arial" w:hAnsi="Arial" w:cs="Arial"/>
          <w:sz w:val="24"/>
          <w:szCs w:val="24"/>
        </w:rPr>
        <w:lastRenderedPageBreak/>
        <w:t xml:space="preserve">Una ley de quórum calificado y cuando así lo exija el interés nacional puede establecer limitaciones o requisitos para la adquisición del dominio de algunos </w:t>
      </w:r>
      <w:proofErr w:type="gramStart"/>
      <w:r w:rsidRPr="00684D41">
        <w:rPr>
          <w:rFonts w:ascii="Arial" w:hAnsi="Arial" w:cs="Arial"/>
          <w:sz w:val="24"/>
          <w:szCs w:val="24"/>
        </w:rPr>
        <w:t>bienes; ….</w:t>
      </w:r>
      <w:proofErr w:type="gramEnd"/>
      <w:r w:rsidRPr="00684D41">
        <w:rPr>
          <w:rFonts w:ascii="Arial" w:hAnsi="Arial" w:cs="Arial"/>
          <w:sz w:val="24"/>
          <w:szCs w:val="24"/>
        </w:rPr>
        <w:t>”.</w:t>
      </w:r>
    </w:p>
    <w:p w:rsidR="005605E3" w:rsidRPr="00684D41" w:rsidRDefault="005605E3" w:rsidP="00684D4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84D41" w:rsidRPr="00684D41" w:rsidRDefault="00684D41" w:rsidP="00684D4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84D41">
        <w:rPr>
          <w:rFonts w:ascii="Arial" w:hAnsi="Arial" w:cs="Arial"/>
          <w:sz w:val="24"/>
          <w:szCs w:val="24"/>
        </w:rPr>
        <w:t xml:space="preserve"> Ahora bien, </w:t>
      </w:r>
      <w:r w:rsidR="003D0664">
        <w:rPr>
          <w:rFonts w:ascii="Arial" w:hAnsi="Arial" w:cs="Arial"/>
          <w:sz w:val="24"/>
          <w:szCs w:val="24"/>
        </w:rPr>
        <w:t xml:space="preserve">esta norma </w:t>
      </w:r>
      <w:r w:rsidRPr="00684D41">
        <w:rPr>
          <w:rFonts w:ascii="Arial" w:hAnsi="Arial" w:cs="Arial"/>
          <w:sz w:val="24"/>
          <w:szCs w:val="24"/>
        </w:rPr>
        <w:t>debe interpretarse en concordancia y armonía con el ordinal 26° del mismo artículo 19 de la Carta Fundamental</w:t>
      </w:r>
      <w:r>
        <w:rPr>
          <w:rFonts w:ascii="Arial" w:hAnsi="Arial" w:cs="Arial"/>
          <w:sz w:val="24"/>
          <w:szCs w:val="24"/>
        </w:rPr>
        <w:t>,</w:t>
      </w:r>
      <w:r w:rsidRPr="00684D41">
        <w:rPr>
          <w:rFonts w:ascii="Arial" w:hAnsi="Arial" w:cs="Arial"/>
          <w:sz w:val="24"/>
          <w:szCs w:val="24"/>
        </w:rPr>
        <w:t xml:space="preserve"> que dispone que “los preceptos legales que por mandato de la Constitución regulen o complementen las garantías que ésta establece o que las limiten en los casos en que ella lo autoriza, no podrán afectar los derechos en su esencia, ni imponer condiciones, tributos o requisitos que impidan su libre ejercicio.</w:t>
      </w:r>
    </w:p>
    <w:p w:rsidR="00684D41" w:rsidRPr="00684D41" w:rsidRDefault="00684D41" w:rsidP="00684D4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B6D1C" w:rsidRDefault="00684D41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Entonces, una norma que </w:t>
      </w:r>
      <w:r w:rsidR="003D0664">
        <w:rPr>
          <w:rFonts w:ascii="Arial" w:hAnsi="Arial" w:cs="Arial"/>
          <w:sz w:val="24"/>
          <w:szCs w:val="24"/>
        </w:rPr>
        <w:t xml:space="preserve">prohíba o </w:t>
      </w:r>
      <w:r>
        <w:rPr>
          <w:rFonts w:ascii="Arial" w:hAnsi="Arial" w:cs="Arial"/>
          <w:sz w:val="24"/>
          <w:szCs w:val="24"/>
        </w:rPr>
        <w:t>limit</w:t>
      </w:r>
      <w:r w:rsidR="003D06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33453">
        <w:rPr>
          <w:rFonts w:ascii="Arial" w:hAnsi="Arial" w:cs="Arial"/>
          <w:sz w:val="24"/>
          <w:szCs w:val="24"/>
        </w:rPr>
        <w:t xml:space="preserve">un medio para ejercer </w:t>
      </w:r>
      <w:r>
        <w:rPr>
          <w:rFonts w:ascii="Arial" w:hAnsi="Arial" w:cs="Arial"/>
          <w:sz w:val="24"/>
          <w:szCs w:val="24"/>
        </w:rPr>
        <w:t>un modo de adquirir el dominio, modo que obviamente es de la esencia del derecho asegurado, debe tener la jerarquía suficiente, esto es, debe ser de rango legal</w:t>
      </w:r>
      <w:r w:rsidR="004B6D1C" w:rsidRPr="00B05275">
        <w:rPr>
          <w:rFonts w:ascii="Arial" w:hAnsi="Arial" w:cs="Arial"/>
          <w:sz w:val="24"/>
          <w:szCs w:val="24"/>
        </w:rPr>
        <w:t>.</w:t>
      </w:r>
    </w:p>
    <w:p w:rsidR="00B05275" w:rsidRPr="00B05275" w:rsidRDefault="00B05275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A3E58" w:rsidRDefault="00684D41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Más aún, la </w:t>
      </w:r>
      <w:r w:rsidR="002A3E58" w:rsidRPr="00B05275">
        <w:rPr>
          <w:rFonts w:ascii="Arial" w:hAnsi="Arial" w:cs="Arial"/>
          <w:sz w:val="24"/>
          <w:szCs w:val="24"/>
        </w:rPr>
        <w:t xml:space="preserve">prohibición de </w:t>
      </w:r>
      <w:r>
        <w:rPr>
          <w:rFonts w:ascii="Arial" w:hAnsi="Arial" w:cs="Arial"/>
          <w:sz w:val="24"/>
          <w:szCs w:val="24"/>
        </w:rPr>
        <w:t xml:space="preserve">un </w:t>
      </w:r>
      <w:r w:rsidR="00433453">
        <w:rPr>
          <w:rFonts w:ascii="Arial" w:hAnsi="Arial" w:cs="Arial"/>
          <w:sz w:val="24"/>
          <w:szCs w:val="24"/>
        </w:rPr>
        <w:t xml:space="preserve">medio para ejercer un </w:t>
      </w:r>
      <w:r>
        <w:rPr>
          <w:rFonts w:ascii="Arial" w:hAnsi="Arial" w:cs="Arial"/>
          <w:sz w:val="24"/>
          <w:szCs w:val="24"/>
        </w:rPr>
        <w:t xml:space="preserve">modo de </w:t>
      </w:r>
      <w:r w:rsidR="002A3E58" w:rsidRPr="00B05275">
        <w:rPr>
          <w:rFonts w:ascii="Arial" w:hAnsi="Arial" w:cs="Arial"/>
          <w:sz w:val="24"/>
          <w:szCs w:val="24"/>
        </w:rPr>
        <w:t xml:space="preserve">adquirir el dominio de recursos hidrobiológicos, como es el caso en la especie, es materia no sólo de ley, sino de ley de quórum calificado; esto es, debe ser aprobada por la mayoría absoluta de los diputados y senadores en ejercicio, de acuerdo con el </w:t>
      </w:r>
      <w:r>
        <w:rPr>
          <w:rFonts w:ascii="Arial" w:hAnsi="Arial" w:cs="Arial"/>
          <w:sz w:val="24"/>
          <w:szCs w:val="24"/>
        </w:rPr>
        <w:t xml:space="preserve">ya citado </w:t>
      </w:r>
      <w:r w:rsidR="002A3E58" w:rsidRPr="00B05275">
        <w:rPr>
          <w:rFonts w:ascii="Arial" w:hAnsi="Arial" w:cs="Arial"/>
          <w:sz w:val="24"/>
          <w:szCs w:val="24"/>
        </w:rPr>
        <w:t xml:space="preserve">artículo </w:t>
      </w:r>
      <w:r>
        <w:rPr>
          <w:rFonts w:ascii="Arial" w:hAnsi="Arial" w:cs="Arial"/>
          <w:sz w:val="24"/>
          <w:szCs w:val="24"/>
        </w:rPr>
        <w:t xml:space="preserve">19, ordinal 23°, y el artículo </w:t>
      </w:r>
      <w:r w:rsidR="002A3E58" w:rsidRPr="00B05275">
        <w:rPr>
          <w:rFonts w:ascii="Arial" w:hAnsi="Arial" w:cs="Arial"/>
          <w:sz w:val="24"/>
          <w:szCs w:val="24"/>
        </w:rPr>
        <w:t>66 de la Carta Fundamental.</w:t>
      </w:r>
    </w:p>
    <w:p w:rsidR="00B05275" w:rsidRPr="00B05275" w:rsidRDefault="003230BC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05275" w:rsidRDefault="002A3E58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 xml:space="preserve">Cómo se ha visto, la alegada facultad de la Subsecretaría de Pesca y Acuicultura para reglar tales prohibiciones se asienta en normas de nivel reglamentario y no encuentra asidero en alguna disposición de </w:t>
      </w:r>
      <w:r w:rsidR="004B6D1C" w:rsidRPr="00B05275">
        <w:rPr>
          <w:rFonts w:ascii="Arial" w:hAnsi="Arial" w:cs="Arial"/>
          <w:sz w:val="24"/>
          <w:szCs w:val="24"/>
        </w:rPr>
        <w:t>orden</w:t>
      </w:r>
      <w:r w:rsidRPr="00B05275">
        <w:rPr>
          <w:rFonts w:ascii="Arial" w:hAnsi="Arial" w:cs="Arial"/>
          <w:sz w:val="24"/>
          <w:szCs w:val="24"/>
        </w:rPr>
        <w:t xml:space="preserve"> legal.</w:t>
      </w:r>
    </w:p>
    <w:p w:rsidR="00B05275" w:rsidRPr="00B05275" w:rsidRDefault="00B05275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A3E58" w:rsidRDefault="002A3E58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 xml:space="preserve">Refrendan este criterio numerosas disposiciones de la Ley General de Pesca y Acuicultura que </w:t>
      </w:r>
      <w:r w:rsidR="00684D41">
        <w:rPr>
          <w:rFonts w:ascii="Arial" w:hAnsi="Arial" w:cs="Arial"/>
          <w:sz w:val="24"/>
          <w:szCs w:val="24"/>
        </w:rPr>
        <w:t>instituyen</w:t>
      </w:r>
      <w:r w:rsidR="00684D41" w:rsidRPr="00B05275">
        <w:rPr>
          <w:rFonts w:ascii="Arial" w:hAnsi="Arial" w:cs="Arial"/>
          <w:sz w:val="24"/>
          <w:szCs w:val="24"/>
        </w:rPr>
        <w:t xml:space="preserve"> </w:t>
      </w:r>
      <w:r w:rsidRPr="00B05275">
        <w:rPr>
          <w:rFonts w:ascii="Arial" w:hAnsi="Arial" w:cs="Arial"/>
          <w:sz w:val="24"/>
          <w:szCs w:val="24"/>
        </w:rPr>
        <w:t xml:space="preserve">prohibiciones: artículos 5° bis, 12, </w:t>
      </w:r>
      <w:r w:rsidR="00B05275">
        <w:rPr>
          <w:rFonts w:ascii="Arial" w:hAnsi="Arial" w:cs="Arial"/>
          <w:sz w:val="24"/>
          <w:szCs w:val="24"/>
        </w:rPr>
        <w:br/>
      </w:r>
      <w:r w:rsidRPr="00B05275">
        <w:rPr>
          <w:rFonts w:ascii="Arial" w:hAnsi="Arial" w:cs="Arial"/>
          <w:sz w:val="24"/>
          <w:szCs w:val="24"/>
        </w:rPr>
        <w:t>13 E, 49, 64 G, 69, 70, 86, 107, 115, 115 bis, y 162.</w:t>
      </w:r>
    </w:p>
    <w:p w:rsidR="00B05275" w:rsidRPr="00B05275" w:rsidRDefault="00B05275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A3E58" w:rsidRDefault="00E1517E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 xml:space="preserve">En conclusión, </w:t>
      </w:r>
      <w:r w:rsidR="00A773CA" w:rsidRPr="00B05275">
        <w:rPr>
          <w:rFonts w:ascii="Arial" w:hAnsi="Arial" w:cs="Arial"/>
          <w:sz w:val="24"/>
          <w:szCs w:val="24"/>
        </w:rPr>
        <w:t xml:space="preserve">el proyecto de ley que modifica la Ley General de Pesca y Acuicultura con el objeto de regular la captura de la jibia, Boletín </w:t>
      </w:r>
      <w:r w:rsidR="00A773CA" w:rsidRPr="00B05275">
        <w:rPr>
          <w:rFonts w:ascii="Arial" w:hAnsi="Arial" w:cs="Arial"/>
          <w:sz w:val="24"/>
          <w:szCs w:val="24"/>
        </w:rPr>
        <w:br/>
        <w:t xml:space="preserve">N° 9.489-21, no adolece de un vicio de inconstitucionalidad, ya que no </w:t>
      </w:r>
      <w:r w:rsidR="00A773CA" w:rsidRPr="00B05275">
        <w:rPr>
          <w:rFonts w:ascii="Arial" w:hAnsi="Arial" w:cs="Arial"/>
          <w:sz w:val="24"/>
          <w:szCs w:val="24"/>
        </w:rPr>
        <w:lastRenderedPageBreak/>
        <w:t>modifica alguna función o atribución que la ley haya dado a un servicio o funcionario público</w:t>
      </w:r>
      <w:r w:rsidR="00375CFA">
        <w:rPr>
          <w:rFonts w:ascii="Arial" w:hAnsi="Arial" w:cs="Arial"/>
          <w:sz w:val="24"/>
          <w:szCs w:val="24"/>
        </w:rPr>
        <w:t>; además</w:t>
      </w:r>
      <w:r w:rsidR="00A773CA" w:rsidRPr="00B05275">
        <w:rPr>
          <w:rFonts w:ascii="Arial" w:hAnsi="Arial" w:cs="Arial"/>
          <w:sz w:val="24"/>
          <w:szCs w:val="24"/>
        </w:rPr>
        <w:t>, por tratarse de una norma que limita un modo de adquirir el dominio, debe ser aprobada con quórum calificado.</w:t>
      </w:r>
    </w:p>
    <w:p w:rsidR="00B05275" w:rsidRPr="00B05275" w:rsidRDefault="00B05275" w:rsidP="00B0527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55223" w:rsidRDefault="00155223" w:rsidP="0015522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Ambos criterios encuentran un precedente en los acuerdos del Senado y su Comisión de Pesca respecto de la moción de los ex Senadores señores Francisco Javier Errázuriz </w:t>
      </w:r>
      <w:r w:rsidR="00F17D4E">
        <w:rPr>
          <w:rFonts w:ascii="Arial" w:hAnsi="Arial" w:cs="Arial"/>
          <w:sz w:val="24"/>
          <w:szCs w:val="24"/>
        </w:rPr>
        <w:t>Talavera</w:t>
      </w:r>
      <w:r>
        <w:rPr>
          <w:rFonts w:ascii="Arial" w:hAnsi="Arial" w:cs="Arial"/>
          <w:sz w:val="24"/>
          <w:szCs w:val="24"/>
        </w:rPr>
        <w:t xml:space="preserve">, Antonio Horvath Kiss y José Ruiz de Giorgio, </w:t>
      </w:r>
      <w:r w:rsidRPr="00155223">
        <w:rPr>
          <w:rFonts w:ascii="Arial" w:hAnsi="Arial" w:cs="Arial"/>
          <w:sz w:val="24"/>
          <w:szCs w:val="24"/>
        </w:rPr>
        <w:t>modifica</w:t>
      </w:r>
      <w:r>
        <w:rPr>
          <w:rFonts w:ascii="Arial" w:hAnsi="Arial" w:cs="Arial"/>
          <w:sz w:val="24"/>
          <w:szCs w:val="24"/>
        </w:rPr>
        <w:t>toria de</w:t>
      </w:r>
      <w:r w:rsidRPr="00155223">
        <w:rPr>
          <w:rFonts w:ascii="Arial" w:hAnsi="Arial" w:cs="Arial"/>
          <w:sz w:val="24"/>
          <w:szCs w:val="24"/>
        </w:rPr>
        <w:t xml:space="preserve"> los artículos 2º, 3º y 4º de la Ley General de Pesca y Acuicultura, prohibiendo la pesca de arrastre por parte de pescadores artesanales</w:t>
      </w:r>
      <w:r>
        <w:rPr>
          <w:rFonts w:ascii="Arial" w:hAnsi="Arial" w:cs="Arial"/>
          <w:sz w:val="24"/>
          <w:szCs w:val="24"/>
        </w:rPr>
        <w:t>, Boletín N° 1.792-03, que se convirtió en la ley N° 19.907.</w:t>
      </w:r>
    </w:p>
    <w:p w:rsidR="00155223" w:rsidRPr="00155223" w:rsidRDefault="00155223" w:rsidP="0015522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86598" w:rsidRPr="00B05275" w:rsidRDefault="00A773CA" w:rsidP="00B0527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5275">
        <w:rPr>
          <w:rFonts w:ascii="Arial" w:hAnsi="Arial" w:cs="Arial"/>
          <w:sz w:val="24"/>
          <w:szCs w:val="24"/>
        </w:rPr>
        <w:t xml:space="preserve">Finalmente, como una cuestión de técnica legislativa, se recomienda aclarar la redacción del artículo único, pues </w:t>
      </w:r>
      <w:r w:rsidR="00D86598" w:rsidRPr="00B05275">
        <w:rPr>
          <w:rFonts w:ascii="Arial" w:hAnsi="Arial" w:cs="Arial"/>
          <w:sz w:val="24"/>
          <w:szCs w:val="24"/>
        </w:rPr>
        <w:t xml:space="preserve">potera y línea </w:t>
      </w:r>
      <w:r w:rsidRPr="00B05275">
        <w:rPr>
          <w:rFonts w:ascii="Arial" w:hAnsi="Arial" w:cs="Arial"/>
          <w:sz w:val="24"/>
          <w:szCs w:val="24"/>
        </w:rPr>
        <w:t xml:space="preserve">de mano </w:t>
      </w:r>
      <w:r w:rsidR="00D86598" w:rsidRPr="00B05275">
        <w:rPr>
          <w:rFonts w:ascii="Arial" w:hAnsi="Arial" w:cs="Arial"/>
          <w:sz w:val="24"/>
          <w:szCs w:val="24"/>
        </w:rPr>
        <w:t>son aparejos</w:t>
      </w:r>
      <w:r w:rsidRPr="00B05275">
        <w:rPr>
          <w:rFonts w:ascii="Arial" w:hAnsi="Arial" w:cs="Arial"/>
          <w:sz w:val="24"/>
          <w:szCs w:val="24"/>
        </w:rPr>
        <w:t xml:space="preserve"> y </w:t>
      </w:r>
      <w:r w:rsidR="00D86598" w:rsidRPr="00B05275">
        <w:rPr>
          <w:rFonts w:ascii="Arial" w:hAnsi="Arial" w:cs="Arial"/>
          <w:sz w:val="24"/>
          <w:szCs w:val="24"/>
        </w:rPr>
        <w:t>no artes de pesca</w:t>
      </w:r>
      <w:r w:rsidRPr="00B05275">
        <w:rPr>
          <w:rFonts w:ascii="Arial" w:hAnsi="Arial" w:cs="Arial"/>
          <w:sz w:val="24"/>
          <w:szCs w:val="24"/>
        </w:rPr>
        <w:t>.</w:t>
      </w:r>
    </w:p>
    <w:p w:rsidR="00A773CA" w:rsidRDefault="00A773CA" w:rsidP="00A773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3CA" w:rsidRPr="00A773CA" w:rsidRDefault="00A773CA" w:rsidP="00A773CA">
      <w:pPr>
        <w:pStyle w:val="Prrafodelista"/>
        <w:spacing w:after="0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</w:t>
      </w:r>
    </w:p>
    <w:p w:rsidR="00A773CA" w:rsidRDefault="00A773CA" w:rsidP="00A773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3CA" w:rsidRDefault="00A773CA" w:rsidP="00A773C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Valparaíso, 27 de julio de 2018.</w:t>
      </w:r>
    </w:p>
    <w:p w:rsidR="00A773CA" w:rsidRDefault="00A773CA" w:rsidP="00A773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3CA" w:rsidRDefault="00A773CA" w:rsidP="00A773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3CA" w:rsidRPr="00A773CA" w:rsidRDefault="00A773CA" w:rsidP="00A773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73CA">
        <w:rPr>
          <w:rFonts w:ascii="Arial" w:hAnsi="Arial" w:cs="Arial"/>
          <w:sz w:val="24"/>
          <w:szCs w:val="24"/>
        </w:rPr>
        <w:t>SECRETARÍA DE LA COMISIÓN</w:t>
      </w:r>
    </w:p>
    <w:sectPr w:rsidR="00A773CA" w:rsidRPr="00A773CA" w:rsidSect="00600849">
      <w:pgSz w:w="12240" w:h="15840" w:code="1"/>
      <w:pgMar w:top="2835" w:right="1701" w:bottom="2268" w:left="226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17" w:rsidRDefault="00C54B17" w:rsidP="00D25525">
      <w:pPr>
        <w:spacing w:after="0" w:line="240" w:lineRule="auto"/>
      </w:pPr>
      <w:r>
        <w:separator/>
      </w:r>
    </w:p>
  </w:endnote>
  <w:endnote w:type="continuationSeparator" w:id="0">
    <w:p w:rsidR="00C54B17" w:rsidRDefault="00C54B17" w:rsidP="00D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17" w:rsidRDefault="00C54B17" w:rsidP="00D25525">
      <w:pPr>
        <w:spacing w:after="0" w:line="240" w:lineRule="auto"/>
      </w:pPr>
      <w:r>
        <w:separator/>
      </w:r>
    </w:p>
  </w:footnote>
  <w:footnote w:type="continuationSeparator" w:id="0">
    <w:p w:rsidR="00C54B17" w:rsidRDefault="00C54B17" w:rsidP="00D25525">
      <w:pPr>
        <w:spacing w:after="0" w:line="240" w:lineRule="auto"/>
      </w:pPr>
      <w:r>
        <w:continuationSeparator/>
      </w:r>
    </w:p>
  </w:footnote>
  <w:footnote w:id="1">
    <w:p w:rsidR="00D25525" w:rsidRPr="00D25525" w:rsidRDefault="00D25525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Fecha de su publicación.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AEF"/>
    <w:multiLevelType w:val="hybridMultilevel"/>
    <w:tmpl w:val="8DACA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72D"/>
    <w:multiLevelType w:val="hybridMultilevel"/>
    <w:tmpl w:val="65D8A8B4"/>
    <w:lvl w:ilvl="0" w:tplc="BFD867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5387"/>
    <w:multiLevelType w:val="hybridMultilevel"/>
    <w:tmpl w:val="4080D3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35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15"/>
    <w:rsid w:val="00043846"/>
    <w:rsid w:val="0009356C"/>
    <w:rsid w:val="000B42CF"/>
    <w:rsid w:val="000B5FB5"/>
    <w:rsid w:val="001358F2"/>
    <w:rsid w:val="00155223"/>
    <w:rsid w:val="00297432"/>
    <w:rsid w:val="002A3E58"/>
    <w:rsid w:val="002B222D"/>
    <w:rsid w:val="003230BC"/>
    <w:rsid w:val="00375CFA"/>
    <w:rsid w:val="00376A80"/>
    <w:rsid w:val="003B1376"/>
    <w:rsid w:val="003D0664"/>
    <w:rsid w:val="003D3DE3"/>
    <w:rsid w:val="003E041B"/>
    <w:rsid w:val="003E2844"/>
    <w:rsid w:val="00433453"/>
    <w:rsid w:val="004B6D1C"/>
    <w:rsid w:val="004C39BE"/>
    <w:rsid w:val="005605E3"/>
    <w:rsid w:val="00600849"/>
    <w:rsid w:val="00684D41"/>
    <w:rsid w:val="006901F4"/>
    <w:rsid w:val="006F01EC"/>
    <w:rsid w:val="00715615"/>
    <w:rsid w:val="007661E3"/>
    <w:rsid w:val="00777D6B"/>
    <w:rsid w:val="007A7793"/>
    <w:rsid w:val="007E3F9F"/>
    <w:rsid w:val="008560B8"/>
    <w:rsid w:val="00880A96"/>
    <w:rsid w:val="008F4A6B"/>
    <w:rsid w:val="009107F5"/>
    <w:rsid w:val="009A4143"/>
    <w:rsid w:val="009B2CEC"/>
    <w:rsid w:val="00A26298"/>
    <w:rsid w:val="00A41E3C"/>
    <w:rsid w:val="00A65192"/>
    <w:rsid w:val="00A773CA"/>
    <w:rsid w:val="00AC4902"/>
    <w:rsid w:val="00AD41C9"/>
    <w:rsid w:val="00B05275"/>
    <w:rsid w:val="00B93EA8"/>
    <w:rsid w:val="00BC2D2D"/>
    <w:rsid w:val="00BE3921"/>
    <w:rsid w:val="00C54B17"/>
    <w:rsid w:val="00C6217C"/>
    <w:rsid w:val="00D25525"/>
    <w:rsid w:val="00D86598"/>
    <w:rsid w:val="00DE036A"/>
    <w:rsid w:val="00E1517E"/>
    <w:rsid w:val="00E51907"/>
    <w:rsid w:val="00E77C56"/>
    <w:rsid w:val="00EA5189"/>
    <w:rsid w:val="00F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58D1C9-177D-48CB-ACC6-B4EE915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1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55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2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0D19-6327-4D55-985B-7CDAC201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FSOFFIA</dc:creator>
  <cp:keywords/>
  <dc:description/>
  <cp:lastModifiedBy>LRIVEROS</cp:lastModifiedBy>
  <cp:revision>2</cp:revision>
  <cp:lastPrinted>2018-09-11T22:56:00Z</cp:lastPrinted>
  <dcterms:created xsi:type="dcterms:W3CDTF">2018-09-24T18:16:00Z</dcterms:created>
  <dcterms:modified xsi:type="dcterms:W3CDTF">2018-09-24T18:16:00Z</dcterms:modified>
</cp:coreProperties>
</file>