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38" w:rsidRDefault="00527638" w:rsidP="00A81A84">
      <w:pPr>
        <w:shd w:val="clear" w:color="auto" w:fill="FFFFFF"/>
        <w:spacing w:after="0" w:line="240" w:lineRule="auto"/>
        <w:jc w:val="both"/>
        <w:rPr>
          <w:rFonts w:eastAsia="Times New Roman" w:cs="Arial"/>
          <w:color w:val="222222"/>
          <w:sz w:val="28"/>
          <w:szCs w:val="28"/>
          <w:lang w:eastAsia="es-CL"/>
        </w:rPr>
      </w:pPr>
      <w:r>
        <w:rPr>
          <w:rFonts w:eastAsia="Times New Roman" w:cs="Arial"/>
          <w:color w:val="222222"/>
          <w:sz w:val="28"/>
          <w:szCs w:val="28"/>
          <w:lang w:eastAsia="es-CL"/>
        </w:rPr>
        <w:t>MINUTA</w:t>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color w:val="222222"/>
          <w:sz w:val="28"/>
          <w:szCs w:val="28"/>
          <w:lang w:eastAsia="es-CL"/>
        </w:rPr>
        <w:t>1.- MENSAJE DE LA LEY 20.720</w:t>
      </w:r>
    </w:p>
    <w:p w:rsidR="00527638" w:rsidRDefault="00527638" w:rsidP="00A81A84">
      <w:pPr>
        <w:jc w:val="both"/>
        <w:rPr>
          <w:sz w:val="28"/>
          <w:szCs w:val="28"/>
        </w:rPr>
      </w:pPr>
    </w:p>
    <w:p w:rsidR="00F21A58" w:rsidRPr="00A81A84" w:rsidRDefault="00527638" w:rsidP="00A81A84">
      <w:pPr>
        <w:jc w:val="both"/>
        <w:rPr>
          <w:sz w:val="28"/>
          <w:szCs w:val="28"/>
        </w:rPr>
      </w:pPr>
      <w:r>
        <w:rPr>
          <w:sz w:val="28"/>
          <w:szCs w:val="28"/>
        </w:rPr>
        <w:t>Parte del Mensaje señala</w:t>
      </w:r>
    </w:p>
    <w:p w:rsidR="002A02E0" w:rsidRPr="00A81A84" w:rsidRDefault="00527638" w:rsidP="00A81A84">
      <w:pPr>
        <w:jc w:val="both"/>
        <w:rPr>
          <w:sz w:val="28"/>
          <w:szCs w:val="28"/>
        </w:rPr>
      </w:pPr>
      <w:r>
        <w:rPr>
          <w:sz w:val="28"/>
          <w:szCs w:val="28"/>
        </w:rPr>
        <w:t>“</w:t>
      </w:r>
      <w:r w:rsidR="009E4516" w:rsidRPr="00A81A84">
        <w:rPr>
          <w:sz w:val="28"/>
          <w:szCs w:val="28"/>
        </w:rPr>
        <w:t xml:space="preserve">a) Duración de los procedimientos. En comparación a países de la región, Chile presenta un panorama desolador. Así, respecto de la </w:t>
      </w:r>
      <w:r w:rsidR="009E4516" w:rsidRPr="00244A88">
        <w:rPr>
          <w:b/>
          <w:sz w:val="28"/>
          <w:szCs w:val="28"/>
          <w:u w:val="single"/>
        </w:rPr>
        <w:t>duración del procedimiento</w:t>
      </w:r>
      <w:r w:rsidR="009E4516" w:rsidRPr="00A81A84">
        <w:rPr>
          <w:sz w:val="28"/>
          <w:szCs w:val="28"/>
        </w:rPr>
        <w:t xml:space="preserve">, Colombia muestra un promedio de 1,3 años, mientras que Uruguay entrega 2,1 años y Bolivia, 1,8 años. Nosotros, en cambio, mostramos un triste promedio de 4,5 años. Si ampliamos la comparación a países que, al igual que Chile pertenecen a la OCDE, las diferencias se acentúan dramáticamente: Japón, Canadá y Dinamarca presentan procedimientos con duraciones que van de los 6 a 9 meses, mientras que otros como Hungría, Estonia y Polonia exhiben procesos que duran entre 2 a 3 años, tiempos que aún siguen siendo más reducidos que los existentes en Chile. b) </w:t>
      </w:r>
      <w:r w:rsidR="009E4516" w:rsidRPr="00244A88">
        <w:rPr>
          <w:b/>
          <w:sz w:val="28"/>
          <w:szCs w:val="28"/>
          <w:u w:val="single"/>
        </w:rPr>
        <w:t>Nivel o porcentaje de recuperación del crédito</w:t>
      </w:r>
      <w:r w:rsidR="009E4516" w:rsidRPr="00A81A84">
        <w:rPr>
          <w:sz w:val="28"/>
          <w:szCs w:val="28"/>
        </w:rPr>
        <w:t xml:space="preserve">. Los mismos países que se han señalado en el punto precedente muestran cifras que van desde el destacable 92,7% en Japón, pasando por el 82,8% colombiano hasta llegar al bajísimo 25,5% en que se sitúa Chile. c) </w:t>
      </w:r>
      <w:r w:rsidR="009E4516" w:rsidRPr="00244A88">
        <w:rPr>
          <w:b/>
          <w:sz w:val="28"/>
          <w:szCs w:val="28"/>
          <w:u w:val="single"/>
        </w:rPr>
        <w:t>Nivel o porcentaje de costo</w:t>
      </w:r>
      <w:r w:rsidR="009E4516" w:rsidRPr="00A81A84">
        <w:rPr>
          <w:sz w:val="28"/>
          <w:szCs w:val="28"/>
        </w:rPr>
        <w:t xml:space="preserve"> que involucra la tramitación de un procedimiento concursal. Nuestro país entrega una cifra que alcanza al 15% del valor de los activos enajenados como costo del procedimiento. Por su parte, los mismos países que hemos indicado exhiben costos del 1% al 7%, lo que nuevamente nos posiciona en un lugar de evidente retaguardia. </w:t>
      </w:r>
    </w:p>
    <w:p w:rsidR="002A02E0" w:rsidRPr="00A81A84" w:rsidRDefault="009E4516" w:rsidP="00A81A84">
      <w:pPr>
        <w:jc w:val="both"/>
        <w:rPr>
          <w:sz w:val="28"/>
          <w:szCs w:val="28"/>
        </w:rPr>
      </w:pPr>
      <w:r w:rsidRPr="00A81A84">
        <w:rPr>
          <w:sz w:val="28"/>
          <w:szCs w:val="28"/>
        </w:rPr>
        <w:t>Como natural consecuencia de lo expuesto podemos concluir que el sistema concursal en Chile es, en comparación a países de la región y aquellos pertenecientes a la OCDE que hemos citado, lento y de larga tramitación, incapaz de entregar una alta tasa de recuperación del crédito y, finalmente, caro y oneroso, lo que indirectamente incide en aumentar las barreras de entrada o acceso a nuestra propia regulación.</w:t>
      </w:r>
      <w:r w:rsidR="00527638">
        <w:rPr>
          <w:sz w:val="28"/>
          <w:szCs w:val="28"/>
        </w:rPr>
        <w:t>”</w:t>
      </w:r>
    </w:p>
    <w:p w:rsidR="00F21A58" w:rsidRPr="00A81A84" w:rsidRDefault="00F21A58" w:rsidP="00A81A84">
      <w:pPr>
        <w:jc w:val="both"/>
        <w:rPr>
          <w:sz w:val="28"/>
          <w:szCs w:val="28"/>
        </w:rPr>
      </w:pPr>
    </w:p>
    <w:p w:rsidR="00A81A84" w:rsidRDefault="00A81A84" w:rsidP="00A81A84">
      <w:pPr>
        <w:jc w:val="both"/>
        <w:rPr>
          <w:sz w:val="28"/>
          <w:szCs w:val="28"/>
        </w:rPr>
      </w:pPr>
    </w:p>
    <w:p w:rsidR="00A81A84" w:rsidRDefault="00A81A84" w:rsidP="00A81A84">
      <w:pPr>
        <w:jc w:val="both"/>
        <w:rPr>
          <w:sz w:val="28"/>
          <w:szCs w:val="28"/>
        </w:rPr>
      </w:pPr>
    </w:p>
    <w:p w:rsidR="00F21A58" w:rsidRPr="00A81A84" w:rsidRDefault="00F21A58" w:rsidP="00A81A84">
      <w:pPr>
        <w:jc w:val="both"/>
        <w:rPr>
          <w:sz w:val="28"/>
          <w:szCs w:val="28"/>
        </w:rPr>
      </w:pPr>
      <w:r w:rsidRPr="00A81A84">
        <w:rPr>
          <w:sz w:val="28"/>
          <w:szCs w:val="28"/>
        </w:rPr>
        <w:t>2.- OBJETIVOS PRIMORDIALES DE LA MODIFICACION DE LA LEY 20.720</w:t>
      </w:r>
    </w:p>
    <w:p w:rsidR="002A02E0" w:rsidRPr="00A81A84" w:rsidRDefault="00F21A58" w:rsidP="00A81A84">
      <w:pPr>
        <w:jc w:val="both"/>
        <w:rPr>
          <w:sz w:val="28"/>
          <w:szCs w:val="28"/>
        </w:rPr>
      </w:pPr>
      <w:r w:rsidRPr="00A81A84">
        <w:rPr>
          <w:sz w:val="28"/>
          <w:szCs w:val="28"/>
        </w:rPr>
        <w:t xml:space="preserve"> </w:t>
      </w:r>
    </w:p>
    <w:p w:rsidR="002A02E0" w:rsidRPr="00A81A84" w:rsidRDefault="00F21A58" w:rsidP="00A81A84">
      <w:pPr>
        <w:numPr>
          <w:ilvl w:val="1"/>
          <w:numId w:val="2"/>
        </w:numPr>
        <w:shd w:val="clear" w:color="auto" w:fill="FFFFFF"/>
        <w:spacing w:after="0" w:line="480" w:lineRule="auto"/>
        <w:ind w:left="1434" w:hanging="357"/>
        <w:jc w:val="both"/>
        <w:rPr>
          <w:rFonts w:eastAsia="Times New Roman" w:cs="Arial"/>
          <w:color w:val="222222"/>
          <w:sz w:val="28"/>
          <w:szCs w:val="28"/>
          <w:lang w:eastAsia="es-CL"/>
        </w:rPr>
      </w:pPr>
      <w:r w:rsidRPr="00A81A84">
        <w:rPr>
          <w:sz w:val="28"/>
          <w:szCs w:val="28"/>
        </w:rPr>
        <w:t>Reducción de plazos de duración de las liquidaciones.</w:t>
      </w:r>
    </w:p>
    <w:p w:rsidR="00F21A58" w:rsidRPr="00A81A84" w:rsidRDefault="00F21A58" w:rsidP="00A81A84">
      <w:pPr>
        <w:numPr>
          <w:ilvl w:val="1"/>
          <w:numId w:val="2"/>
        </w:numPr>
        <w:shd w:val="clear" w:color="auto" w:fill="FFFFFF"/>
        <w:spacing w:after="0" w:line="480" w:lineRule="auto"/>
        <w:ind w:left="1434" w:hanging="357"/>
        <w:jc w:val="both"/>
        <w:rPr>
          <w:rFonts w:eastAsia="Times New Roman" w:cs="Arial"/>
          <w:color w:val="222222"/>
          <w:sz w:val="28"/>
          <w:szCs w:val="28"/>
          <w:lang w:eastAsia="es-CL"/>
        </w:rPr>
      </w:pPr>
      <w:r w:rsidRPr="00A81A84">
        <w:rPr>
          <w:rFonts w:eastAsia="Times New Roman" w:cs="Arial"/>
          <w:color w:val="222222"/>
          <w:sz w:val="28"/>
          <w:szCs w:val="28"/>
          <w:lang w:eastAsia="es-CL"/>
        </w:rPr>
        <w:t>Abaratamiento de costos de tramitación.</w:t>
      </w:r>
    </w:p>
    <w:p w:rsidR="002A02E0" w:rsidRPr="00A81A84" w:rsidRDefault="009E4516" w:rsidP="00A81A84">
      <w:pPr>
        <w:numPr>
          <w:ilvl w:val="1"/>
          <w:numId w:val="2"/>
        </w:numPr>
        <w:shd w:val="clear" w:color="auto" w:fill="FFFFFF"/>
        <w:spacing w:after="0" w:line="480" w:lineRule="auto"/>
        <w:ind w:left="1434" w:hanging="357"/>
        <w:jc w:val="both"/>
        <w:rPr>
          <w:rFonts w:eastAsia="Times New Roman" w:cs="Arial"/>
          <w:color w:val="222222"/>
          <w:sz w:val="28"/>
          <w:szCs w:val="28"/>
          <w:lang w:eastAsia="es-CL"/>
        </w:rPr>
      </w:pPr>
      <w:r w:rsidRPr="00A81A84">
        <w:rPr>
          <w:rFonts w:eastAsia="Times New Roman" w:cs="Arial"/>
          <w:color w:val="222222"/>
          <w:sz w:val="28"/>
          <w:szCs w:val="28"/>
          <w:lang w:eastAsia="es-CL"/>
        </w:rPr>
        <w:t>Aumentar los porcentajes pago de los acreedores.</w:t>
      </w:r>
    </w:p>
    <w:p w:rsidR="002A02E0" w:rsidRPr="00A81A84" w:rsidRDefault="009E4516" w:rsidP="00A81A84">
      <w:pPr>
        <w:numPr>
          <w:ilvl w:val="1"/>
          <w:numId w:val="2"/>
        </w:numPr>
        <w:shd w:val="clear" w:color="auto" w:fill="FFFFFF"/>
        <w:spacing w:after="0" w:line="480" w:lineRule="auto"/>
        <w:ind w:left="1434" w:hanging="357"/>
        <w:jc w:val="both"/>
        <w:rPr>
          <w:rFonts w:eastAsia="Times New Roman" w:cs="Arial"/>
          <w:color w:val="222222"/>
          <w:sz w:val="28"/>
          <w:szCs w:val="28"/>
          <w:lang w:eastAsia="es-CL"/>
        </w:rPr>
      </w:pPr>
      <w:r w:rsidRPr="00A81A84">
        <w:rPr>
          <w:rFonts w:eastAsia="Times New Roman" w:cs="Arial"/>
          <w:color w:val="222222"/>
          <w:sz w:val="28"/>
          <w:szCs w:val="28"/>
          <w:lang w:eastAsia="es-CL"/>
        </w:rPr>
        <w:t>Potenciar la reorganización vs la Liquidación.</w:t>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color w:val="222222"/>
          <w:sz w:val="28"/>
          <w:szCs w:val="28"/>
          <w:lang w:eastAsia="es-CL"/>
        </w:rPr>
        <w:t>3.- A CUATRO AÑOS DE LA ENTRADA EN VIGENCIA DE LA LEY 20.720</w:t>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4B0EC7"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color w:val="222222"/>
          <w:sz w:val="28"/>
          <w:szCs w:val="28"/>
          <w:lang w:eastAsia="es-CL"/>
        </w:rPr>
        <w:t xml:space="preserve">3.1.- </w:t>
      </w:r>
      <w:r w:rsidR="00F21A58" w:rsidRPr="00A81A84">
        <w:rPr>
          <w:rFonts w:eastAsia="Times New Roman" w:cs="Arial"/>
          <w:color w:val="222222"/>
          <w:sz w:val="28"/>
          <w:szCs w:val="28"/>
          <w:lang w:eastAsia="es-CL"/>
        </w:rPr>
        <w:t>Información proporcionada por la SUPERIR a  través de Ley de Transparencia.</w:t>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noProof/>
          <w:color w:val="222222"/>
          <w:sz w:val="28"/>
          <w:szCs w:val="28"/>
          <w:lang w:eastAsia="es-CL"/>
        </w:rPr>
        <w:drawing>
          <wp:inline distT="0" distB="0" distL="0" distR="0" wp14:anchorId="39C306E5" wp14:editId="09EC3FA2">
            <wp:extent cx="5612130" cy="3197860"/>
            <wp:effectExtent l="0" t="0" r="7620" b="254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97860"/>
                    </a:xfrm>
                    <a:prstGeom prst="rect">
                      <a:avLst/>
                    </a:prstGeom>
                    <a:noFill/>
                    <a:ln>
                      <a:noFill/>
                    </a:ln>
                    <a:effectLst/>
                    <a:extLst/>
                  </pic:spPr>
                </pic:pic>
              </a:graphicData>
            </a:graphic>
          </wp:inline>
        </w:drawing>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noProof/>
          <w:color w:val="222222"/>
          <w:sz w:val="28"/>
          <w:szCs w:val="28"/>
          <w:lang w:eastAsia="es-CL"/>
        </w:rPr>
        <w:drawing>
          <wp:inline distT="0" distB="0" distL="0" distR="0" wp14:anchorId="4751E56B" wp14:editId="2BDB2339">
            <wp:extent cx="5612130" cy="3053715"/>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612130" cy="3053715"/>
                    </a:xfrm>
                    <a:prstGeom prst="rect">
                      <a:avLst/>
                    </a:prstGeom>
                    <a:noFill/>
                    <a:ln>
                      <a:noFill/>
                    </a:ln>
                    <a:effectLst/>
                    <a:extLst/>
                  </pic:spPr>
                </pic:pic>
              </a:graphicData>
            </a:graphic>
          </wp:inline>
        </w:drawing>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color w:val="222222"/>
          <w:sz w:val="28"/>
          <w:szCs w:val="28"/>
          <w:lang w:eastAsia="es-CL"/>
        </w:rPr>
        <w:t>No contamos con información respecto al aumento o disminución de costos de la liquidación, ni tampoco respecto al aumento o disminución del porcentaje de pago a los acreedores.</w:t>
      </w:r>
    </w:p>
    <w:p w:rsidR="004B0EC7" w:rsidRPr="00A81A84" w:rsidRDefault="004B0EC7" w:rsidP="00A81A84">
      <w:pPr>
        <w:shd w:val="clear" w:color="auto" w:fill="FFFFFF"/>
        <w:spacing w:after="0" w:line="240" w:lineRule="auto"/>
        <w:jc w:val="both"/>
        <w:rPr>
          <w:rFonts w:eastAsia="Times New Roman" w:cs="Arial"/>
          <w:color w:val="222222"/>
          <w:sz w:val="28"/>
          <w:szCs w:val="28"/>
          <w:lang w:eastAsia="es-CL"/>
        </w:rPr>
      </w:pPr>
    </w:p>
    <w:p w:rsidR="00F21A58" w:rsidRPr="00A81A84" w:rsidRDefault="004B0EC7"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color w:val="222222"/>
          <w:sz w:val="28"/>
          <w:szCs w:val="28"/>
          <w:lang w:eastAsia="es-CL"/>
        </w:rPr>
        <w:t>3.2.- LO QUE SE VE HOY EN DIA</w:t>
      </w:r>
    </w:p>
    <w:p w:rsidR="00F21A58" w:rsidRPr="00A81A84"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r w:rsidRPr="00844356">
        <w:rPr>
          <w:rFonts w:eastAsia="Times New Roman" w:cs="Arial"/>
          <w:color w:val="222222"/>
          <w:sz w:val="28"/>
          <w:szCs w:val="28"/>
          <w:lang w:eastAsia="es-CL"/>
        </w:rPr>
        <w:t>1.- El aumento exponencial de las liquidaciones de personas naturales (o personas deudoras), lo cual está incentivado por la extinción de las deudas, que es el efecto natural de la liquidación en la nueva Ley. En este punto, la conclusión, es que este procedimiento, se ha convertido la primera alternativa de los deudores, lo cual está lejos del espíritu que tuvo el legislador al pr</w:t>
      </w:r>
      <w:r w:rsidR="00A81A84" w:rsidRPr="00A81A84">
        <w:rPr>
          <w:rFonts w:eastAsia="Times New Roman" w:cs="Arial"/>
          <w:color w:val="222222"/>
          <w:sz w:val="28"/>
          <w:szCs w:val="28"/>
          <w:lang w:eastAsia="es-CL"/>
        </w:rPr>
        <w:t>omulgar esta ley</w:t>
      </w:r>
      <w:r w:rsidRPr="00844356">
        <w:rPr>
          <w:rFonts w:eastAsia="Times New Roman" w:cs="Arial"/>
          <w:color w:val="222222"/>
          <w:sz w:val="28"/>
          <w:szCs w:val="28"/>
          <w:lang w:eastAsia="es-CL"/>
        </w:rPr>
        <w:t>.</w:t>
      </w: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r w:rsidRPr="00844356">
        <w:rPr>
          <w:rFonts w:eastAsia="Times New Roman" w:cs="Arial"/>
          <w:color w:val="222222"/>
          <w:sz w:val="28"/>
          <w:szCs w:val="28"/>
          <w:lang w:eastAsia="es-CL"/>
        </w:rPr>
        <w:t>2.- Duplicación de plataformas donde se publican las resoluciones, la del Poder Judicial y la del Boletín Concursal, lo que produce incertidumb</w:t>
      </w:r>
      <w:r w:rsidR="00A81A84" w:rsidRPr="00A81A84">
        <w:rPr>
          <w:rFonts w:eastAsia="Times New Roman" w:cs="Arial"/>
          <w:color w:val="222222"/>
          <w:sz w:val="28"/>
          <w:szCs w:val="28"/>
          <w:lang w:eastAsia="es-CL"/>
        </w:rPr>
        <w:t>res en el cómputo de los plazos, y personas que trabajan dos veces haciendo lo mismo.</w:t>
      </w: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r w:rsidRPr="00844356">
        <w:rPr>
          <w:rFonts w:eastAsia="Times New Roman" w:cs="Arial"/>
          <w:color w:val="222222"/>
          <w:sz w:val="28"/>
          <w:szCs w:val="28"/>
          <w:lang w:eastAsia="es-CL"/>
        </w:rPr>
        <w:t>3.- Plazo</w:t>
      </w:r>
      <w:r w:rsidRPr="00A81A84">
        <w:rPr>
          <w:rFonts w:eastAsia="Times New Roman" w:cs="Arial"/>
          <w:color w:val="222222"/>
          <w:sz w:val="28"/>
          <w:szCs w:val="28"/>
          <w:lang w:eastAsia="es-CL"/>
        </w:rPr>
        <w:t>s</w:t>
      </w:r>
      <w:r w:rsidRPr="00844356">
        <w:rPr>
          <w:rFonts w:eastAsia="Times New Roman" w:cs="Arial"/>
          <w:color w:val="222222"/>
          <w:sz w:val="28"/>
          <w:szCs w:val="28"/>
          <w:lang w:eastAsia="es-CL"/>
        </w:rPr>
        <w:t xml:space="preserve"> excesivamente breves, en especial para que los magistrados puedan resolver las objeciones a la liquidación, y las impugnaciones de créditos.</w:t>
      </w: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r w:rsidRPr="00844356">
        <w:rPr>
          <w:rFonts w:eastAsia="Times New Roman" w:cs="Arial"/>
          <w:color w:val="222222"/>
          <w:sz w:val="28"/>
          <w:szCs w:val="28"/>
          <w:lang w:eastAsia="es-CL"/>
        </w:rPr>
        <w:t>4.- Régimen de recursos e incidentes excesivamente restringidos, que impide a los actores en estos procesos hacer valer legítimamente sus derechos y a los magistrados resolver adecuadamente.</w:t>
      </w: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r w:rsidRPr="00844356">
        <w:rPr>
          <w:rFonts w:eastAsia="Times New Roman" w:cs="Arial"/>
          <w:color w:val="222222"/>
          <w:sz w:val="28"/>
          <w:szCs w:val="28"/>
          <w:lang w:eastAsia="es-CL"/>
        </w:rPr>
        <w:t>5.- Disparidad de criterios, en cuanto a la extinción de los créditos al término del procedimiento de liquidación, reflejado en fallos de la Corte Suprema, en la que se ha rechazado por ejemplo, la extinción de los créditos con aval del estado.</w:t>
      </w:r>
    </w:p>
    <w:p w:rsidR="00F21A58" w:rsidRPr="00844356" w:rsidRDefault="00F21A58" w:rsidP="00A81A84">
      <w:pPr>
        <w:shd w:val="clear" w:color="auto" w:fill="FFFFFF"/>
        <w:spacing w:after="0" w:line="240" w:lineRule="auto"/>
        <w:jc w:val="both"/>
        <w:rPr>
          <w:rFonts w:eastAsia="Times New Roman" w:cs="Arial"/>
          <w:color w:val="222222"/>
          <w:sz w:val="28"/>
          <w:szCs w:val="28"/>
          <w:lang w:eastAsia="es-CL"/>
        </w:rPr>
      </w:pPr>
    </w:p>
    <w:p w:rsidR="00A81A84" w:rsidRDefault="00F21A58" w:rsidP="00A81A84">
      <w:pPr>
        <w:shd w:val="clear" w:color="auto" w:fill="FFFFFF"/>
        <w:spacing w:after="0" w:line="240" w:lineRule="auto"/>
        <w:jc w:val="both"/>
        <w:rPr>
          <w:rFonts w:eastAsia="Times New Roman" w:cs="Arial"/>
          <w:color w:val="222222"/>
          <w:sz w:val="28"/>
          <w:szCs w:val="28"/>
          <w:lang w:eastAsia="es-CL"/>
        </w:rPr>
      </w:pPr>
      <w:r w:rsidRPr="00844356">
        <w:rPr>
          <w:rFonts w:eastAsia="Times New Roman" w:cs="Arial"/>
          <w:color w:val="222222"/>
          <w:sz w:val="28"/>
          <w:szCs w:val="28"/>
          <w:lang w:eastAsia="es-CL"/>
        </w:rPr>
        <w:t>6.-  La situación de la elección que deberán efectuar los liquidadores y veedores</w:t>
      </w:r>
      <w:r w:rsidR="00A81A84" w:rsidRPr="00A81A84">
        <w:rPr>
          <w:rFonts w:eastAsia="Times New Roman" w:cs="Arial"/>
          <w:color w:val="222222"/>
          <w:sz w:val="28"/>
          <w:szCs w:val="28"/>
          <w:lang w:eastAsia="es-CL"/>
        </w:rPr>
        <w:t xml:space="preserve"> en Enero del</w:t>
      </w:r>
      <w:r w:rsidRPr="00844356">
        <w:rPr>
          <w:rFonts w:eastAsia="Times New Roman" w:cs="Arial"/>
          <w:color w:val="222222"/>
          <w:sz w:val="28"/>
          <w:szCs w:val="28"/>
          <w:lang w:eastAsia="es-CL"/>
        </w:rPr>
        <w:t xml:space="preserve"> 2019, (en orden a optar por una de esas funciones) lo que concentrará aún más y en forma muy inconveniente el desarrollo de esta actividad. </w:t>
      </w:r>
      <w:r w:rsidR="00A81A84">
        <w:rPr>
          <w:rFonts w:eastAsia="Times New Roman" w:cs="Arial"/>
          <w:color w:val="222222"/>
          <w:sz w:val="28"/>
          <w:szCs w:val="28"/>
          <w:lang w:eastAsia="es-CL"/>
        </w:rPr>
        <w:t>Es indispensable que una persona que cumpla con los requisitos</w:t>
      </w:r>
      <w:r w:rsidR="00527638">
        <w:rPr>
          <w:rFonts w:eastAsia="Times New Roman" w:cs="Arial"/>
          <w:color w:val="222222"/>
          <w:sz w:val="28"/>
          <w:szCs w:val="28"/>
          <w:lang w:eastAsia="es-CL"/>
        </w:rPr>
        <w:t>,</w:t>
      </w:r>
      <w:r w:rsidR="00A81A84">
        <w:rPr>
          <w:rFonts w:eastAsia="Times New Roman" w:cs="Arial"/>
          <w:color w:val="222222"/>
          <w:sz w:val="28"/>
          <w:szCs w:val="28"/>
          <w:lang w:eastAsia="es-CL"/>
        </w:rPr>
        <w:t xml:space="preserve"> pueda </w:t>
      </w:r>
      <w:proofErr w:type="spellStart"/>
      <w:r w:rsidR="00A81A84">
        <w:rPr>
          <w:rFonts w:eastAsia="Times New Roman" w:cs="Arial"/>
          <w:color w:val="222222"/>
          <w:sz w:val="28"/>
          <w:szCs w:val="28"/>
          <w:lang w:eastAsia="es-CL"/>
        </w:rPr>
        <w:t>ostententar</w:t>
      </w:r>
      <w:proofErr w:type="spellEnd"/>
      <w:r w:rsidR="00A81A84">
        <w:rPr>
          <w:rFonts w:eastAsia="Times New Roman" w:cs="Arial"/>
          <w:color w:val="222222"/>
          <w:sz w:val="28"/>
          <w:szCs w:val="28"/>
          <w:lang w:eastAsia="es-CL"/>
        </w:rPr>
        <w:t xml:space="preserve"> ambas calidades.</w:t>
      </w:r>
    </w:p>
    <w:p w:rsidR="00A81A84" w:rsidRPr="00A81A84" w:rsidRDefault="00A81A84" w:rsidP="00A81A84">
      <w:pPr>
        <w:shd w:val="clear" w:color="auto" w:fill="FFFFFF"/>
        <w:spacing w:after="0" w:line="240" w:lineRule="auto"/>
        <w:jc w:val="both"/>
        <w:rPr>
          <w:rFonts w:eastAsia="Times New Roman" w:cs="Arial"/>
          <w:color w:val="222222"/>
          <w:sz w:val="28"/>
          <w:szCs w:val="28"/>
          <w:lang w:eastAsia="es-CL"/>
        </w:rPr>
      </w:pPr>
    </w:p>
    <w:p w:rsidR="00A81A84" w:rsidRPr="00A81A84" w:rsidRDefault="00A81A84" w:rsidP="00A81A84">
      <w:pPr>
        <w:shd w:val="clear" w:color="auto" w:fill="FFFFFF"/>
        <w:spacing w:after="0" w:line="240" w:lineRule="auto"/>
        <w:jc w:val="both"/>
        <w:rPr>
          <w:rFonts w:eastAsia="Times New Roman" w:cs="Arial"/>
          <w:color w:val="222222"/>
          <w:sz w:val="28"/>
          <w:szCs w:val="28"/>
          <w:lang w:eastAsia="es-CL"/>
        </w:rPr>
      </w:pPr>
    </w:p>
    <w:p w:rsidR="00A81A84" w:rsidRPr="00844356" w:rsidRDefault="00A81A84" w:rsidP="00A81A84">
      <w:pPr>
        <w:shd w:val="clear" w:color="auto" w:fill="FFFFFF"/>
        <w:spacing w:after="0" w:line="240" w:lineRule="auto"/>
        <w:jc w:val="both"/>
        <w:rPr>
          <w:rFonts w:eastAsia="Times New Roman" w:cs="Arial"/>
          <w:color w:val="222222"/>
          <w:sz w:val="28"/>
          <w:szCs w:val="28"/>
          <w:lang w:eastAsia="es-CL"/>
        </w:rPr>
      </w:pPr>
      <w:r w:rsidRPr="00A81A84">
        <w:rPr>
          <w:rFonts w:eastAsia="Times New Roman" w:cs="Arial"/>
          <w:color w:val="222222"/>
          <w:sz w:val="28"/>
          <w:szCs w:val="28"/>
          <w:lang w:eastAsia="es-CL"/>
        </w:rPr>
        <w:t>4.- SOLUCIONES</w:t>
      </w:r>
    </w:p>
    <w:p w:rsidR="00476495" w:rsidRPr="00476495" w:rsidRDefault="00476495" w:rsidP="00A81A84">
      <w:pPr>
        <w:shd w:val="clear" w:color="auto" w:fill="FFFFFF"/>
        <w:spacing w:after="0" w:line="240" w:lineRule="auto"/>
        <w:jc w:val="both"/>
        <w:rPr>
          <w:rFonts w:eastAsia="Times New Roman" w:cs="Arial"/>
          <w:color w:val="222222"/>
          <w:sz w:val="28"/>
          <w:szCs w:val="28"/>
          <w:lang w:eastAsia="es-CL"/>
        </w:rPr>
      </w:pPr>
      <w:r w:rsidRPr="00476495">
        <w:rPr>
          <w:rFonts w:eastAsia="Times New Roman" w:cs="Arial"/>
          <w:color w:val="222222"/>
          <w:sz w:val="28"/>
          <w:szCs w:val="28"/>
          <w:lang w:eastAsia="es-CL"/>
        </w:rPr>
        <w:t> </w:t>
      </w:r>
    </w:p>
    <w:p w:rsidR="00476495" w:rsidRPr="00476495" w:rsidRDefault="00476495" w:rsidP="00A81A84">
      <w:pPr>
        <w:shd w:val="clear" w:color="auto" w:fill="FFFFFF"/>
        <w:spacing w:after="0" w:line="240" w:lineRule="auto"/>
        <w:jc w:val="both"/>
        <w:rPr>
          <w:rFonts w:eastAsia="Times New Roman" w:cs="Arial"/>
          <w:color w:val="222222"/>
          <w:sz w:val="28"/>
          <w:szCs w:val="28"/>
          <w:lang w:eastAsia="es-CL"/>
        </w:rPr>
      </w:pPr>
      <w:r w:rsidRPr="00476495">
        <w:rPr>
          <w:rFonts w:eastAsia="Times New Roman" w:cs="Arial"/>
          <w:color w:val="222222"/>
          <w:sz w:val="28"/>
          <w:szCs w:val="28"/>
          <w:lang w:eastAsia="es-CL"/>
        </w:rPr>
        <w:t>1.- Establecer</w:t>
      </w:r>
      <w:r w:rsidR="00771C48">
        <w:rPr>
          <w:rFonts w:eastAsia="Times New Roman" w:cs="Arial"/>
          <w:color w:val="222222"/>
          <w:sz w:val="28"/>
          <w:szCs w:val="28"/>
          <w:lang w:eastAsia="es-CL"/>
        </w:rPr>
        <w:t xml:space="preserve"> una o más</w:t>
      </w:r>
      <w:r w:rsidRPr="00476495">
        <w:rPr>
          <w:rFonts w:eastAsia="Times New Roman" w:cs="Arial"/>
          <w:color w:val="222222"/>
          <w:sz w:val="28"/>
          <w:szCs w:val="28"/>
          <w:lang w:eastAsia="es-CL"/>
        </w:rPr>
        <w:t xml:space="preserve"> barreras de acceso al inicio de procedimientos de liquidación voluntarios de personas naturales.</w:t>
      </w:r>
      <w:r w:rsidR="00771C48">
        <w:rPr>
          <w:rFonts w:eastAsia="Times New Roman" w:cs="Arial"/>
          <w:color w:val="222222"/>
          <w:sz w:val="28"/>
          <w:szCs w:val="28"/>
          <w:lang w:eastAsia="es-CL"/>
        </w:rPr>
        <w:t xml:space="preserve"> Alguna de ellas podrían ser:</w:t>
      </w:r>
    </w:p>
    <w:p w:rsidR="00476495" w:rsidRPr="00476495" w:rsidRDefault="00476495" w:rsidP="00A81A84">
      <w:pPr>
        <w:shd w:val="clear" w:color="auto" w:fill="FFFFFF"/>
        <w:spacing w:after="0" w:line="240" w:lineRule="auto"/>
        <w:jc w:val="both"/>
        <w:rPr>
          <w:rFonts w:eastAsia="Times New Roman" w:cs="Arial"/>
          <w:color w:val="222222"/>
          <w:sz w:val="28"/>
          <w:szCs w:val="28"/>
          <w:lang w:eastAsia="es-CL"/>
        </w:rPr>
      </w:pPr>
      <w:r w:rsidRPr="00476495">
        <w:rPr>
          <w:rFonts w:eastAsia="Times New Roman" w:cs="Arial"/>
          <w:color w:val="222222"/>
          <w:sz w:val="28"/>
          <w:szCs w:val="28"/>
          <w:lang w:eastAsia="es-CL"/>
        </w:rPr>
        <w:t> </w:t>
      </w:r>
    </w:p>
    <w:p w:rsidR="00527638" w:rsidRDefault="00527638" w:rsidP="00E9076F">
      <w:pPr>
        <w:pStyle w:val="Prrafodelista"/>
        <w:numPr>
          <w:ilvl w:val="0"/>
          <w:numId w:val="4"/>
        </w:numPr>
        <w:shd w:val="clear" w:color="auto" w:fill="FFFFFF"/>
        <w:spacing w:after="0" w:line="240" w:lineRule="auto"/>
        <w:jc w:val="both"/>
        <w:rPr>
          <w:rFonts w:eastAsia="Times New Roman" w:cs="Times New Roman"/>
          <w:color w:val="222222"/>
          <w:sz w:val="28"/>
          <w:szCs w:val="28"/>
          <w:lang w:eastAsia="es-CL"/>
        </w:rPr>
      </w:pPr>
      <w:r>
        <w:rPr>
          <w:rFonts w:eastAsia="Times New Roman" w:cs="Times New Roman"/>
          <w:color w:val="222222"/>
          <w:sz w:val="28"/>
          <w:szCs w:val="28"/>
          <w:lang w:eastAsia="es-CL"/>
        </w:rPr>
        <w:t>El concepto de persona deudora debe comprender a personas que han emitido boletas de honorarios, pero con tope de a lo menos 54 UF mensuales.</w:t>
      </w:r>
    </w:p>
    <w:p w:rsidR="00527638" w:rsidRDefault="00527638" w:rsidP="00527638">
      <w:pPr>
        <w:pStyle w:val="Prrafodelista"/>
        <w:shd w:val="clear" w:color="auto" w:fill="FFFFFF"/>
        <w:spacing w:after="0" w:line="240" w:lineRule="auto"/>
        <w:jc w:val="both"/>
        <w:rPr>
          <w:rFonts w:eastAsia="Times New Roman" w:cs="Times New Roman"/>
          <w:color w:val="222222"/>
          <w:sz w:val="28"/>
          <w:szCs w:val="28"/>
          <w:lang w:eastAsia="es-CL"/>
        </w:rPr>
      </w:pPr>
    </w:p>
    <w:p w:rsidR="00E9076F" w:rsidRDefault="00080032" w:rsidP="00E9076F">
      <w:pPr>
        <w:pStyle w:val="Prrafodelista"/>
        <w:numPr>
          <w:ilvl w:val="0"/>
          <w:numId w:val="4"/>
        </w:numPr>
        <w:shd w:val="clear" w:color="auto" w:fill="FFFFFF"/>
        <w:spacing w:after="0" w:line="240" w:lineRule="auto"/>
        <w:jc w:val="both"/>
        <w:rPr>
          <w:rFonts w:eastAsia="Times New Roman" w:cs="Times New Roman"/>
          <w:color w:val="222222"/>
          <w:sz w:val="28"/>
          <w:szCs w:val="28"/>
          <w:lang w:eastAsia="es-CL"/>
        </w:rPr>
      </w:pPr>
      <w:r>
        <w:rPr>
          <w:rFonts w:eastAsia="Times New Roman" w:cs="Times New Roman"/>
          <w:color w:val="222222"/>
          <w:sz w:val="28"/>
          <w:szCs w:val="28"/>
          <w:lang w:eastAsia="es-CL"/>
        </w:rPr>
        <w:t>E</w:t>
      </w:r>
      <w:r w:rsidR="00E9076F" w:rsidRPr="00CC4600">
        <w:rPr>
          <w:rFonts w:eastAsia="Times New Roman" w:cs="Times New Roman"/>
          <w:color w:val="222222"/>
          <w:sz w:val="28"/>
          <w:szCs w:val="28"/>
          <w:lang w:eastAsia="es-CL"/>
        </w:rPr>
        <w:t>stablecer la obligatoriedad de consignar (50 UF) para solventar los gastos de la liquidación</w:t>
      </w:r>
      <w:r w:rsidR="00CC4600">
        <w:rPr>
          <w:rFonts w:eastAsia="Times New Roman" w:cs="Times New Roman"/>
          <w:color w:val="222222"/>
          <w:sz w:val="28"/>
          <w:szCs w:val="28"/>
          <w:lang w:eastAsia="es-CL"/>
        </w:rPr>
        <w:t xml:space="preserve"> de persona natural</w:t>
      </w:r>
      <w:r>
        <w:rPr>
          <w:rFonts w:eastAsia="Times New Roman" w:cs="Times New Roman"/>
          <w:color w:val="222222"/>
          <w:sz w:val="28"/>
          <w:szCs w:val="28"/>
          <w:lang w:eastAsia="es-CL"/>
        </w:rPr>
        <w:t>, y hacerlo extensible a la liquidación voluntaria de la empresa deudora</w:t>
      </w:r>
      <w:r w:rsidR="00E9076F" w:rsidRPr="00CC4600">
        <w:rPr>
          <w:rFonts w:eastAsia="Times New Roman" w:cs="Times New Roman"/>
          <w:color w:val="222222"/>
          <w:sz w:val="28"/>
          <w:szCs w:val="28"/>
          <w:lang w:eastAsia="es-CL"/>
        </w:rPr>
        <w:t>.</w:t>
      </w:r>
    </w:p>
    <w:p w:rsidR="00CC4600" w:rsidRPr="00CC4600" w:rsidRDefault="00CC4600" w:rsidP="00CC4600">
      <w:pPr>
        <w:pStyle w:val="Prrafodelista"/>
        <w:rPr>
          <w:rFonts w:eastAsia="Times New Roman" w:cs="Times New Roman"/>
          <w:color w:val="222222"/>
          <w:sz w:val="28"/>
          <w:szCs w:val="28"/>
          <w:lang w:eastAsia="es-CL"/>
        </w:rPr>
      </w:pPr>
    </w:p>
    <w:p w:rsidR="00CC4600" w:rsidRPr="00CC4600" w:rsidRDefault="00CC4600" w:rsidP="00CC4600">
      <w:pPr>
        <w:shd w:val="clear" w:color="auto" w:fill="FFFFFF"/>
        <w:spacing w:after="0" w:line="240" w:lineRule="auto"/>
        <w:jc w:val="both"/>
        <w:rPr>
          <w:rFonts w:eastAsia="Times New Roman" w:cs="Times New Roman"/>
          <w:color w:val="222222"/>
          <w:sz w:val="28"/>
          <w:szCs w:val="28"/>
          <w:lang w:eastAsia="es-CL"/>
        </w:rPr>
      </w:pPr>
      <w:r>
        <w:rPr>
          <w:rFonts w:eastAsia="Times New Roman" w:cs="Times New Roman"/>
          <w:color w:val="222222"/>
          <w:sz w:val="28"/>
          <w:szCs w:val="28"/>
          <w:lang w:eastAsia="es-CL"/>
        </w:rPr>
        <w:t xml:space="preserve">2.- </w:t>
      </w:r>
      <w:r w:rsidRPr="00CC4600">
        <w:rPr>
          <w:rFonts w:eastAsia="Times New Roman" w:cs="Times New Roman"/>
          <w:color w:val="222222"/>
          <w:sz w:val="28"/>
          <w:szCs w:val="28"/>
          <w:lang w:eastAsia="es-CL"/>
        </w:rPr>
        <w:t>Determinar en forma precisa qué créditos NO se exti</w:t>
      </w:r>
      <w:r w:rsidR="00095A71">
        <w:rPr>
          <w:rFonts w:eastAsia="Times New Roman" w:cs="Times New Roman"/>
          <w:color w:val="222222"/>
          <w:sz w:val="28"/>
          <w:szCs w:val="28"/>
          <w:lang w:eastAsia="es-CL"/>
        </w:rPr>
        <w:t>n</w:t>
      </w:r>
      <w:r w:rsidRPr="00CC4600">
        <w:rPr>
          <w:rFonts w:eastAsia="Times New Roman" w:cs="Times New Roman"/>
          <w:color w:val="222222"/>
          <w:sz w:val="28"/>
          <w:szCs w:val="28"/>
          <w:lang w:eastAsia="es-CL"/>
        </w:rPr>
        <w:t>guirá</w:t>
      </w:r>
      <w:r w:rsidR="00080032">
        <w:rPr>
          <w:rFonts w:eastAsia="Times New Roman" w:cs="Times New Roman"/>
          <w:color w:val="222222"/>
          <w:sz w:val="28"/>
          <w:szCs w:val="28"/>
          <w:lang w:eastAsia="es-CL"/>
        </w:rPr>
        <w:t xml:space="preserve">n con la sentencia de término, </w:t>
      </w:r>
      <w:proofErr w:type="spellStart"/>
      <w:r w:rsidR="00080032">
        <w:rPr>
          <w:rFonts w:eastAsia="Times New Roman" w:cs="Times New Roman"/>
          <w:color w:val="222222"/>
          <w:sz w:val="28"/>
          <w:szCs w:val="28"/>
          <w:lang w:eastAsia="es-CL"/>
        </w:rPr>
        <w:t>E</w:t>
      </w:r>
      <w:r w:rsidRPr="00CC4600">
        <w:rPr>
          <w:rFonts w:eastAsia="Times New Roman" w:cs="Times New Roman"/>
          <w:color w:val="222222"/>
          <w:sz w:val="28"/>
          <w:szCs w:val="28"/>
          <w:lang w:eastAsia="es-CL"/>
        </w:rPr>
        <w:t>j</w:t>
      </w:r>
      <w:proofErr w:type="spellEnd"/>
      <w:r w:rsidRPr="00CC4600">
        <w:rPr>
          <w:rFonts w:eastAsia="Times New Roman" w:cs="Times New Roman"/>
          <w:color w:val="222222"/>
          <w:sz w:val="28"/>
          <w:szCs w:val="28"/>
          <w:lang w:eastAsia="es-CL"/>
        </w:rPr>
        <w:t xml:space="preserve"> créditos CAE, pensiones de alimentos…</w:t>
      </w:r>
    </w:p>
    <w:p w:rsidR="00CC4600" w:rsidRPr="00CC4600" w:rsidRDefault="00CC4600" w:rsidP="00CC4600">
      <w:pPr>
        <w:pStyle w:val="Prrafodelista"/>
        <w:rPr>
          <w:rFonts w:eastAsia="Times New Roman" w:cs="Times New Roman"/>
          <w:color w:val="222222"/>
          <w:sz w:val="28"/>
          <w:szCs w:val="28"/>
          <w:lang w:eastAsia="es-CL"/>
        </w:rPr>
      </w:pPr>
    </w:p>
    <w:p w:rsidR="00CC4600" w:rsidRDefault="00CC4600" w:rsidP="00CC4600">
      <w:pPr>
        <w:shd w:val="clear" w:color="auto" w:fill="FFFFFF"/>
        <w:spacing w:after="0" w:line="240" w:lineRule="auto"/>
        <w:jc w:val="both"/>
        <w:rPr>
          <w:rFonts w:eastAsia="Times New Roman" w:cs="Times New Roman"/>
          <w:color w:val="222222"/>
          <w:sz w:val="28"/>
          <w:szCs w:val="28"/>
          <w:lang w:eastAsia="es-CL"/>
        </w:rPr>
      </w:pPr>
      <w:r>
        <w:rPr>
          <w:rFonts w:eastAsia="Times New Roman" w:cs="Times New Roman"/>
          <w:color w:val="222222"/>
          <w:sz w:val="28"/>
          <w:szCs w:val="28"/>
          <w:lang w:eastAsia="es-CL"/>
        </w:rPr>
        <w:t xml:space="preserve">3.- </w:t>
      </w:r>
      <w:r w:rsidRPr="00CC4600">
        <w:rPr>
          <w:rFonts w:eastAsia="Times New Roman" w:cs="Times New Roman"/>
          <w:color w:val="222222"/>
          <w:sz w:val="28"/>
          <w:szCs w:val="28"/>
          <w:lang w:eastAsia="es-CL"/>
        </w:rPr>
        <w:t>En caso de liquidación de la persona deudora, concentrar en un sólo día, las audiencias de determinación de pasivo y la junta constitutiva.</w:t>
      </w:r>
    </w:p>
    <w:p w:rsidR="00527638" w:rsidRDefault="00527638" w:rsidP="00CC4600">
      <w:pPr>
        <w:shd w:val="clear" w:color="auto" w:fill="FFFFFF"/>
        <w:spacing w:after="0" w:line="240" w:lineRule="auto"/>
        <w:jc w:val="both"/>
        <w:rPr>
          <w:rFonts w:eastAsia="Times New Roman" w:cs="Times New Roman"/>
          <w:color w:val="222222"/>
          <w:sz w:val="28"/>
          <w:szCs w:val="28"/>
          <w:lang w:eastAsia="es-CL"/>
        </w:rPr>
      </w:pPr>
    </w:p>
    <w:p w:rsidR="00527638" w:rsidRPr="00CC4600" w:rsidRDefault="00527638" w:rsidP="00CC4600">
      <w:pPr>
        <w:shd w:val="clear" w:color="auto" w:fill="FFFFFF"/>
        <w:spacing w:after="0" w:line="240" w:lineRule="auto"/>
        <w:jc w:val="both"/>
        <w:rPr>
          <w:rFonts w:eastAsia="Times New Roman" w:cs="Arial"/>
          <w:color w:val="222222"/>
          <w:sz w:val="28"/>
          <w:szCs w:val="28"/>
          <w:lang w:eastAsia="es-CL"/>
        </w:rPr>
      </w:pPr>
      <w:r>
        <w:rPr>
          <w:rFonts w:eastAsia="Times New Roman" w:cs="Times New Roman"/>
          <w:color w:val="222222"/>
          <w:sz w:val="28"/>
          <w:szCs w:val="28"/>
          <w:lang w:eastAsia="es-CL"/>
        </w:rPr>
        <w:lastRenderedPageBreak/>
        <w:t xml:space="preserve">4.- Habilitar la plataforma del poder judicial, para que las resoluciones que se </w:t>
      </w:r>
      <w:bookmarkStart w:id="0" w:name="_GoBack"/>
      <w:bookmarkEnd w:id="0"/>
      <w:r>
        <w:rPr>
          <w:rFonts w:eastAsia="Times New Roman" w:cs="Times New Roman"/>
          <w:color w:val="222222"/>
          <w:sz w:val="28"/>
          <w:szCs w:val="28"/>
          <w:lang w:eastAsia="es-CL"/>
        </w:rPr>
        <w:t>dicten en los procesos concursales, se reflejen o suban en el Boletin Concursal de manera automática.</w:t>
      </w:r>
    </w:p>
    <w:p w:rsidR="00527638" w:rsidRDefault="00527638" w:rsidP="00A81A84">
      <w:pPr>
        <w:shd w:val="clear" w:color="auto" w:fill="FFFFFF"/>
        <w:spacing w:after="0" w:line="240" w:lineRule="auto"/>
        <w:jc w:val="both"/>
        <w:rPr>
          <w:rFonts w:eastAsia="Times New Roman" w:cs="Arial"/>
          <w:color w:val="222222"/>
          <w:sz w:val="28"/>
          <w:szCs w:val="28"/>
          <w:lang w:eastAsia="es-CL"/>
        </w:rPr>
      </w:pPr>
    </w:p>
    <w:p w:rsidR="00476495" w:rsidRPr="00476495" w:rsidRDefault="00527638" w:rsidP="00A81A84">
      <w:pPr>
        <w:shd w:val="clear" w:color="auto" w:fill="FFFFFF"/>
        <w:spacing w:after="0" w:line="240" w:lineRule="auto"/>
        <w:jc w:val="both"/>
        <w:rPr>
          <w:rFonts w:eastAsia="Times New Roman" w:cs="Arial"/>
          <w:color w:val="222222"/>
          <w:sz w:val="28"/>
          <w:szCs w:val="28"/>
          <w:lang w:eastAsia="es-CL"/>
        </w:rPr>
      </w:pPr>
      <w:r>
        <w:rPr>
          <w:rFonts w:eastAsia="Times New Roman" w:cs="Arial"/>
          <w:color w:val="222222"/>
          <w:sz w:val="28"/>
          <w:szCs w:val="28"/>
          <w:lang w:eastAsia="es-CL"/>
        </w:rPr>
        <w:t>5</w:t>
      </w:r>
      <w:r w:rsidR="00476495" w:rsidRPr="00476495">
        <w:rPr>
          <w:rFonts w:eastAsia="Times New Roman" w:cs="Arial"/>
          <w:color w:val="222222"/>
          <w:sz w:val="28"/>
          <w:szCs w:val="28"/>
          <w:lang w:eastAsia="es-CL"/>
        </w:rPr>
        <w:t xml:space="preserve">.-  Eliminar </w:t>
      </w:r>
      <w:r w:rsidR="00CC4600">
        <w:rPr>
          <w:rFonts w:eastAsia="Times New Roman" w:cs="Arial"/>
          <w:color w:val="222222"/>
          <w:sz w:val="28"/>
          <w:szCs w:val="28"/>
          <w:lang w:eastAsia="es-CL"/>
        </w:rPr>
        <w:t xml:space="preserve">o a lo menos postergar por 5 años más la </w:t>
      </w:r>
      <w:r w:rsidR="00476495" w:rsidRPr="00476495">
        <w:rPr>
          <w:rFonts w:eastAsia="Times New Roman" w:cs="Arial"/>
          <w:color w:val="222222"/>
          <w:sz w:val="28"/>
          <w:szCs w:val="28"/>
          <w:lang w:eastAsia="es-CL"/>
        </w:rPr>
        <w:t>incompatibilidad de la calidad de Liquidador y Veedor.</w:t>
      </w:r>
    </w:p>
    <w:p w:rsidR="00476495" w:rsidRPr="00476495" w:rsidRDefault="00476495" w:rsidP="00A81A84">
      <w:pPr>
        <w:shd w:val="clear" w:color="auto" w:fill="FFFFFF"/>
        <w:spacing w:after="0" w:line="240" w:lineRule="auto"/>
        <w:jc w:val="both"/>
        <w:rPr>
          <w:rFonts w:eastAsia="Times New Roman" w:cs="Arial"/>
          <w:color w:val="222222"/>
          <w:sz w:val="28"/>
          <w:szCs w:val="28"/>
          <w:lang w:eastAsia="es-CL"/>
        </w:rPr>
      </w:pPr>
      <w:r w:rsidRPr="00476495">
        <w:rPr>
          <w:rFonts w:eastAsia="Times New Roman" w:cs="Arial"/>
          <w:color w:val="222222"/>
          <w:sz w:val="28"/>
          <w:szCs w:val="28"/>
          <w:lang w:eastAsia="es-CL"/>
        </w:rPr>
        <w:t> </w:t>
      </w:r>
    </w:p>
    <w:p w:rsidR="00CC4600" w:rsidRDefault="00476495" w:rsidP="00CC4600">
      <w:pPr>
        <w:pStyle w:val="Prrafodelista"/>
        <w:numPr>
          <w:ilvl w:val="0"/>
          <w:numId w:val="4"/>
        </w:numPr>
        <w:shd w:val="clear" w:color="auto" w:fill="FFFFFF"/>
        <w:spacing w:after="0" w:line="240" w:lineRule="auto"/>
        <w:jc w:val="both"/>
        <w:rPr>
          <w:rFonts w:eastAsia="Times New Roman" w:cs="Times New Roman"/>
          <w:color w:val="222222"/>
          <w:sz w:val="28"/>
          <w:szCs w:val="28"/>
          <w:lang w:eastAsia="es-CL"/>
        </w:rPr>
      </w:pPr>
      <w:r w:rsidRPr="00CC4600">
        <w:rPr>
          <w:rFonts w:eastAsia="Times New Roman" w:cs="Times New Roman"/>
          <w:color w:val="222222"/>
          <w:sz w:val="28"/>
          <w:szCs w:val="28"/>
          <w:lang w:eastAsia="es-CL"/>
        </w:rPr>
        <w:t>No existe ninguna ra</w:t>
      </w:r>
      <w:r w:rsidR="00CC4600" w:rsidRPr="00CC4600">
        <w:rPr>
          <w:rFonts w:eastAsia="Times New Roman" w:cs="Times New Roman"/>
          <w:color w:val="222222"/>
          <w:sz w:val="28"/>
          <w:szCs w:val="28"/>
          <w:lang w:eastAsia="es-CL"/>
        </w:rPr>
        <w:t>zón jurídica ni práctica para impedir que una persona ostente ambas</w:t>
      </w:r>
      <w:r w:rsidRPr="00CC4600">
        <w:rPr>
          <w:rFonts w:eastAsia="Times New Roman" w:cs="Times New Roman"/>
          <w:color w:val="222222"/>
          <w:sz w:val="28"/>
          <w:szCs w:val="28"/>
          <w:lang w:eastAsia="es-CL"/>
        </w:rPr>
        <w:t xml:space="preserve"> </w:t>
      </w:r>
      <w:r w:rsidR="00CC4600" w:rsidRPr="00CC4600">
        <w:rPr>
          <w:rFonts w:eastAsia="Times New Roman" w:cs="Times New Roman"/>
          <w:color w:val="222222"/>
          <w:sz w:val="28"/>
          <w:szCs w:val="28"/>
          <w:lang w:eastAsia="es-CL"/>
        </w:rPr>
        <w:t>calidades, en especial considerando la cantidad de reorganizaciones vs liquidaciones</w:t>
      </w:r>
      <w:r w:rsidRPr="00CC4600">
        <w:rPr>
          <w:rFonts w:eastAsia="Times New Roman" w:cs="Times New Roman"/>
          <w:color w:val="222222"/>
          <w:sz w:val="28"/>
          <w:szCs w:val="28"/>
          <w:lang w:eastAsia="es-CL"/>
        </w:rPr>
        <w:t>.</w:t>
      </w:r>
    </w:p>
    <w:p w:rsidR="00CC4600" w:rsidRDefault="00CC4600" w:rsidP="00CC4600">
      <w:pPr>
        <w:pStyle w:val="Prrafodelista"/>
        <w:shd w:val="clear" w:color="auto" w:fill="FFFFFF"/>
        <w:spacing w:after="0" w:line="240" w:lineRule="auto"/>
        <w:jc w:val="both"/>
        <w:rPr>
          <w:rFonts w:eastAsia="Times New Roman" w:cs="Times New Roman"/>
          <w:color w:val="222222"/>
          <w:sz w:val="28"/>
          <w:szCs w:val="28"/>
          <w:lang w:eastAsia="es-CL"/>
        </w:rPr>
      </w:pPr>
    </w:p>
    <w:p w:rsidR="00CC4600" w:rsidRDefault="00CC4600" w:rsidP="00CC4600">
      <w:pPr>
        <w:pStyle w:val="Prrafodelista"/>
        <w:numPr>
          <w:ilvl w:val="0"/>
          <w:numId w:val="4"/>
        </w:numPr>
        <w:shd w:val="clear" w:color="auto" w:fill="FFFFFF"/>
        <w:spacing w:after="0" w:line="240" w:lineRule="auto"/>
        <w:jc w:val="both"/>
        <w:rPr>
          <w:rFonts w:eastAsia="Times New Roman" w:cs="Times New Roman"/>
          <w:color w:val="222222"/>
          <w:sz w:val="28"/>
          <w:szCs w:val="28"/>
          <w:lang w:eastAsia="es-CL"/>
        </w:rPr>
      </w:pPr>
      <w:r w:rsidRPr="00CC4600">
        <w:rPr>
          <w:rFonts w:eastAsia="Times New Roman" w:cs="Times New Roman"/>
          <w:color w:val="222222"/>
          <w:sz w:val="28"/>
          <w:szCs w:val="28"/>
          <w:lang w:eastAsia="es-CL"/>
        </w:rPr>
        <w:t xml:space="preserve">Durante la vigencia del Libro IV, </w:t>
      </w:r>
      <w:r w:rsidR="00476495" w:rsidRPr="00CC4600">
        <w:rPr>
          <w:rFonts w:eastAsia="Times New Roman" w:cs="Times New Roman"/>
          <w:color w:val="222222"/>
          <w:sz w:val="28"/>
          <w:szCs w:val="28"/>
          <w:lang w:eastAsia="es-CL"/>
        </w:rPr>
        <w:t xml:space="preserve"> de Síndicos de Quiebra</w:t>
      </w:r>
      <w:r w:rsidRPr="00CC4600">
        <w:rPr>
          <w:rFonts w:eastAsia="Times New Roman" w:cs="Times New Roman"/>
          <w:color w:val="222222"/>
          <w:sz w:val="28"/>
          <w:szCs w:val="28"/>
          <w:lang w:eastAsia="es-CL"/>
        </w:rPr>
        <w:t xml:space="preserve">s intervenían en Convenios Judiciales y en quiebras sin que hasta la fecha haya existido ningún </w:t>
      </w:r>
      <w:r w:rsidR="00476495" w:rsidRPr="00CC4600">
        <w:rPr>
          <w:rFonts w:eastAsia="Times New Roman" w:cs="Times New Roman"/>
          <w:color w:val="222222"/>
          <w:sz w:val="28"/>
          <w:szCs w:val="28"/>
          <w:lang w:eastAsia="es-CL"/>
        </w:rPr>
        <w:t>problema en esta materia.</w:t>
      </w:r>
    </w:p>
    <w:p w:rsidR="00CC4600" w:rsidRPr="00CC4600" w:rsidRDefault="00CC4600" w:rsidP="00CC4600">
      <w:pPr>
        <w:pStyle w:val="Prrafodelista"/>
        <w:rPr>
          <w:rFonts w:eastAsia="Times New Roman" w:cs="Times New Roman"/>
          <w:color w:val="222222"/>
          <w:sz w:val="28"/>
          <w:szCs w:val="28"/>
          <w:lang w:eastAsia="es-CL"/>
        </w:rPr>
      </w:pPr>
    </w:p>
    <w:p w:rsidR="00CC4600" w:rsidRDefault="00476495" w:rsidP="00CC4600">
      <w:pPr>
        <w:pStyle w:val="Prrafodelista"/>
        <w:numPr>
          <w:ilvl w:val="0"/>
          <w:numId w:val="4"/>
        </w:numPr>
        <w:shd w:val="clear" w:color="auto" w:fill="FFFFFF"/>
        <w:spacing w:after="0" w:line="240" w:lineRule="auto"/>
        <w:jc w:val="both"/>
        <w:rPr>
          <w:rFonts w:eastAsia="Times New Roman" w:cs="Times New Roman"/>
          <w:color w:val="222222"/>
          <w:sz w:val="28"/>
          <w:szCs w:val="28"/>
          <w:lang w:eastAsia="es-CL"/>
        </w:rPr>
      </w:pPr>
      <w:r w:rsidRPr="00CC4600">
        <w:rPr>
          <w:rFonts w:eastAsia="Times New Roman" w:cs="Times New Roman"/>
          <w:color w:val="222222"/>
          <w:sz w:val="28"/>
          <w:szCs w:val="28"/>
          <w:lang w:eastAsia="es-CL"/>
        </w:rPr>
        <w:t>Disminuirá considerablemente el número de Veedores, produciéndose una concentración de mercado y con muy pocas opciones para los acreedores.</w:t>
      </w:r>
    </w:p>
    <w:p w:rsidR="00CC4600" w:rsidRPr="00CC4600" w:rsidRDefault="00CC4600" w:rsidP="00CC4600">
      <w:pPr>
        <w:pStyle w:val="Prrafodelista"/>
        <w:rPr>
          <w:rFonts w:eastAsia="Times New Roman" w:cs="Times New Roman"/>
          <w:color w:val="222222"/>
          <w:sz w:val="28"/>
          <w:szCs w:val="28"/>
          <w:lang w:eastAsia="es-CL"/>
        </w:rPr>
      </w:pPr>
    </w:p>
    <w:p w:rsidR="00476495" w:rsidRPr="00CC4600" w:rsidRDefault="00476495" w:rsidP="00CC4600">
      <w:pPr>
        <w:pStyle w:val="Prrafodelista"/>
        <w:numPr>
          <w:ilvl w:val="0"/>
          <w:numId w:val="4"/>
        </w:numPr>
        <w:shd w:val="clear" w:color="auto" w:fill="FFFFFF"/>
        <w:spacing w:after="0" w:line="240" w:lineRule="auto"/>
        <w:jc w:val="both"/>
        <w:rPr>
          <w:rFonts w:eastAsia="Times New Roman" w:cs="Times New Roman"/>
          <w:color w:val="222222"/>
          <w:sz w:val="28"/>
          <w:szCs w:val="28"/>
          <w:lang w:eastAsia="es-CL"/>
        </w:rPr>
      </w:pPr>
      <w:r w:rsidRPr="00CC4600">
        <w:rPr>
          <w:rFonts w:eastAsia="Times New Roman" w:cs="Times New Roman"/>
          <w:color w:val="222222"/>
          <w:sz w:val="28"/>
          <w:szCs w:val="28"/>
          <w:lang w:eastAsia="es-CL"/>
        </w:rPr>
        <w:t>Como consecuencia de lo señalado, se producirá el incentivo perverso de fomentar las Liquidaciones por sobre las Reorganizaciones por los costos involucrados.</w:t>
      </w:r>
    </w:p>
    <w:p w:rsidR="000761EE" w:rsidRPr="00A81A84" w:rsidRDefault="000761EE" w:rsidP="00A81A84">
      <w:pPr>
        <w:jc w:val="both"/>
        <w:rPr>
          <w:sz w:val="28"/>
          <w:szCs w:val="28"/>
        </w:rPr>
      </w:pPr>
    </w:p>
    <w:sectPr w:rsidR="000761EE" w:rsidRPr="00A81A84" w:rsidSect="0027116C">
      <w:pgSz w:w="12240" w:h="15840"/>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4E1"/>
    <w:multiLevelType w:val="hybridMultilevel"/>
    <w:tmpl w:val="C918508C"/>
    <w:lvl w:ilvl="0" w:tplc="6728E1DC">
      <w:start w:val="1"/>
      <w:numFmt w:val="bullet"/>
      <w:lvlText w:val="•"/>
      <w:lvlJc w:val="left"/>
      <w:pPr>
        <w:tabs>
          <w:tab w:val="num" w:pos="720"/>
        </w:tabs>
        <w:ind w:left="720" w:hanging="360"/>
      </w:pPr>
      <w:rPr>
        <w:rFonts w:ascii="Arial" w:hAnsi="Arial" w:hint="default"/>
      </w:rPr>
    </w:lvl>
    <w:lvl w:ilvl="1" w:tplc="5CB4F51C">
      <w:numFmt w:val="bullet"/>
      <w:lvlText w:val="–"/>
      <w:lvlJc w:val="left"/>
      <w:pPr>
        <w:tabs>
          <w:tab w:val="num" w:pos="1440"/>
        </w:tabs>
        <w:ind w:left="1440" w:hanging="360"/>
      </w:pPr>
      <w:rPr>
        <w:rFonts w:ascii="Arial" w:hAnsi="Arial" w:hint="default"/>
      </w:rPr>
    </w:lvl>
    <w:lvl w:ilvl="2" w:tplc="C0ACF676" w:tentative="1">
      <w:start w:val="1"/>
      <w:numFmt w:val="bullet"/>
      <w:lvlText w:val="•"/>
      <w:lvlJc w:val="left"/>
      <w:pPr>
        <w:tabs>
          <w:tab w:val="num" w:pos="2160"/>
        </w:tabs>
        <w:ind w:left="2160" w:hanging="360"/>
      </w:pPr>
      <w:rPr>
        <w:rFonts w:ascii="Arial" w:hAnsi="Arial" w:hint="default"/>
      </w:rPr>
    </w:lvl>
    <w:lvl w:ilvl="3" w:tplc="A1163E2E" w:tentative="1">
      <w:start w:val="1"/>
      <w:numFmt w:val="bullet"/>
      <w:lvlText w:val="•"/>
      <w:lvlJc w:val="left"/>
      <w:pPr>
        <w:tabs>
          <w:tab w:val="num" w:pos="2880"/>
        </w:tabs>
        <w:ind w:left="2880" w:hanging="360"/>
      </w:pPr>
      <w:rPr>
        <w:rFonts w:ascii="Arial" w:hAnsi="Arial" w:hint="default"/>
      </w:rPr>
    </w:lvl>
    <w:lvl w:ilvl="4" w:tplc="B446520E" w:tentative="1">
      <w:start w:val="1"/>
      <w:numFmt w:val="bullet"/>
      <w:lvlText w:val="•"/>
      <w:lvlJc w:val="left"/>
      <w:pPr>
        <w:tabs>
          <w:tab w:val="num" w:pos="3600"/>
        </w:tabs>
        <w:ind w:left="3600" w:hanging="360"/>
      </w:pPr>
      <w:rPr>
        <w:rFonts w:ascii="Arial" w:hAnsi="Arial" w:hint="default"/>
      </w:rPr>
    </w:lvl>
    <w:lvl w:ilvl="5" w:tplc="3D020238" w:tentative="1">
      <w:start w:val="1"/>
      <w:numFmt w:val="bullet"/>
      <w:lvlText w:val="•"/>
      <w:lvlJc w:val="left"/>
      <w:pPr>
        <w:tabs>
          <w:tab w:val="num" w:pos="4320"/>
        </w:tabs>
        <w:ind w:left="4320" w:hanging="360"/>
      </w:pPr>
      <w:rPr>
        <w:rFonts w:ascii="Arial" w:hAnsi="Arial" w:hint="default"/>
      </w:rPr>
    </w:lvl>
    <w:lvl w:ilvl="6" w:tplc="6FC070CA" w:tentative="1">
      <w:start w:val="1"/>
      <w:numFmt w:val="bullet"/>
      <w:lvlText w:val="•"/>
      <w:lvlJc w:val="left"/>
      <w:pPr>
        <w:tabs>
          <w:tab w:val="num" w:pos="5040"/>
        </w:tabs>
        <w:ind w:left="5040" w:hanging="360"/>
      </w:pPr>
      <w:rPr>
        <w:rFonts w:ascii="Arial" w:hAnsi="Arial" w:hint="default"/>
      </w:rPr>
    </w:lvl>
    <w:lvl w:ilvl="7" w:tplc="5B1A7FEA" w:tentative="1">
      <w:start w:val="1"/>
      <w:numFmt w:val="bullet"/>
      <w:lvlText w:val="•"/>
      <w:lvlJc w:val="left"/>
      <w:pPr>
        <w:tabs>
          <w:tab w:val="num" w:pos="5760"/>
        </w:tabs>
        <w:ind w:left="5760" w:hanging="360"/>
      </w:pPr>
      <w:rPr>
        <w:rFonts w:ascii="Arial" w:hAnsi="Arial" w:hint="default"/>
      </w:rPr>
    </w:lvl>
    <w:lvl w:ilvl="8" w:tplc="908A8E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EC1929"/>
    <w:multiLevelType w:val="hybridMultilevel"/>
    <w:tmpl w:val="D90ACC90"/>
    <w:lvl w:ilvl="0" w:tplc="ACBAF412">
      <w:start w:val="1"/>
      <w:numFmt w:val="bullet"/>
      <w:lvlText w:val="-"/>
      <w:lvlJc w:val="left"/>
      <w:pPr>
        <w:ind w:left="1080" w:hanging="360"/>
      </w:pPr>
      <w:rPr>
        <w:rFonts w:ascii="Calibri" w:eastAsia="Times New Roman"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52B53ACB"/>
    <w:multiLevelType w:val="hybridMultilevel"/>
    <w:tmpl w:val="0A444816"/>
    <w:lvl w:ilvl="0" w:tplc="45846FEC">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B5F5ADD"/>
    <w:multiLevelType w:val="hybridMultilevel"/>
    <w:tmpl w:val="5356975A"/>
    <w:lvl w:ilvl="0" w:tplc="FCE4793A">
      <w:start w:val="1"/>
      <w:numFmt w:val="bullet"/>
      <w:lvlText w:val="•"/>
      <w:lvlJc w:val="left"/>
      <w:pPr>
        <w:tabs>
          <w:tab w:val="num" w:pos="720"/>
        </w:tabs>
        <w:ind w:left="720" w:hanging="360"/>
      </w:pPr>
      <w:rPr>
        <w:rFonts w:ascii="Arial" w:hAnsi="Arial" w:hint="default"/>
      </w:rPr>
    </w:lvl>
    <w:lvl w:ilvl="1" w:tplc="2CFC0886" w:tentative="1">
      <w:start w:val="1"/>
      <w:numFmt w:val="bullet"/>
      <w:lvlText w:val="•"/>
      <w:lvlJc w:val="left"/>
      <w:pPr>
        <w:tabs>
          <w:tab w:val="num" w:pos="1440"/>
        </w:tabs>
        <w:ind w:left="1440" w:hanging="360"/>
      </w:pPr>
      <w:rPr>
        <w:rFonts w:ascii="Arial" w:hAnsi="Arial" w:hint="default"/>
      </w:rPr>
    </w:lvl>
    <w:lvl w:ilvl="2" w:tplc="5894793C" w:tentative="1">
      <w:start w:val="1"/>
      <w:numFmt w:val="bullet"/>
      <w:lvlText w:val="•"/>
      <w:lvlJc w:val="left"/>
      <w:pPr>
        <w:tabs>
          <w:tab w:val="num" w:pos="2160"/>
        </w:tabs>
        <w:ind w:left="2160" w:hanging="360"/>
      </w:pPr>
      <w:rPr>
        <w:rFonts w:ascii="Arial" w:hAnsi="Arial" w:hint="default"/>
      </w:rPr>
    </w:lvl>
    <w:lvl w:ilvl="3" w:tplc="8F74BE36" w:tentative="1">
      <w:start w:val="1"/>
      <w:numFmt w:val="bullet"/>
      <w:lvlText w:val="•"/>
      <w:lvlJc w:val="left"/>
      <w:pPr>
        <w:tabs>
          <w:tab w:val="num" w:pos="2880"/>
        </w:tabs>
        <w:ind w:left="2880" w:hanging="360"/>
      </w:pPr>
      <w:rPr>
        <w:rFonts w:ascii="Arial" w:hAnsi="Arial" w:hint="default"/>
      </w:rPr>
    </w:lvl>
    <w:lvl w:ilvl="4" w:tplc="93104972" w:tentative="1">
      <w:start w:val="1"/>
      <w:numFmt w:val="bullet"/>
      <w:lvlText w:val="•"/>
      <w:lvlJc w:val="left"/>
      <w:pPr>
        <w:tabs>
          <w:tab w:val="num" w:pos="3600"/>
        </w:tabs>
        <w:ind w:left="3600" w:hanging="360"/>
      </w:pPr>
      <w:rPr>
        <w:rFonts w:ascii="Arial" w:hAnsi="Arial" w:hint="default"/>
      </w:rPr>
    </w:lvl>
    <w:lvl w:ilvl="5" w:tplc="160897FA" w:tentative="1">
      <w:start w:val="1"/>
      <w:numFmt w:val="bullet"/>
      <w:lvlText w:val="•"/>
      <w:lvlJc w:val="left"/>
      <w:pPr>
        <w:tabs>
          <w:tab w:val="num" w:pos="4320"/>
        </w:tabs>
        <w:ind w:left="4320" w:hanging="360"/>
      </w:pPr>
      <w:rPr>
        <w:rFonts w:ascii="Arial" w:hAnsi="Arial" w:hint="default"/>
      </w:rPr>
    </w:lvl>
    <w:lvl w:ilvl="6" w:tplc="B6521CE2" w:tentative="1">
      <w:start w:val="1"/>
      <w:numFmt w:val="bullet"/>
      <w:lvlText w:val="•"/>
      <w:lvlJc w:val="left"/>
      <w:pPr>
        <w:tabs>
          <w:tab w:val="num" w:pos="5040"/>
        </w:tabs>
        <w:ind w:left="5040" w:hanging="360"/>
      </w:pPr>
      <w:rPr>
        <w:rFonts w:ascii="Arial" w:hAnsi="Arial" w:hint="default"/>
      </w:rPr>
    </w:lvl>
    <w:lvl w:ilvl="7" w:tplc="7F1A665C" w:tentative="1">
      <w:start w:val="1"/>
      <w:numFmt w:val="bullet"/>
      <w:lvlText w:val="•"/>
      <w:lvlJc w:val="left"/>
      <w:pPr>
        <w:tabs>
          <w:tab w:val="num" w:pos="5760"/>
        </w:tabs>
        <w:ind w:left="5760" w:hanging="360"/>
      </w:pPr>
      <w:rPr>
        <w:rFonts w:ascii="Arial" w:hAnsi="Arial" w:hint="default"/>
      </w:rPr>
    </w:lvl>
    <w:lvl w:ilvl="8" w:tplc="6BCCEF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95"/>
    <w:rsid w:val="000761EE"/>
    <w:rsid w:val="00080032"/>
    <w:rsid w:val="00095A71"/>
    <w:rsid w:val="00244A88"/>
    <w:rsid w:val="0027116C"/>
    <w:rsid w:val="002A02E0"/>
    <w:rsid w:val="00476495"/>
    <w:rsid w:val="004B0EC7"/>
    <w:rsid w:val="00527638"/>
    <w:rsid w:val="00771C48"/>
    <w:rsid w:val="009E4516"/>
    <w:rsid w:val="00A81A84"/>
    <w:rsid w:val="00CC4600"/>
    <w:rsid w:val="00E9076F"/>
    <w:rsid w:val="00F21A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EB1B5-DFB3-4508-940B-9587DBC9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1892632532342851108msolistparagraph">
    <w:name w:val="m_1892632532342851108msolistparagraph"/>
    <w:basedOn w:val="Normal"/>
    <w:rsid w:val="0047649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F21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A58"/>
    <w:rPr>
      <w:rFonts w:ascii="Tahoma" w:hAnsi="Tahoma" w:cs="Tahoma"/>
      <w:sz w:val="16"/>
      <w:szCs w:val="16"/>
    </w:rPr>
  </w:style>
  <w:style w:type="paragraph" w:styleId="Prrafodelista">
    <w:name w:val="List Paragraph"/>
    <w:basedOn w:val="Normal"/>
    <w:uiPriority w:val="34"/>
    <w:qFormat/>
    <w:rsid w:val="00C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9277">
      <w:bodyDiv w:val="1"/>
      <w:marLeft w:val="0"/>
      <w:marRight w:val="0"/>
      <w:marTop w:val="0"/>
      <w:marBottom w:val="0"/>
      <w:divBdr>
        <w:top w:val="none" w:sz="0" w:space="0" w:color="auto"/>
        <w:left w:val="none" w:sz="0" w:space="0" w:color="auto"/>
        <w:bottom w:val="none" w:sz="0" w:space="0" w:color="auto"/>
        <w:right w:val="none" w:sz="0" w:space="0" w:color="auto"/>
      </w:divBdr>
      <w:divsChild>
        <w:div w:id="1208301590">
          <w:marLeft w:val="547"/>
          <w:marRight w:val="0"/>
          <w:marTop w:val="67"/>
          <w:marBottom w:val="0"/>
          <w:divBdr>
            <w:top w:val="none" w:sz="0" w:space="0" w:color="auto"/>
            <w:left w:val="none" w:sz="0" w:space="0" w:color="auto"/>
            <w:bottom w:val="none" w:sz="0" w:space="0" w:color="auto"/>
            <w:right w:val="none" w:sz="0" w:space="0" w:color="auto"/>
          </w:divBdr>
        </w:div>
        <w:div w:id="284238634">
          <w:marLeft w:val="547"/>
          <w:marRight w:val="0"/>
          <w:marTop w:val="77"/>
          <w:marBottom w:val="0"/>
          <w:divBdr>
            <w:top w:val="none" w:sz="0" w:space="0" w:color="auto"/>
            <w:left w:val="none" w:sz="0" w:space="0" w:color="auto"/>
            <w:bottom w:val="none" w:sz="0" w:space="0" w:color="auto"/>
            <w:right w:val="none" w:sz="0" w:space="0" w:color="auto"/>
          </w:divBdr>
        </w:div>
      </w:divsChild>
    </w:div>
    <w:div w:id="1331056553">
      <w:bodyDiv w:val="1"/>
      <w:marLeft w:val="0"/>
      <w:marRight w:val="0"/>
      <w:marTop w:val="0"/>
      <w:marBottom w:val="0"/>
      <w:divBdr>
        <w:top w:val="none" w:sz="0" w:space="0" w:color="auto"/>
        <w:left w:val="none" w:sz="0" w:space="0" w:color="auto"/>
        <w:bottom w:val="none" w:sz="0" w:space="0" w:color="auto"/>
        <w:right w:val="none" w:sz="0" w:space="0" w:color="auto"/>
      </w:divBdr>
      <w:divsChild>
        <w:div w:id="848330588">
          <w:marLeft w:val="547"/>
          <w:marRight w:val="0"/>
          <w:marTop w:val="96"/>
          <w:marBottom w:val="0"/>
          <w:divBdr>
            <w:top w:val="none" w:sz="0" w:space="0" w:color="auto"/>
            <w:left w:val="none" w:sz="0" w:space="0" w:color="auto"/>
            <w:bottom w:val="none" w:sz="0" w:space="0" w:color="auto"/>
            <w:right w:val="none" w:sz="0" w:space="0" w:color="auto"/>
          </w:divBdr>
        </w:div>
        <w:div w:id="145514394">
          <w:marLeft w:val="1166"/>
          <w:marRight w:val="0"/>
          <w:marTop w:val="96"/>
          <w:marBottom w:val="0"/>
          <w:divBdr>
            <w:top w:val="none" w:sz="0" w:space="0" w:color="auto"/>
            <w:left w:val="none" w:sz="0" w:space="0" w:color="auto"/>
            <w:bottom w:val="none" w:sz="0" w:space="0" w:color="auto"/>
            <w:right w:val="none" w:sz="0" w:space="0" w:color="auto"/>
          </w:divBdr>
        </w:div>
        <w:div w:id="1021201830">
          <w:marLeft w:val="1166"/>
          <w:marRight w:val="0"/>
          <w:marTop w:val="96"/>
          <w:marBottom w:val="0"/>
          <w:divBdr>
            <w:top w:val="none" w:sz="0" w:space="0" w:color="auto"/>
            <w:left w:val="none" w:sz="0" w:space="0" w:color="auto"/>
            <w:bottom w:val="none" w:sz="0" w:space="0" w:color="auto"/>
            <w:right w:val="none" w:sz="0" w:space="0" w:color="auto"/>
          </w:divBdr>
        </w:div>
        <w:div w:id="631787104">
          <w:marLeft w:val="1166"/>
          <w:marRight w:val="0"/>
          <w:marTop w:val="96"/>
          <w:marBottom w:val="0"/>
          <w:divBdr>
            <w:top w:val="none" w:sz="0" w:space="0" w:color="auto"/>
            <w:left w:val="none" w:sz="0" w:space="0" w:color="auto"/>
            <w:bottom w:val="none" w:sz="0" w:space="0" w:color="auto"/>
            <w:right w:val="none" w:sz="0" w:space="0" w:color="auto"/>
          </w:divBdr>
        </w:div>
        <w:div w:id="403642902">
          <w:marLeft w:val="1166"/>
          <w:marRight w:val="0"/>
          <w:marTop w:val="96"/>
          <w:marBottom w:val="0"/>
          <w:divBdr>
            <w:top w:val="none" w:sz="0" w:space="0" w:color="auto"/>
            <w:left w:val="none" w:sz="0" w:space="0" w:color="auto"/>
            <w:bottom w:val="none" w:sz="0" w:space="0" w:color="auto"/>
            <w:right w:val="none" w:sz="0" w:space="0" w:color="auto"/>
          </w:divBdr>
        </w:div>
      </w:divsChild>
    </w:div>
    <w:div w:id="13458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Lried</dc:creator>
  <cp:lastModifiedBy>CKARMY</cp:lastModifiedBy>
  <cp:revision>2</cp:revision>
  <cp:lastPrinted>2018-10-16T19:08:00Z</cp:lastPrinted>
  <dcterms:created xsi:type="dcterms:W3CDTF">2018-10-16T19:08:00Z</dcterms:created>
  <dcterms:modified xsi:type="dcterms:W3CDTF">2018-10-16T19:08:00Z</dcterms:modified>
</cp:coreProperties>
</file>