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A2" w:rsidRPr="000B2C45" w:rsidRDefault="00430BA2" w:rsidP="00430BA2">
      <w:pPr>
        <w:spacing w:line="360" w:lineRule="auto"/>
        <w:jc w:val="center"/>
        <w:rPr>
          <w:rFonts w:asciiTheme="majorHAnsi" w:hAnsiTheme="majorHAnsi" w:cstheme="minorHAnsi"/>
          <w:b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b/>
          <w:sz w:val="20"/>
          <w:szCs w:val="20"/>
          <w:lang w:val="es-MX"/>
        </w:rPr>
        <w:t>SESION ORDINARIA</w:t>
      </w:r>
    </w:p>
    <w:p w:rsidR="00430BA2" w:rsidRPr="000B2C45" w:rsidRDefault="00430BA2" w:rsidP="00430BA2">
      <w:pPr>
        <w:spacing w:line="360" w:lineRule="auto"/>
        <w:jc w:val="center"/>
        <w:rPr>
          <w:rFonts w:asciiTheme="majorHAnsi" w:hAnsiTheme="majorHAnsi" w:cstheme="minorHAnsi"/>
          <w:b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b/>
          <w:sz w:val="20"/>
          <w:szCs w:val="20"/>
          <w:lang w:val="es-MX"/>
        </w:rPr>
        <w:t>“PROYECTO DE LEY QUE MODERNIZA Y FORTALECE EL EJERCICIO DE LA FUNCIÓN PÚBLICA DEL SERVICIO NACIONAL DE PESCA” BOLETÍN Nº 10482-21</w:t>
      </w:r>
    </w:p>
    <w:p w:rsidR="00430BA2" w:rsidRDefault="00430BA2" w:rsidP="00531DE4">
      <w:pPr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b/>
          <w:sz w:val="20"/>
          <w:szCs w:val="20"/>
          <w:lang w:val="es-MX"/>
        </w:rPr>
        <w:t>Senadora Carmen Gloria Aravena.</w:t>
      </w:r>
    </w:p>
    <w:p w:rsidR="00531DE4" w:rsidRPr="000B2C45" w:rsidRDefault="00531DE4" w:rsidP="00531DE4">
      <w:pPr>
        <w:spacing w:line="360" w:lineRule="auto"/>
        <w:jc w:val="right"/>
        <w:rPr>
          <w:rFonts w:asciiTheme="majorHAnsi" w:hAnsiTheme="majorHAnsi" w:cstheme="minorHAnsi"/>
          <w:b/>
          <w:sz w:val="20"/>
          <w:szCs w:val="20"/>
          <w:lang w:val="es-MX"/>
        </w:rPr>
      </w:pPr>
    </w:p>
    <w:p w:rsidR="00430BA2" w:rsidRPr="000B2C45" w:rsidRDefault="00430BA2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sz w:val="20"/>
          <w:szCs w:val="20"/>
          <w:lang w:val="es-MX"/>
        </w:rPr>
        <w:tab/>
        <w:t xml:space="preserve">Señor Presidente, colegas: </w:t>
      </w:r>
    </w:p>
    <w:p w:rsidR="000B2C45" w:rsidRDefault="008313F4" w:rsidP="00531DE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B2C45">
        <w:rPr>
          <w:rFonts w:asciiTheme="majorHAnsi" w:hAnsiTheme="majorHAnsi" w:cstheme="minorHAnsi"/>
          <w:sz w:val="20"/>
          <w:szCs w:val="20"/>
          <w:lang w:val="es-MX"/>
        </w:rPr>
        <w:tab/>
      </w:r>
      <w:r w:rsidR="000B2C45" w:rsidRPr="000B2C45">
        <w:rPr>
          <w:rFonts w:asciiTheme="majorHAnsi" w:hAnsiTheme="majorHAnsi"/>
          <w:sz w:val="20"/>
          <w:szCs w:val="20"/>
        </w:rPr>
        <w:t>La institucionalidad del sector pesquero y acuícola de Chile actúa bajo la responsabilidad del Ministerio de Economía fomento y Turi</w:t>
      </w:r>
      <w:r w:rsidR="00874930">
        <w:rPr>
          <w:rFonts w:asciiTheme="majorHAnsi" w:hAnsiTheme="majorHAnsi"/>
          <w:sz w:val="20"/>
          <w:szCs w:val="20"/>
        </w:rPr>
        <w:t>smo</w:t>
      </w:r>
      <w:r w:rsidR="000B2C45" w:rsidRPr="000B2C45">
        <w:rPr>
          <w:rFonts w:asciiTheme="majorHAnsi" w:hAnsiTheme="majorHAnsi"/>
          <w:sz w:val="20"/>
          <w:szCs w:val="20"/>
        </w:rPr>
        <w:t xml:space="preserve"> el cual tiene dos organismos dependientes encargados de la elaboración, implementación y ejecución de la política pesquera: Subsecretarí</w:t>
      </w:r>
      <w:r w:rsidR="00874930">
        <w:rPr>
          <w:rFonts w:asciiTheme="majorHAnsi" w:hAnsiTheme="majorHAnsi"/>
          <w:sz w:val="20"/>
          <w:szCs w:val="20"/>
        </w:rPr>
        <w:t>a de Pesca y Acuicultura</w:t>
      </w:r>
      <w:r w:rsidR="000B2C45" w:rsidRPr="000B2C45">
        <w:rPr>
          <w:rFonts w:asciiTheme="majorHAnsi" w:hAnsiTheme="majorHAnsi"/>
          <w:sz w:val="20"/>
          <w:szCs w:val="20"/>
        </w:rPr>
        <w:t xml:space="preserve"> y Servicio </w:t>
      </w:r>
      <w:r w:rsidR="00F555F8">
        <w:rPr>
          <w:rFonts w:asciiTheme="majorHAnsi" w:hAnsiTheme="majorHAnsi"/>
          <w:sz w:val="20"/>
          <w:szCs w:val="20"/>
        </w:rPr>
        <w:t>Nacional de Pesca y Acuicultura</w:t>
      </w:r>
      <w:r w:rsidR="000B2C45" w:rsidRPr="000B2C45">
        <w:rPr>
          <w:rFonts w:asciiTheme="majorHAnsi" w:hAnsiTheme="majorHAnsi"/>
          <w:sz w:val="20"/>
          <w:szCs w:val="20"/>
        </w:rPr>
        <w:t>, ambos creados a finales de la década de los ‘70. El primero de los servicios tiene a su cargo la elaboración de la política pesquera y de acuicultura y de dictar la normativa de implementación, a la vez que coordina el programa de investigación pesquera nacional. Por su parte, el Servicio Nacional de Pesca es el organismo fiscalizador de las actividades pesqueras y de acuicultura.</w:t>
      </w:r>
    </w:p>
    <w:p w:rsidR="008313F4" w:rsidRPr="000B2C45" w:rsidRDefault="008313F4" w:rsidP="00531DE4">
      <w:pPr>
        <w:spacing w:line="360" w:lineRule="auto"/>
        <w:ind w:firstLine="708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sz w:val="20"/>
          <w:szCs w:val="20"/>
          <w:lang w:val="es-MX"/>
        </w:rPr>
        <w:t>La Pesca ilegal, es a nivel mundial la tercera actividad ilícita en magnitud, de acuerdo con informes de la ONU y la FAO</w:t>
      </w:r>
      <w:r w:rsidR="00CD41A0" w:rsidRPr="000B2C45">
        <w:rPr>
          <w:rStyle w:val="Refdenotaalpie"/>
          <w:rFonts w:asciiTheme="majorHAnsi" w:hAnsiTheme="majorHAnsi" w:cstheme="minorHAnsi"/>
          <w:sz w:val="20"/>
          <w:szCs w:val="20"/>
          <w:lang w:val="es-MX"/>
        </w:rPr>
        <w:footnoteReference w:id="1"/>
      </w:r>
      <w:r w:rsidRPr="000B2C45">
        <w:rPr>
          <w:rFonts w:asciiTheme="majorHAnsi" w:hAnsiTheme="majorHAnsi" w:cstheme="minorHAnsi"/>
          <w:sz w:val="20"/>
          <w:szCs w:val="20"/>
          <w:lang w:val="es-MX"/>
        </w:rPr>
        <w:t xml:space="preserve">. A nivel nacional, en tanto, se ha podido dimensionar que el volumen de transacciones ilegales alcanza a US$ 300 millones anuales, por lo que su persecución significa no ir en contra de pequeños pescadores artesanales, sino de verdaderas redes articuladas para la obtención de beneficios.  </w:t>
      </w:r>
    </w:p>
    <w:p w:rsidR="00F54CA8" w:rsidRPr="000B2C45" w:rsidRDefault="00F54CA8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sz w:val="20"/>
          <w:szCs w:val="20"/>
          <w:lang w:val="es-MX"/>
        </w:rPr>
        <w:tab/>
        <w:t xml:space="preserve">Asimismo lo señaló con claridad un medio de comunicación al titular un artículo como </w:t>
      </w:r>
      <w:r w:rsidRPr="000B2C45">
        <w:rPr>
          <w:rFonts w:asciiTheme="majorHAnsi" w:hAnsiTheme="majorHAnsi" w:cstheme="minorHAnsi"/>
          <w:i/>
          <w:sz w:val="20"/>
          <w:szCs w:val="20"/>
          <w:lang w:val="es-MX"/>
        </w:rPr>
        <w:t>“Las cinco actividades del crimen organizado que recaudan más dinero en el mundo”</w:t>
      </w:r>
      <w:r w:rsidR="00F620A3" w:rsidRPr="000B2C45">
        <w:rPr>
          <w:rStyle w:val="Refdenotaalpie"/>
          <w:rFonts w:asciiTheme="majorHAnsi" w:hAnsiTheme="majorHAnsi" w:cstheme="minorHAnsi"/>
          <w:sz w:val="20"/>
          <w:szCs w:val="20"/>
          <w:lang w:val="es-MX"/>
        </w:rPr>
        <w:footnoteReference w:id="2"/>
      </w:r>
      <w:r w:rsidR="007B1DA4" w:rsidRPr="000B2C45">
        <w:rPr>
          <w:rFonts w:asciiTheme="majorHAnsi" w:hAnsiTheme="majorHAnsi" w:cstheme="minorHAnsi"/>
          <w:i/>
          <w:sz w:val="20"/>
          <w:szCs w:val="20"/>
          <w:lang w:val="es-MX"/>
        </w:rPr>
        <w:t xml:space="preserve"> </w:t>
      </w:r>
      <w:r w:rsidR="007B1DA4" w:rsidRPr="000B2C45">
        <w:rPr>
          <w:rFonts w:asciiTheme="majorHAnsi" w:hAnsiTheme="majorHAnsi" w:cstheme="minorHAnsi"/>
          <w:sz w:val="20"/>
          <w:szCs w:val="20"/>
          <w:lang w:val="es-MX"/>
        </w:rPr>
        <w:t xml:space="preserve"> lo que reafirma que dentro de éstas se encuentra la pesca ilegal.</w:t>
      </w:r>
    </w:p>
    <w:p w:rsidR="00772FD6" w:rsidRPr="000B2C45" w:rsidRDefault="00772FD6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sz w:val="20"/>
          <w:szCs w:val="20"/>
          <w:lang w:val="es-MX"/>
        </w:rPr>
        <w:t xml:space="preserve">La pesca ilícita puede representar hasta 26 millones de toneladas de pescado al año, lo que equivale a más del 15% de la producción total anual de la pesca de captura en el mundo. Además del perjuicio </w:t>
      </w:r>
      <w:r w:rsidRPr="000B2C45">
        <w:rPr>
          <w:rFonts w:asciiTheme="majorHAnsi" w:hAnsiTheme="majorHAnsi" w:cstheme="minorHAnsi"/>
          <w:sz w:val="20"/>
          <w:szCs w:val="20"/>
          <w:lang w:val="es-MX"/>
        </w:rPr>
        <w:lastRenderedPageBreak/>
        <w:t>económico, tales prácticas pueden amenazar la biodiversidad local y la seguridad alimentaria en muchos países.</w:t>
      </w:r>
    </w:p>
    <w:p w:rsidR="00772FD6" w:rsidRPr="000B2C45" w:rsidRDefault="00772FD6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B2C45">
        <w:rPr>
          <w:rFonts w:asciiTheme="majorHAnsi" w:hAnsiTheme="majorHAnsi" w:cstheme="minorHAnsi"/>
          <w:sz w:val="20"/>
          <w:szCs w:val="20"/>
        </w:rPr>
        <w:t xml:space="preserve">Los esfuerzos de la FAO por hacer frente a la pesca ilegal, no declarada y no reglamentada (INDNR) han cosechado resultados reales. El Acuerdo sobre medidas del Estado rector del puerto destinadas a prevenir, desalentar y eliminar la pesca ilegal, no declarada y no reglamentada, que se aprobó en 2009, entró en vigor el 5 de junio de 2016. Se trata de un hito y constituirá un factor impulsor decisivo en la lucha de la comunidad internacional contra el azote de la pesca </w:t>
      </w:r>
      <w:r w:rsidR="00C86F20" w:rsidRPr="000B2C45">
        <w:rPr>
          <w:rFonts w:asciiTheme="majorHAnsi" w:hAnsiTheme="majorHAnsi" w:cstheme="minorHAnsi"/>
          <w:sz w:val="20"/>
          <w:szCs w:val="20"/>
        </w:rPr>
        <w:t>no declarada y no reglamentada.</w:t>
      </w:r>
    </w:p>
    <w:p w:rsidR="000B2C45" w:rsidRPr="008502F0" w:rsidRDefault="00E4207F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B2C45">
        <w:rPr>
          <w:rFonts w:asciiTheme="majorHAnsi" w:hAnsiTheme="majorHAnsi" w:cstheme="minorHAnsi"/>
          <w:sz w:val="20"/>
          <w:szCs w:val="20"/>
        </w:rPr>
        <w:t>Afortunadamente, en octubre de 2017, Chile adhirió a la Red Contra la Pesca ilegal. De hecho, la Organización de las Naciones Unidas para la Alimentación y la Agricultura (FAO), confirmó mediante un comunicado de prensa que Chile, Panamá, Costa Rica y Perú conformaron la primera red en Latinoamérica y el Caribe contra la pesca ilegal. Esto, con el objetivo de intercambiar información y experiencias a fin de hacer frente de manera más eficiente a este ilícito.</w:t>
      </w:r>
    </w:p>
    <w:p w:rsidR="008313F4" w:rsidRPr="000B2C45" w:rsidRDefault="00E4207F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  <w:lang w:val="es-ES"/>
        </w:rPr>
      </w:pPr>
      <w:r w:rsidRPr="000B2C45">
        <w:rPr>
          <w:rFonts w:asciiTheme="majorHAnsi" w:hAnsiTheme="majorHAnsi" w:cstheme="minorHAnsi"/>
          <w:sz w:val="20"/>
          <w:szCs w:val="20"/>
          <w:lang w:val="es-ES"/>
        </w:rPr>
        <w:tab/>
        <w:t xml:space="preserve">Es en el marco de este compromiso Sr. </w:t>
      </w:r>
      <w:r w:rsidR="00366FD2" w:rsidRPr="000B2C45">
        <w:rPr>
          <w:rFonts w:asciiTheme="majorHAnsi" w:hAnsiTheme="majorHAnsi" w:cstheme="minorHAnsi"/>
          <w:sz w:val="20"/>
          <w:szCs w:val="20"/>
          <w:lang w:val="es-ES"/>
        </w:rPr>
        <w:t>Presidente y c</w:t>
      </w:r>
      <w:r w:rsidRPr="000B2C45">
        <w:rPr>
          <w:rFonts w:asciiTheme="majorHAnsi" w:hAnsiTheme="majorHAnsi" w:cstheme="minorHAnsi"/>
          <w:sz w:val="20"/>
          <w:szCs w:val="20"/>
          <w:lang w:val="es-ES"/>
        </w:rPr>
        <w:t xml:space="preserve">olegas que resulta de primera necesidad legislar sobre el fortalecimiento de la institucionalidad nacional, </w:t>
      </w:r>
      <w:r w:rsidR="00366FD2" w:rsidRPr="000B2C45">
        <w:rPr>
          <w:rFonts w:asciiTheme="majorHAnsi" w:hAnsiTheme="majorHAnsi" w:cstheme="minorHAnsi"/>
          <w:sz w:val="20"/>
          <w:szCs w:val="20"/>
          <w:lang w:val="es-ES"/>
        </w:rPr>
        <w:t xml:space="preserve">particularmente de </w:t>
      </w:r>
      <w:r w:rsidRPr="000B2C45">
        <w:rPr>
          <w:rFonts w:asciiTheme="majorHAnsi" w:hAnsiTheme="majorHAnsi" w:cstheme="minorHAnsi"/>
          <w:sz w:val="20"/>
          <w:szCs w:val="20"/>
          <w:lang w:val="es-ES"/>
        </w:rPr>
        <w:t>Sernapesca, para dar cumplimiento a los compromisos nacionales e internacionales</w:t>
      </w:r>
      <w:r w:rsidR="00366FD2" w:rsidRPr="000B2C45">
        <w:rPr>
          <w:rFonts w:asciiTheme="majorHAnsi" w:hAnsiTheme="majorHAnsi" w:cstheme="minorHAnsi"/>
          <w:sz w:val="20"/>
          <w:szCs w:val="20"/>
          <w:lang w:val="es-ES"/>
        </w:rPr>
        <w:t>,</w:t>
      </w:r>
      <w:r w:rsidRPr="000B2C45">
        <w:rPr>
          <w:rFonts w:asciiTheme="majorHAnsi" w:hAnsiTheme="majorHAnsi" w:cstheme="minorHAnsi"/>
          <w:sz w:val="20"/>
          <w:szCs w:val="20"/>
          <w:lang w:val="es-ES"/>
        </w:rPr>
        <w:t xml:space="preserve"> por cierto.</w:t>
      </w:r>
    </w:p>
    <w:p w:rsidR="00430BA2" w:rsidRPr="00874930" w:rsidRDefault="00067F34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  <w:lang w:val="es-ES"/>
        </w:rPr>
      </w:pPr>
      <w:r w:rsidRPr="000B2C45">
        <w:rPr>
          <w:rFonts w:asciiTheme="majorHAnsi" w:hAnsiTheme="majorHAnsi" w:cstheme="minorHAnsi"/>
          <w:sz w:val="20"/>
          <w:szCs w:val="20"/>
          <w:lang w:val="es-ES"/>
        </w:rPr>
        <w:tab/>
      </w:r>
    </w:p>
    <w:p w:rsidR="00430BA2" w:rsidRPr="000B2C45" w:rsidRDefault="00430BA2" w:rsidP="00531DE4">
      <w:pPr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b/>
          <w:sz w:val="20"/>
          <w:szCs w:val="20"/>
          <w:lang w:val="es-MX"/>
        </w:rPr>
        <w:t>Motivo de mi votación</w:t>
      </w:r>
    </w:p>
    <w:p w:rsidR="00430BA2" w:rsidRPr="000B2C45" w:rsidRDefault="00430BA2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0B2C45">
        <w:rPr>
          <w:rFonts w:asciiTheme="majorHAnsi" w:hAnsiTheme="majorHAnsi" w:cstheme="minorHAnsi"/>
          <w:sz w:val="20"/>
          <w:szCs w:val="20"/>
          <w:lang w:val="es-MX"/>
        </w:rPr>
        <w:t xml:space="preserve">Mi interés señor Presidente, colegas, no es desestimar </w:t>
      </w:r>
      <w:r w:rsidR="008704D2">
        <w:rPr>
          <w:rFonts w:asciiTheme="majorHAnsi" w:hAnsiTheme="majorHAnsi" w:cstheme="minorHAnsi"/>
          <w:sz w:val="20"/>
          <w:szCs w:val="20"/>
          <w:lang w:val="es-MX"/>
        </w:rPr>
        <w:t xml:space="preserve">esta mensaje por tratarse de una iniciativa de un gobierno distinto al </w:t>
      </w:r>
      <w:r w:rsidR="00F901BC">
        <w:rPr>
          <w:rFonts w:asciiTheme="majorHAnsi" w:hAnsiTheme="majorHAnsi" w:cstheme="minorHAnsi"/>
          <w:sz w:val="20"/>
          <w:szCs w:val="20"/>
          <w:lang w:val="es-MX"/>
        </w:rPr>
        <w:t>actual</w:t>
      </w:r>
      <w:r w:rsidR="008704D2">
        <w:rPr>
          <w:rFonts w:asciiTheme="majorHAnsi" w:hAnsiTheme="majorHAnsi" w:cstheme="minorHAnsi"/>
          <w:sz w:val="20"/>
          <w:szCs w:val="20"/>
          <w:lang w:val="es-MX"/>
        </w:rPr>
        <w:t xml:space="preserve">, sino todo lo contrario, votaré a favor de este proyecto porque conozco la realidad la actividad pesquera en Chile y muy particularmente </w:t>
      </w:r>
      <w:r w:rsidR="00F901BC">
        <w:rPr>
          <w:rFonts w:asciiTheme="majorHAnsi" w:hAnsiTheme="majorHAnsi" w:cstheme="minorHAnsi"/>
          <w:sz w:val="20"/>
          <w:szCs w:val="20"/>
          <w:lang w:val="es-MX"/>
        </w:rPr>
        <w:t xml:space="preserve">en la </w:t>
      </w:r>
      <w:r w:rsidR="008704D2">
        <w:rPr>
          <w:rFonts w:asciiTheme="majorHAnsi" w:hAnsiTheme="majorHAnsi" w:cstheme="minorHAnsi"/>
          <w:sz w:val="20"/>
          <w:szCs w:val="20"/>
          <w:lang w:val="es-MX"/>
        </w:rPr>
        <w:t>región que represento, la Araucan</w:t>
      </w:r>
      <w:r w:rsidR="00F901BC">
        <w:rPr>
          <w:rFonts w:asciiTheme="majorHAnsi" w:hAnsiTheme="majorHAnsi" w:cstheme="minorHAnsi"/>
          <w:sz w:val="20"/>
          <w:szCs w:val="20"/>
          <w:lang w:val="es-MX"/>
        </w:rPr>
        <w:t>ía</w:t>
      </w:r>
      <w:r w:rsidR="002A3D2B">
        <w:rPr>
          <w:rFonts w:asciiTheme="majorHAnsi" w:hAnsiTheme="majorHAnsi" w:cstheme="minorHAnsi"/>
          <w:sz w:val="20"/>
          <w:szCs w:val="20"/>
          <w:lang w:val="es-MX"/>
        </w:rPr>
        <w:t>, y vaya que urge hacernos cargo de este desastre</w:t>
      </w:r>
      <w:r w:rsidR="00F901BC">
        <w:rPr>
          <w:rFonts w:asciiTheme="majorHAnsi" w:hAnsiTheme="majorHAnsi" w:cstheme="minorHAnsi"/>
          <w:sz w:val="20"/>
          <w:szCs w:val="20"/>
          <w:lang w:val="es-MX"/>
        </w:rPr>
        <w:t>. Esto se trata de una magnífica oportunidad para reimpulsar la actividad pesquera de una manera que nos haga sentir orgullosos del país en que vivimos.</w:t>
      </w:r>
    </w:p>
    <w:p w:rsidR="00430BA2" w:rsidRPr="000B2C45" w:rsidRDefault="00430BA2" w:rsidP="00531DE4">
      <w:pPr>
        <w:spacing w:line="360" w:lineRule="auto"/>
        <w:jc w:val="both"/>
        <w:rPr>
          <w:rFonts w:asciiTheme="majorHAnsi" w:hAnsiTheme="majorHAnsi" w:cstheme="minorHAnsi"/>
          <w:sz w:val="20"/>
          <w:szCs w:val="20"/>
          <w:lang w:val="es-ES"/>
        </w:rPr>
      </w:pPr>
    </w:p>
    <w:p w:rsidR="00430BA2" w:rsidRPr="000B2C45" w:rsidRDefault="00430BA2" w:rsidP="00B605E3">
      <w:pPr>
        <w:spacing w:line="360" w:lineRule="auto"/>
        <w:ind w:left="1080" w:firstLine="330"/>
        <w:jc w:val="center"/>
        <w:rPr>
          <w:rFonts w:asciiTheme="majorHAnsi" w:hAnsiTheme="majorHAnsi" w:cstheme="minorHAnsi"/>
          <w:sz w:val="20"/>
          <w:szCs w:val="20"/>
          <w:lang w:val="es-ES"/>
        </w:rPr>
      </w:pPr>
    </w:p>
    <w:p w:rsidR="00430BA2" w:rsidRPr="000B2C45" w:rsidRDefault="00430BA2" w:rsidP="00430BA2">
      <w:pPr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  <w:lang w:val="es-ES"/>
        </w:rPr>
      </w:pPr>
      <w:r w:rsidRPr="000B2C45">
        <w:rPr>
          <w:rFonts w:asciiTheme="majorHAnsi" w:hAnsiTheme="majorHAnsi" w:cstheme="minorHAnsi"/>
          <w:b/>
          <w:sz w:val="20"/>
          <w:szCs w:val="20"/>
          <w:lang w:val="es-ES"/>
        </w:rPr>
        <w:t>HE DICHO SEÑOR PRESIDENTE, GRACIAS.</w:t>
      </w:r>
    </w:p>
    <w:p w:rsidR="00430BA2" w:rsidRPr="000B2C45" w:rsidRDefault="00430BA2" w:rsidP="00430BA2">
      <w:pPr>
        <w:rPr>
          <w:rFonts w:asciiTheme="majorHAnsi" w:hAnsiTheme="majorHAnsi"/>
          <w:sz w:val="20"/>
          <w:szCs w:val="20"/>
        </w:rPr>
      </w:pPr>
    </w:p>
    <w:p w:rsidR="003836C1" w:rsidRPr="000B2C45" w:rsidRDefault="00DC5F5F">
      <w:pPr>
        <w:rPr>
          <w:rFonts w:asciiTheme="majorHAnsi" w:hAnsiTheme="majorHAnsi"/>
          <w:sz w:val="20"/>
          <w:szCs w:val="20"/>
        </w:rPr>
      </w:pPr>
    </w:p>
    <w:sectPr w:rsidR="003836C1" w:rsidRPr="000B2C45" w:rsidSect="00B60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A2" w:rsidRDefault="00430BA2" w:rsidP="00430BA2">
      <w:pPr>
        <w:spacing w:after="0" w:line="240" w:lineRule="auto"/>
      </w:pPr>
      <w:r>
        <w:separator/>
      </w:r>
    </w:p>
  </w:endnote>
  <w:endnote w:type="continuationSeparator" w:id="0">
    <w:p w:rsidR="00430BA2" w:rsidRDefault="00430BA2" w:rsidP="004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5F" w:rsidRDefault="00DC5F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625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0BA2" w:rsidRDefault="00430BA2" w:rsidP="00430BA2">
            <w:pPr>
              <w:pStyle w:val="Piedepgina"/>
              <w:rPr>
                <w:b/>
                <w:bCs/>
                <w:sz w:val="24"/>
                <w:szCs w:val="24"/>
              </w:rPr>
            </w:pPr>
            <w:r w:rsidRPr="00E65A22">
              <w:rPr>
                <w:sz w:val="16"/>
                <w:szCs w:val="16"/>
              </w:rPr>
              <w:t>Senadora Carmen Gloria Aravena</w:t>
            </w:r>
            <w:r>
              <w:rPr>
                <w:sz w:val="16"/>
                <w:szCs w:val="16"/>
              </w:rPr>
              <w:t xml:space="preserve">. </w:t>
            </w:r>
            <w:r>
              <w:t xml:space="preserve"> </w:t>
            </w:r>
            <w:r w:rsidRPr="00DA132E">
              <w:rPr>
                <w:sz w:val="16"/>
                <w:szCs w:val="16"/>
              </w:rPr>
              <w:t>Av. Pedro Montt s/n, Valparaíso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F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F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30BA2" w:rsidRDefault="00DC5F5F" w:rsidP="00430BA2">
            <w:pPr>
              <w:pStyle w:val="Piedepgina"/>
            </w:pPr>
            <w:hyperlink r:id="rId1" w:history="1">
              <w:r w:rsidR="00430BA2" w:rsidRPr="00DA132E">
                <w:rPr>
                  <w:rStyle w:val="Hipervnculo"/>
                  <w:sz w:val="16"/>
                  <w:szCs w:val="16"/>
                </w:rPr>
                <w:t>cgloriaaravena@senado.cl</w:t>
              </w:r>
            </w:hyperlink>
            <w:r w:rsidR="00430BA2">
              <w:t xml:space="preserve"> </w:t>
            </w:r>
            <w:r w:rsidR="00430BA2" w:rsidRPr="00E65A22">
              <w:rPr>
                <w:sz w:val="16"/>
                <w:szCs w:val="16"/>
              </w:rPr>
              <w:t>(56-32) 2504751</w:t>
            </w:r>
            <w:r w:rsidR="00430BA2">
              <w:rPr>
                <w:sz w:val="16"/>
                <w:szCs w:val="16"/>
              </w:rPr>
              <w:t xml:space="preserve">            </w:t>
            </w:r>
          </w:p>
        </w:sdtContent>
      </w:sdt>
    </w:sdtContent>
  </w:sdt>
  <w:p w:rsidR="00D6112F" w:rsidRDefault="00DC5F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5F" w:rsidRDefault="00DC5F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A2" w:rsidRDefault="00430BA2" w:rsidP="00430BA2">
      <w:pPr>
        <w:spacing w:after="0" w:line="240" w:lineRule="auto"/>
      </w:pPr>
      <w:r>
        <w:separator/>
      </w:r>
    </w:p>
  </w:footnote>
  <w:footnote w:type="continuationSeparator" w:id="0">
    <w:p w:rsidR="00430BA2" w:rsidRDefault="00430BA2" w:rsidP="00430BA2">
      <w:pPr>
        <w:spacing w:after="0" w:line="240" w:lineRule="auto"/>
      </w:pPr>
      <w:r>
        <w:continuationSeparator/>
      </w:r>
    </w:p>
  </w:footnote>
  <w:footnote w:id="1">
    <w:p w:rsidR="00CD41A0" w:rsidRDefault="00CD41A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621C3">
        <w:t xml:space="preserve">“El Estado Mundial de la Pesca y la Acuicultura”. Contribución  a la Seguridad Alimentaria y a la Nutrición para Todos. </w:t>
      </w:r>
      <w:r w:rsidR="00772FD6">
        <w:t xml:space="preserve">Organización de las Naciones Unidas para la Alimentación y la Agricultura, 2016.  </w:t>
      </w:r>
      <w:r>
        <w:t xml:space="preserve">Disponible en: </w:t>
      </w:r>
      <w:hyperlink r:id="rId1" w:history="1">
        <w:r w:rsidRPr="00A10536">
          <w:rPr>
            <w:rStyle w:val="Hipervnculo"/>
          </w:rPr>
          <w:t>http://www.fao.org/3/a-i5798s.pdf</w:t>
        </w:r>
      </w:hyperlink>
      <w:r>
        <w:t xml:space="preserve"> </w:t>
      </w:r>
    </w:p>
  </w:footnote>
  <w:footnote w:id="2">
    <w:p w:rsidR="00F620A3" w:rsidRDefault="00F620A3">
      <w:pPr>
        <w:pStyle w:val="Textonotapie"/>
      </w:pPr>
      <w:r>
        <w:rPr>
          <w:rStyle w:val="Refdenotaalpie"/>
        </w:rPr>
        <w:footnoteRef/>
      </w:r>
      <w:r>
        <w:t xml:space="preserve"> Disponible en: </w:t>
      </w:r>
      <w:hyperlink r:id="rId2" w:history="1">
        <w:r w:rsidRPr="00A10536">
          <w:rPr>
            <w:rStyle w:val="Hipervnculo"/>
          </w:rPr>
          <w:t>http://www2.latercera.com/noticia/las-cinco-actividades-del-crimen-organizado-que-recaudan-mas-dinero-en-el-mundo/</w:t>
        </w:r>
      </w:hyperlink>
      <w:r>
        <w:t xml:space="preserve"> </w:t>
      </w:r>
    </w:p>
    <w:p w:rsidR="00B605E3" w:rsidRDefault="00B605E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5F" w:rsidRDefault="00DC5F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A2" w:rsidRDefault="00430BA2" w:rsidP="00430BA2">
    <w:pPr>
      <w:pStyle w:val="Encabezado"/>
      <w:pBdr>
        <w:bottom w:val="single" w:sz="4" w:space="1" w:color="auto"/>
      </w:pBdr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Senado, Congreso Nacional de Chile</w:t>
    </w:r>
  </w:p>
  <w:p w:rsidR="00430BA2" w:rsidRPr="00A66B73" w:rsidRDefault="00430BA2" w:rsidP="00430BA2">
    <w:pPr>
      <w:pStyle w:val="Encabezado"/>
      <w:pBdr>
        <w:bottom w:val="single" w:sz="4" w:space="1" w:color="auto"/>
      </w:pBdr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Valparaíso, </w:t>
    </w:r>
    <w:r w:rsidR="00DC5F5F">
      <w:rPr>
        <w:rFonts w:ascii="Trebuchet MS" w:hAnsi="Trebuchet MS"/>
        <w:sz w:val="18"/>
        <w:szCs w:val="18"/>
      </w:rPr>
      <w:t xml:space="preserve">Julio </w:t>
    </w:r>
    <w:bookmarkStart w:id="0" w:name="_GoBack"/>
    <w:bookmarkEnd w:id="0"/>
    <w:r>
      <w:rPr>
        <w:rFonts w:ascii="Trebuchet MS" w:hAnsi="Trebuchet MS"/>
        <w:sz w:val="18"/>
        <w:szCs w:val="18"/>
      </w:rPr>
      <w:t xml:space="preserve"> de 2018</w:t>
    </w:r>
  </w:p>
  <w:p w:rsidR="00D6112F" w:rsidRDefault="00DC5F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5F" w:rsidRDefault="00DC5F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A2"/>
    <w:rsid w:val="00067F34"/>
    <w:rsid w:val="000B2C45"/>
    <w:rsid w:val="00165A7C"/>
    <w:rsid w:val="00203B73"/>
    <w:rsid w:val="002A3D2B"/>
    <w:rsid w:val="00366FD2"/>
    <w:rsid w:val="00430BA2"/>
    <w:rsid w:val="00531DE4"/>
    <w:rsid w:val="006621C3"/>
    <w:rsid w:val="00772FD6"/>
    <w:rsid w:val="007B1DA4"/>
    <w:rsid w:val="008313F4"/>
    <w:rsid w:val="008502F0"/>
    <w:rsid w:val="008704D2"/>
    <w:rsid w:val="00874930"/>
    <w:rsid w:val="00927A41"/>
    <w:rsid w:val="00AC0256"/>
    <w:rsid w:val="00B605E3"/>
    <w:rsid w:val="00B96CE2"/>
    <w:rsid w:val="00C86F20"/>
    <w:rsid w:val="00CD41A0"/>
    <w:rsid w:val="00DC5F5F"/>
    <w:rsid w:val="00E4207F"/>
    <w:rsid w:val="00F54CA8"/>
    <w:rsid w:val="00F555F8"/>
    <w:rsid w:val="00F620A3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C959-F269-44D7-8323-977F142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A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BA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30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BA2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430BA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0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0BA2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430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gloriaaravena@senado.c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latercera.com/noticia/las-cinco-actividades-del-crimen-organizado-que-recaudan-mas-dinero-en-el-mundo/" TargetMode="External"/><Relationship Id="rId1" Type="http://schemas.openxmlformats.org/officeDocument/2006/relationships/hyperlink" Target="http://www.fao.org/3/a-i5798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D43E-84A0-4F72-AFC4-9C39A4EF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Sebastián Keitel</cp:lastModifiedBy>
  <cp:revision>22</cp:revision>
  <dcterms:created xsi:type="dcterms:W3CDTF">2018-05-01T22:32:00Z</dcterms:created>
  <dcterms:modified xsi:type="dcterms:W3CDTF">2018-08-02T20:32:00Z</dcterms:modified>
</cp:coreProperties>
</file>