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E4" w:rsidRDefault="006559C9" w:rsidP="00C1552C">
      <w:pPr>
        <w:jc w:val="center"/>
        <w:rPr>
          <w:rFonts w:ascii="Times New Roman" w:hAnsi="Times New Roman" w:cs="Times New Roman"/>
          <w:color w:val="C00000"/>
          <w:sz w:val="28"/>
          <w:u w:val="single"/>
        </w:rPr>
      </w:pPr>
      <w:r w:rsidRPr="00C1552C">
        <w:rPr>
          <w:rFonts w:ascii="Times New Roman" w:hAnsi="Times New Roman" w:cs="Times New Roman"/>
          <w:color w:val="C00000"/>
          <w:sz w:val="28"/>
          <w:u w:val="single"/>
        </w:rPr>
        <w:t>Datos monitoreo telemático II</w:t>
      </w:r>
    </w:p>
    <w:p w:rsidR="00F728D0" w:rsidRPr="00C1552C" w:rsidRDefault="00F728D0" w:rsidP="00C1552C">
      <w:pPr>
        <w:jc w:val="center"/>
        <w:rPr>
          <w:rFonts w:ascii="Times New Roman" w:hAnsi="Times New Roman" w:cs="Times New Roman"/>
          <w:color w:val="C00000"/>
          <w:sz w:val="28"/>
          <w:u w:val="single"/>
        </w:rPr>
      </w:pPr>
    </w:p>
    <w:p w:rsidR="004F453C" w:rsidRDefault="004F453C" w:rsidP="00E22E12">
      <w:pPr>
        <w:jc w:val="both"/>
        <w:rPr>
          <w:rFonts w:ascii="Times New Roman" w:hAnsi="Times New Roman" w:cs="Times New Roman"/>
        </w:rPr>
      </w:pPr>
      <w:r w:rsidRPr="00464CC7">
        <w:rPr>
          <w:rFonts w:ascii="Times New Roman" w:hAnsi="Times New Roman" w:cs="Times New Roman"/>
        </w:rPr>
        <w:t>La cantidad de</w:t>
      </w:r>
      <w:r w:rsidR="006559C9" w:rsidRPr="00464CC7">
        <w:rPr>
          <w:rFonts w:ascii="Times New Roman" w:hAnsi="Times New Roman" w:cs="Times New Roman"/>
        </w:rPr>
        <w:t xml:space="preserve"> dispositivos para monitoreo telemático ha incrementado</w:t>
      </w:r>
      <w:r w:rsidR="009A3A5E">
        <w:rPr>
          <w:rFonts w:ascii="Times New Roman" w:hAnsi="Times New Roman" w:cs="Times New Roman"/>
        </w:rPr>
        <w:t xml:space="preserve"> progresivamente desde el 2014, llegando a 9.177 dispositivos instalados el año 2015. La velocidad del aumento probablemente tenga relación a la aplicación progresiva de la medida, que no tiene muchos años desde su implementación</w:t>
      </w:r>
      <w:r w:rsidR="00F728D0">
        <w:rPr>
          <w:rFonts w:ascii="Times New Roman" w:hAnsi="Times New Roman" w:cs="Times New Roman"/>
        </w:rPr>
        <w:t>.</w:t>
      </w:r>
    </w:p>
    <w:p w:rsidR="00E22E12" w:rsidRDefault="009D6E2E" w:rsidP="00E22E12">
      <w:pPr>
        <w:jc w:val="both"/>
        <w:rPr>
          <w:rFonts w:ascii="Times New Roman" w:hAnsi="Times New Roman" w:cs="Times New Roman"/>
        </w:rPr>
      </w:pPr>
      <w:r>
        <w:rPr>
          <w:rFonts w:ascii="Times New Roman" w:hAnsi="Times New Roman" w:cs="Times New Roman"/>
        </w:rPr>
        <w:t>Los dispositivos de monitoreo telemático se concentran principalmente en tres regiones: Valparaíso, con el 12%, Bío Bío con el 12,18% y la Región Metropolitana, con el 25,3% de los dispositivos.</w:t>
      </w:r>
      <w:r w:rsidR="00F728D0">
        <w:rPr>
          <w:rFonts w:ascii="Times New Roman" w:hAnsi="Times New Roman" w:cs="Times New Roman"/>
        </w:rPr>
        <w:t xml:space="preserve"> Pero en general se han instalado dispositivos en todo el territorio nacional.</w:t>
      </w:r>
    </w:p>
    <w:p w:rsidR="00C1552C" w:rsidRPr="00C1552C" w:rsidRDefault="00C1552C" w:rsidP="00464CC7">
      <w:pPr>
        <w:jc w:val="both"/>
        <w:rPr>
          <w:rFonts w:ascii="Times New Roman" w:hAnsi="Times New Roman" w:cs="Times New Roman"/>
          <w:sz w:val="24"/>
          <w:u w:val="single"/>
        </w:rPr>
      </w:pPr>
      <w:r w:rsidRPr="00C1552C">
        <w:rPr>
          <w:rFonts w:ascii="Times New Roman" w:hAnsi="Times New Roman" w:cs="Times New Roman"/>
          <w:sz w:val="24"/>
          <w:u w:val="single"/>
        </w:rPr>
        <w:t>Condenas:</w:t>
      </w:r>
    </w:p>
    <w:p w:rsidR="00464CC7" w:rsidRDefault="00464CC7" w:rsidP="00464CC7">
      <w:pPr>
        <w:jc w:val="both"/>
        <w:rPr>
          <w:rFonts w:ascii="Times New Roman" w:hAnsi="Times New Roman" w:cs="Times New Roman"/>
        </w:rPr>
      </w:pPr>
      <w:r>
        <w:rPr>
          <w:rFonts w:ascii="Times New Roman" w:hAnsi="Times New Roman" w:cs="Times New Roman"/>
        </w:rPr>
        <w:t>Si bien la aplicación de la condena alternativa del monitoreo telemático está establecida principalmente para delitos relacionados a la violación de la indemnidad sexual y a la Violencia Intra Familiar (VIF), según los datos entregados, la porción de estos delitos tratados con dispositivos de monitoreo es ínfima. La mayor parte de los condenados con monitoreo telemático, lo están por delitos de contra la propiedad, infracción a la ley de tránsito y tráfico de estupefacientes.</w:t>
      </w:r>
    </w:p>
    <w:p w:rsidR="00F728D0" w:rsidRPr="004F453C" w:rsidRDefault="00F728D0" w:rsidP="00464CC7">
      <w:pPr>
        <w:jc w:val="both"/>
        <w:rPr>
          <w:rFonts w:ascii="Times New Roman" w:hAnsi="Times New Roman" w:cs="Times New Roman"/>
        </w:rPr>
      </w:pPr>
    </w:p>
    <w:tbl>
      <w:tblPr>
        <w:tblStyle w:val="Tabladelista3-nfasis3"/>
        <w:tblW w:w="0" w:type="auto"/>
        <w:tblLook w:val="04A0" w:firstRow="1" w:lastRow="0" w:firstColumn="1" w:lastColumn="0" w:noHBand="0" w:noVBand="1"/>
      </w:tblPr>
      <w:tblGrid>
        <w:gridCol w:w="5217"/>
        <w:gridCol w:w="1582"/>
        <w:gridCol w:w="2029"/>
      </w:tblGrid>
      <w:tr w:rsidR="00464CC7" w:rsidRPr="00D51264" w:rsidTr="00464CC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217" w:type="dxa"/>
            <w:noWrap/>
            <w:hideMark/>
          </w:tcPr>
          <w:p w:rsidR="00D51264" w:rsidRPr="00464CC7" w:rsidRDefault="00D51264" w:rsidP="00464CC7">
            <w:pPr>
              <w:jc w:val="center"/>
              <w:rPr>
                <w:rFonts w:ascii="Times New Roman" w:hAnsi="Times New Roman" w:cs="Times New Roman"/>
                <w:b w:val="0"/>
              </w:rPr>
            </w:pPr>
            <w:r w:rsidRPr="00464CC7">
              <w:rPr>
                <w:rFonts w:ascii="Times New Roman" w:hAnsi="Times New Roman" w:cs="Times New Roman"/>
                <w:b w:val="0"/>
              </w:rPr>
              <w:t>Delitos asociados a la ley: Contra la indemnidad sexual y en contexto de VIF</w:t>
            </w:r>
          </w:p>
        </w:tc>
        <w:tc>
          <w:tcPr>
            <w:tcW w:w="1582" w:type="dxa"/>
            <w:noWrap/>
            <w:hideMark/>
          </w:tcPr>
          <w:p w:rsidR="00D51264" w:rsidRPr="00464CC7" w:rsidRDefault="00D512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4CC7">
              <w:rPr>
                <w:rFonts w:ascii="Times New Roman" w:hAnsi="Times New Roman" w:cs="Times New Roman"/>
                <w:b w:val="0"/>
              </w:rPr>
              <w:t>Monitoreados</w:t>
            </w:r>
          </w:p>
        </w:tc>
        <w:tc>
          <w:tcPr>
            <w:tcW w:w="2029" w:type="dxa"/>
            <w:noWrap/>
            <w:hideMark/>
          </w:tcPr>
          <w:p w:rsidR="00D51264" w:rsidRPr="00464CC7" w:rsidRDefault="00D5126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64CC7">
              <w:rPr>
                <w:rFonts w:ascii="Times New Roman" w:hAnsi="Times New Roman" w:cs="Times New Roman"/>
                <w:b w:val="0"/>
              </w:rPr>
              <w:t>% del total de monitoreados</w:t>
            </w:r>
          </w:p>
        </w:tc>
      </w:tr>
      <w:tr w:rsidR="00464CC7" w:rsidRPr="00D51264" w:rsidTr="00464C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7" w:type="dxa"/>
            <w:noWrap/>
            <w:hideMark/>
          </w:tcPr>
          <w:p w:rsidR="00D51264" w:rsidRPr="00464CC7" w:rsidRDefault="00D51264" w:rsidP="00D51264">
            <w:pPr>
              <w:rPr>
                <w:rFonts w:ascii="Times New Roman" w:hAnsi="Times New Roman" w:cs="Times New Roman"/>
                <w:b w:val="0"/>
              </w:rPr>
            </w:pPr>
            <w:r w:rsidRPr="00464CC7">
              <w:rPr>
                <w:rFonts w:ascii="Times New Roman" w:hAnsi="Times New Roman" w:cs="Times New Roman"/>
                <w:b w:val="0"/>
              </w:rPr>
              <w:t>Infracción a la ley 20.066 sobre violencia intrafamiliar</w:t>
            </w:r>
          </w:p>
        </w:tc>
        <w:tc>
          <w:tcPr>
            <w:tcW w:w="1582" w:type="dxa"/>
            <w:noWrap/>
            <w:hideMark/>
          </w:tcPr>
          <w:p w:rsidR="00D51264" w:rsidRPr="00D51264" w:rsidRDefault="00D51264" w:rsidP="00464C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1264">
              <w:rPr>
                <w:rFonts w:ascii="Times New Roman" w:hAnsi="Times New Roman" w:cs="Times New Roman"/>
              </w:rPr>
              <w:t>65</w:t>
            </w:r>
          </w:p>
        </w:tc>
        <w:tc>
          <w:tcPr>
            <w:tcW w:w="2029" w:type="dxa"/>
            <w:noWrap/>
            <w:hideMark/>
          </w:tcPr>
          <w:p w:rsidR="00D51264" w:rsidRPr="00D51264" w:rsidRDefault="00D51264" w:rsidP="00464C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1264">
              <w:rPr>
                <w:rFonts w:ascii="Times New Roman" w:hAnsi="Times New Roman" w:cs="Times New Roman"/>
              </w:rPr>
              <w:t>1,7</w:t>
            </w:r>
          </w:p>
        </w:tc>
      </w:tr>
      <w:tr w:rsidR="00D51264" w:rsidRPr="00D51264" w:rsidTr="00464CC7">
        <w:trPr>
          <w:trHeight w:val="300"/>
        </w:trPr>
        <w:tc>
          <w:tcPr>
            <w:cnfStyle w:val="001000000000" w:firstRow="0" w:lastRow="0" w:firstColumn="1" w:lastColumn="0" w:oddVBand="0" w:evenVBand="0" w:oddHBand="0" w:evenHBand="0" w:firstRowFirstColumn="0" w:firstRowLastColumn="0" w:lastRowFirstColumn="0" w:lastRowLastColumn="0"/>
            <w:tcW w:w="5217" w:type="dxa"/>
            <w:noWrap/>
            <w:hideMark/>
          </w:tcPr>
          <w:p w:rsidR="00D51264" w:rsidRPr="00464CC7" w:rsidRDefault="00D51264">
            <w:pPr>
              <w:rPr>
                <w:rFonts w:ascii="Times New Roman" w:hAnsi="Times New Roman" w:cs="Times New Roman"/>
                <w:b w:val="0"/>
              </w:rPr>
            </w:pPr>
            <w:r w:rsidRPr="00464CC7">
              <w:rPr>
                <w:rFonts w:ascii="Times New Roman" w:hAnsi="Times New Roman" w:cs="Times New Roman"/>
                <w:b w:val="0"/>
              </w:rPr>
              <w:t>Co</w:t>
            </w:r>
            <w:r w:rsidR="00464CC7" w:rsidRPr="00464CC7">
              <w:rPr>
                <w:rFonts w:ascii="Times New Roman" w:hAnsi="Times New Roman" w:cs="Times New Roman"/>
                <w:b w:val="0"/>
              </w:rPr>
              <w:t>ntra el orden de las familias /</w:t>
            </w:r>
            <w:r w:rsidRPr="00464CC7">
              <w:rPr>
                <w:rFonts w:ascii="Times New Roman" w:hAnsi="Times New Roman" w:cs="Times New Roman"/>
                <w:b w:val="0"/>
              </w:rPr>
              <w:t xml:space="preserve"> la integridad sexual /moralidad pública </w:t>
            </w:r>
          </w:p>
        </w:tc>
        <w:tc>
          <w:tcPr>
            <w:tcW w:w="1582" w:type="dxa"/>
            <w:noWrap/>
            <w:hideMark/>
          </w:tcPr>
          <w:p w:rsidR="00D51264" w:rsidRPr="00D51264" w:rsidRDefault="00D51264" w:rsidP="00464C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1264">
              <w:rPr>
                <w:rFonts w:ascii="Times New Roman" w:hAnsi="Times New Roman" w:cs="Times New Roman"/>
              </w:rPr>
              <w:t>21</w:t>
            </w:r>
          </w:p>
        </w:tc>
        <w:tc>
          <w:tcPr>
            <w:tcW w:w="2029" w:type="dxa"/>
            <w:noWrap/>
            <w:hideMark/>
          </w:tcPr>
          <w:p w:rsidR="00D51264" w:rsidRPr="00D51264" w:rsidRDefault="00D51264" w:rsidP="00464C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1264">
              <w:rPr>
                <w:rFonts w:ascii="Times New Roman" w:hAnsi="Times New Roman" w:cs="Times New Roman"/>
              </w:rPr>
              <w:t>0,57</w:t>
            </w:r>
          </w:p>
        </w:tc>
      </w:tr>
    </w:tbl>
    <w:p w:rsidR="00F728D0" w:rsidRDefault="00F728D0" w:rsidP="004F453C">
      <w:pPr>
        <w:rPr>
          <w:rFonts w:ascii="Times New Roman" w:hAnsi="Times New Roman" w:cs="Times New Roman"/>
        </w:rPr>
      </w:pPr>
    </w:p>
    <w:p w:rsidR="00AE65F7" w:rsidRDefault="00464CC7" w:rsidP="00AE65F7">
      <w:pPr>
        <w:spacing w:after="0" w:line="240" w:lineRule="auto"/>
        <w:rPr>
          <w:rFonts w:ascii="Times New Roman" w:hAnsi="Times New Roman" w:cs="Times New Roman"/>
          <w:sz w:val="24"/>
        </w:rPr>
      </w:pPr>
      <w:r>
        <w:rPr>
          <w:noProof/>
          <w:lang w:val="es-ES" w:eastAsia="es-ES"/>
        </w:rPr>
        <w:drawing>
          <wp:inline distT="0" distB="0" distL="0" distR="0" wp14:anchorId="41D19C3F" wp14:editId="3DA4DE1F">
            <wp:extent cx="5612130" cy="3298190"/>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4F453C">
        <w:rPr>
          <w:rFonts w:ascii="Times New Roman" w:hAnsi="Times New Roman" w:cs="Times New Roman"/>
          <w:i/>
        </w:rPr>
        <w:t>Fuente: Elaboración propia con datos de Gendarmería (2016)</w:t>
      </w:r>
    </w:p>
    <w:p w:rsidR="00C1552C" w:rsidRDefault="00C1552C" w:rsidP="00AE65F7">
      <w:pPr>
        <w:spacing w:after="0" w:line="240" w:lineRule="auto"/>
        <w:rPr>
          <w:rFonts w:ascii="Times New Roman" w:hAnsi="Times New Roman" w:cs="Times New Roman"/>
          <w:sz w:val="24"/>
          <w:u w:val="single"/>
        </w:rPr>
      </w:pPr>
      <w:r w:rsidRPr="00C1552C">
        <w:rPr>
          <w:rFonts w:ascii="Times New Roman" w:hAnsi="Times New Roman" w:cs="Times New Roman"/>
          <w:sz w:val="24"/>
          <w:u w:val="single"/>
        </w:rPr>
        <w:lastRenderedPageBreak/>
        <w:t>Incumplimiento:</w:t>
      </w:r>
    </w:p>
    <w:p w:rsidR="00AE65F7" w:rsidRPr="00AE65F7" w:rsidRDefault="00AE65F7" w:rsidP="00AE65F7">
      <w:pPr>
        <w:spacing w:after="0" w:line="240" w:lineRule="auto"/>
        <w:rPr>
          <w:rFonts w:ascii="Times New Roman" w:hAnsi="Times New Roman" w:cs="Times New Roman"/>
          <w:sz w:val="24"/>
        </w:rPr>
      </w:pPr>
    </w:p>
    <w:p w:rsidR="00BA679F" w:rsidRDefault="00C1552C" w:rsidP="009A3A5E">
      <w:pPr>
        <w:tabs>
          <w:tab w:val="left" w:pos="2523"/>
        </w:tabs>
        <w:jc w:val="both"/>
        <w:rPr>
          <w:rFonts w:ascii="Times New Roman" w:hAnsi="Times New Roman" w:cs="Times New Roman"/>
        </w:rPr>
      </w:pPr>
      <w:r w:rsidRPr="00C1552C">
        <w:rPr>
          <w:rFonts w:ascii="Times New Roman" w:hAnsi="Times New Roman" w:cs="Times New Roman"/>
        </w:rPr>
        <w:t>Sobre el nivel de incumplimiento de la condena con monitoreo telemático, se presentan a continuación los datos mensuales desde el año 2014. Se manifiesta una clara tendencia al aumento de los incumplimientos de este tipo de condenas.</w:t>
      </w:r>
    </w:p>
    <w:p w:rsidR="00C1552C" w:rsidRPr="009A3A5E" w:rsidRDefault="00C1552C" w:rsidP="009A3A5E">
      <w:pPr>
        <w:tabs>
          <w:tab w:val="left" w:pos="2523"/>
        </w:tabs>
        <w:spacing w:after="0"/>
        <w:rPr>
          <w:rFonts w:ascii="Times New Roman" w:hAnsi="Times New Roman" w:cs="Times New Roman"/>
          <w:i/>
          <w:sz w:val="20"/>
        </w:rPr>
      </w:pPr>
      <w:r w:rsidRPr="009A3A5E">
        <w:rPr>
          <w:i/>
          <w:noProof/>
          <w:sz w:val="20"/>
          <w:lang w:val="es-ES" w:eastAsia="es-ES"/>
        </w:rPr>
        <w:drawing>
          <wp:inline distT="0" distB="0" distL="0" distR="0" wp14:anchorId="5BE729C4" wp14:editId="4E3A345F">
            <wp:extent cx="5233988" cy="2743200"/>
            <wp:effectExtent l="0" t="0" r="508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A3A5E" w:rsidRDefault="009A3A5E" w:rsidP="009A3A5E">
      <w:pPr>
        <w:tabs>
          <w:tab w:val="left" w:pos="2523"/>
        </w:tabs>
        <w:spacing w:after="0"/>
        <w:rPr>
          <w:rFonts w:ascii="Times New Roman" w:hAnsi="Times New Roman" w:cs="Times New Roman"/>
          <w:i/>
        </w:rPr>
      </w:pPr>
      <w:r w:rsidRPr="009A3A5E">
        <w:rPr>
          <w:rFonts w:ascii="Times New Roman" w:hAnsi="Times New Roman" w:cs="Times New Roman"/>
          <w:i/>
        </w:rPr>
        <w:t>Fuente: Elaboración propia con datos de Gendarmería, años 2014 (sep-dic), 2015 y 2016 (ene-mar).</w:t>
      </w:r>
    </w:p>
    <w:p w:rsidR="009A3A5E" w:rsidRDefault="009A3A5E" w:rsidP="009A3A5E">
      <w:pPr>
        <w:rPr>
          <w:rFonts w:ascii="Times New Roman" w:hAnsi="Times New Roman" w:cs="Times New Roman"/>
        </w:rPr>
      </w:pPr>
    </w:p>
    <w:p w:rsidR="00F728D0" w:rsidRDefault="00AE65F7" w:rsidP="00AE65F7">
      <w:pPr>
        <w:jc w:val="center"/>
        <w:rPr>
          <w:rFonts w:ascii="Times New Roman" w:hAnsi="Times New Roman" w:cs="Times New Roman"/>
          <w:sz w:val="24"/>
          <w:u w:val="single"/>
        </w:rPr>
      </w:pPr>
      <w:r>
        <w:rPr>
          <w:rFonts w:ascii="Times New Roman" w:hAnsi="Times New Roman" w:cs="Times New Roman"/>
          <w:noProof/>
          <w:sz w:val="24"/>
          <w:u w:val="single"/>
          <w:lang w:val="es-ES" w:eastAsia="es-ES"/>
        </w:rPr>
        <w:drawing>
          <wp:inline distT="0" distB="0" distL="0" distR="0">
            <wp:extent cx="4893868" cy="3417570"/>
            <wp:effectExtent l="19050" t="19050" r="21590" b="1143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vos incumplimiento.PNG"/>
                    <pic:cNvPicPr/>
                  </pic:nvPicPr>
                  <pic:blipFill>
                    <a:blip r:embed="rId7">
                      <a:extLst>
                        <a:ext uri="{28A0092B-C50C-407E-A947-70E740481C1C}">
                          <a14:useLocalDpi xmlns:a14="http://schemas.microsoft.com/office/drawing/2010/main" val="0"/>
                        </a:ext>
                      </a:extLst>
                    </a:blip>
                    <a:stretch>
                      <a:fillRect/>
                    </a:stretch>
                  </pic:blipFill>
                  <pic:spPr>
                    <a:xfrm>
                      <a:off x="0" y="0"/>
                      <a:ext cx="4902939" cy="3423905"/>
                    </a:xfrm>
                    <a:prstGeom prst="rect">
                      <a:avLst/>
                    </a:prstGeom>
                    <a:ln>
                      <a:solidFill>
                        <a:schemeClr val="accent6">
                          <a:lumMod val="75000"/>
                        </a:schemeClr>
                      </a:solidFill>
                    </a:ln>
                  </pic:spPr>
                </pic:pic>
              </a:graphicData>
            </a:graphic>
          </wp:inline>
        </w:drawing>
      </w:r>
    </w:p>
    <w:p w:rsidR="00AE65F7" w:rsidRDefault="00AE65F7" w:rsidP="009A3A5E">
      <w:pPr>
        <w:rPr>
          <w:rFonts w:ascii="Times New Roman" w:hAnsi="Times New Roman" w:cs="Times New Roman"/>
          <w:sz w:val="24"/>
          <w:u w:val="single"/>
        </w:rPr>
      </w:pPr>
    </w:p>
    <w:p w:rsidR="00C1552C" w:rsidRPr="009A3A5E" w:rsidRDefault="009A3A5E" w:rsidP="009A3A5E">
      <w:pPr>
        <w:rPr>
          <w:rFonts w:ascii="Times New Roman" w:hAnsi="Times New Roman" w:cs="Times New Roman"/>
          <w:sz w:val="24"/>
          <w:u w:val="single"/>
        </w:rPr>
      </w:pPr>
      <w:r w:rsidRPr="009A3A5E">
        <w:rPr>
          <w:rFonts w:ascii="Times New Roman" w:hAnsi="Times New Roman" w:cs="Times New Roman"/>
          <w:sz w:val="24"/>
          <w:u w:val="single"/>
        </w:rPr>
        <w:lastRenderedPageBreak/>
        <w:t>Desinstalación de dispositivo:</w:t>
      </w:r>
    </w:p>
    <w:p w:rsidR="009A3A5E" w:rsidRDefault="009A3A5E" w:rsidP="009A3A5E">
      <w:pPr>
        <w:jc w:val="both"/>
        <w:rPr>
          <w:rFonts w:ascii="Times New Roman" w:hAnsi="Times New Roman" w:cs="Times New Roman"/>
        </w:rPr>
      </w:pPr>
      <w:r>
        <w:rPr>
          <w:rFonts w:ascii="Times New Roman" w:hAnsi="Times New Roman" w:cs="Times New Roman"/>
        </w:rPr>
        <w:t>El principal motivo por el cual se han desinstalado los dispositivos de monitoreo a la fecha es el cumplimiento de la condena, que ocupa el 78% de las desinstalaciones.</w:t>
      </w:r>
    </w:p>
    <w:p w:rsidR="00F728D0" w:rsidRDefault="00F728D0" w:rsidP="009A3A5E">
      <w:pPr>
        <w:jc w:val="both"/>
        <w:rPr>
          <w:rFonts w:ascii="Times New Roman" w:hAnsi="Times New Roman" w:cs="Times New Roman"/>
        </w:rPr>
      </w:pPr>
    </w:p>
    <w:p w:rsidR="00F728D0" w:rsidRPr="00F728D0" w:rsidRDefault="00F728D0" w:rsidP="009A3A5E">
      <w:pPr>
        <w:jc w:val="both"/>
        <w:rPr>
          <w:rFonts w:ascii="Times New Roman" w:hAnsi="Times New Roman" w:cs="Times New Roman"/>
          <w:sz w:val="24"/>
          <w:u w:val="single"/>
        </w:rPr>
      </w:pPr>
      <w:r w:rsidRPr="00F728D0">
        <w:rPr>
          <w:rFonts w:ascii="Times New Roman" w:hAnsi="Times New Roman" w:cs="Times New Roman"/>
          <w:sz w:val="24"/>
          <w:u w:val="single"/>
        </w:rPr>
        <w:t>Bibliografía:</w:t>
      </w:r>
    </w:p>
    <w:p w:rsidR="00F728D0" w:rsidRDefault="00F728D0" w:rsidP="009A3A5E">
      <w:pPr>
        <w:jc w:val="both"/>
        <w:rPr>
          <w:rFonts w:ascii="Times New Roman" w:hAnsi="Times New Roman" w:cs="Times New Roman"/>
        </w:rPr>
      </w:pPr>
      <w:r>
        <w:rPr>
          <w:rFonts w:ascii="Times New Roman" w:hAnsi="Times New Roman" w:cs="Times New Roman"/>
        </w:rPr>
        <w:t>Pamela Reygadas Apaz, Jefa Departamento de Monitoreo Telemático de Gendarmería de Chile. Respuesta a solicitud de información pública, 12 Mayo 2016.</w:t>
      </w:r>
    </w:p>
    <w:p w:rsidR="00346101" w:rsidRDefault="00346101" w:rsidP="009A3A5E">
      <w:pPr>
        <w:jc w:val="both"/>
        <w:rPr>
          <w:rFonts w:ascii="Times New Roman" w:hAnsi="Times New Roman" w:cs="Times New Roman"/>
        </w:rPr>
      </w:pPr>
      <w:bookmarkStart w:id="0" w:name="_GoBack"/>
      <w:bookmarkEnd w:id="0"/>
    </w:p>
    <w:p w:rsidR="00F728D0" w:rsidRDefault="00F728D0" w:rsidP="009A3A5E">
      <w:pPr>
        <w:jc w:val="both"/>
        <w:rPr>
          <w:rFonts w:ascii="Times New Roman" w:hAnsi="Times New Roman" w:cs="Times New Roman"/>
          <w:sz w:val="24"/>
          <w:u w:val="single"/>
        </w:rPr>
      </w:pPr>
      <w:r w:rsidRPr="00F728D0">
        <w:rPr>
          <w:rFonts w:ascii="Times New Roman" w:hAnsi="Times New Roman" w:cs="Times New Roman"/>
          <w:sz w:val="24"/>
          <w:u w:val="single"/>
        </w:rPr>
        <w:t>Anexo:</w:t>
      </w:r>
    </w:p>
    <w:p w:rsidR="00AE65F7" w:rsidRDefault="00AE65F7" w:rsidP="00AE65F7">
      <w:pPr>
        <w:jc w:val="center"/>
        <w:rPr>
          <w:rFonts w:ascii="Times New Roman" w:hAnsi="Times New Roman" w:cs="Times New Roman"/>
          <w:sz w:val="24"/>
          <w:u w:val="single"/>
        </w:rPr>
      </w:pPr>
      <w:r>
        <w:rPr>
          <w:rFonts w:ascii="Times New Roman" w:hAnsi="Times New Roman" w:cs="Times New Roman"/>
          <w:noProof/>
          <w:sz w:val="24"/>
          <w:u w:val="single"/>
          <w:lang w:val="es-ES" w:eastAsia="es-ES"/>
        </w:rPr>
        <w:drawing>
          <wp:inline distT="0" distB="0" distL="0" distR="0">
            <wp:extent cx="4118457" cy="30937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1.PNG"/>
                    <pic:cNvPicPr/>
                  </pic:nvPicPr>
                  <pic:blipFill>
                    <a:blip r:embed="rId8">
                      <a:extLst>
                        <a:ext uri="{28A0092B-C50C-407E-A947-70E740481C1C}">
                          <a14:useLocalDpi xmlns:a14="http://schemas.microsoft.com/office/drawing/2010/main" val="0"/>
                        </a:ext>
                      </a:extLst>
                    </a:blip>
                    <a:stretch>
                      <a:fillRect/>
                    </a:stretch>
                  </pic:blipFill>
                  <pic:spPr>
                    <a:xfrm>
                      <a:off x="0" y="0"/>
                      <a:ext cx="4139267" cy="3109352"/>
                    </a:xfrm>
                    <a:prstGeom prst="rect">
                      <a:avLst/>
                    </a:prstGeom>
                  </pic:spPr>
                </pic:pic>
              </a:graphicData>
            </a:graphic>
          </wp:inline>
        </w:drawing>
      </w:r>
    </w:p>
    <w:p w:rsidR="00AE65F7" w:rsidRPr="00F728D0" w:rsidRDefault="00AE65F7" w:rsidP="00AE65F7">
      <w:pPr>
        <w:jc w:val="center"/>
        <w:rPr>
          <w:rFonts w:ascii="Times New Roman" w:hAnsi="Times New Roman" w:cs="Times New Roman"/>
          <w:sz w:val="24"/>
          <w:u w:val="single"/>
        </w:rPr>
      </w:pPr>
      <w:r>
        <w:rPr>
          <w:rFonts w:ascii="Times New Roman" w:hAnsi="Times New Roman" w:cs="Times New Roman"/>
          <w:noProof/>
          <w:sz w:val="24"/>
          <w:u w:val="single"/>
          <w:lang w:val="es-ES" w:eastAsia="es-ES"/>
        </w:rPr>
        <w:drawing>
          <wp:inline distT="0" distB="0" distL="0" distR="0">
            <wp:extent cx="5083810" cy="2530618"/>
            <wp:effectExtent l="0" t="0" r="254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2.PNG"/>
                    <pic:cNvPicPr/>
                  </pic:nvPicPr>
                  <pic:blipFill>
                    <a:blip r:embed="rId9">
                      <a:extLst>
                        <a:ext uri="{28A0092B-C50C-407E-A947-70E740481C1C}">
                          <a14:useLocalDpi xmlns:a14="http://schemas.microsoft.com/office/drawing/2010/main" val="0"/>
                        </a:ext>
                      </a:extLst>
                    </a:blip>
                    <a:stretch>
                      <a:fillRect/>
                    </a:stretch>
                  </pic:blipFill>
                  <pic:spPr>
                    <a:xfrm>
                      <a:off x="0" y="0"/>
                      <a:ext cx="5107434" cy="2542378"/>
                    </a:xfrm>
                    <a:prstGeom prst="rect">
                      <a:avLst/>
                    </a:prstGeom>
                  </pic:spPr>
                </pic:pic>
              </a:graphicData>
            </a:graphic>
          </wp:inline>
        </w:drawing>
      </w:r>
    </w:p>
    <w:p w:rsidR="00F728D0" w:rsidRDefault="00F728D0" w:rsidP="009A3A5E">
      <w:pPr>
        <w:jc w:val="both"/>
        <w:rPr>
          <w:rFonts w:ascii="Times New Roman" w:hAnsi="Times New Roman" w:cs="Times New Roman"/>
        </w:rPr>
      </w:pPr>
    </w:p>
    <w:p w:rsidR="00F728D0" w:rsidRDefault="0005559D" w:rsidP="0005559D">
      <w:pPr>
        <w:jc w:val="center"/>
        <w:rPr>
          <w:rFonts w:ascii="Times New Roman" w:hAnsi="Times New Roman" w:cs="Times New Roman"/>
        </w:rPr>
      </w:pPr>
      <w:r>
        <w:rPr>
          <w:rFonts w:ascii="Times New Roman" w:hAnsi="Times New Roman" w:cs="Times New Roman"/>
          <w:noProof/>
          <w:lang w:val="es-ES" w:eastAsia="es-ES"/>
        </w:rPr>
        <w:drawing>
          <wp:inline distT="0" distB="0" distL="0" distR="0">
            <wp:extent cx="4389120" cy="26919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3.PNG"/>
                    <pic:cNvPicPr/>
                  </pic:nvPicPr>
                  <pic:blipFill>
                    <a:blip r:embed="rId10">
                      <a:extLst>
                        <a:ext uri="{28A0092B-C50C-407E-A947-70E740481C1C}">
                          <a14:useLocalDpi xmlns:a14="http://schemas.microsoft.com/office/drawing/2010/main" val="0"/>
                        </a:ext>
                      </a:extLst>
                    </a:blip>
                    <a:stretch>
                      <a:fillRect/>
                    </a:stretch>
                  </pic:blipFill>
                  <pic:spPr>
                    <a:xfrm>
                      <a:off x="0" y="0"/>
                      <a:ext cx="4401105" cy="2699344"/>
                    </a:xfrm>
                    <a:prstGeom prst="rect">
                      <a:avLst/>
                    </a:prstGeom>
                  </pic:spPr>
                </pic:pic>
              </a:graphicData>
            </a:graphic>
          </wp:inline>
        </w:drawing>
      </w:r>
    </w:p>
    <w:p w:rsidR="00F728D0" w:rsidRDefault="00F728D0" w:rsidP="009A3A5E">
      <w:pPr>
        <w:jc w:val="both"/>
        <w:rPr>
          <w:rFonts w:ascii="Times New Roman" w:hAnsi="Times New Roman" w:cs="Times New Roman"/>
        </w:rPr>
      </w:pPr>
    </w:p>
    <w:p w:rsidR="00F728D0" w:rsidRDefault="00F728D0" w:rsidP="009A3A5E">
      <w:pPr>
        <w:jc w:val="both"/>
        <w:rPr>
          <w:rFonts w:ascii="Times New Roman" w:hAnsi="Times New Roman" w:cs="Times New Roman"/>
        </w:rPr>
      </w:pPr>
    </w:p>
    <w:p w:rsidR="00F728D0" w:rsidRDefault="00F728D0" w:rsidP="009A3A5E">
      <w:pPr>
        <w:jc w:val="both"/>
        <w:rPr>
          <w:rFonts w:ascii="Times New Roman" w:hAnsi="Times New Roman" w:cs="Times New Roman"/>
        </w:rPr>
      </w:pPr>
    </w:p>
    <w:p w:rsidR="00F728D0" w:rsidRPr="009A3A5E" w:rsidRDefault="00F728D0" w:rsidP="009A3A5E">
      <w:pPr>
        <w:jc w:val="both"/>
        <w:rPr>
          <w:rFonts w:ascii="Times New Roman" w:hAnsi="Times New Roman" w:cs="Times New Roman"/>
        </w:rPr>
      </w:pPr>
    </w:p>
    <w:sectPr w:rsidR="00F728D0" w:rsidRPr="009A3A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C9"/>
    <w:rsid w:val="0005559D"/>
    <w:rsid w:val="00346101"/>
    <w:rsid w:val="0040725A"/>
    <w:rsid w:val="00464CC7"/>
    <w:rsid w:val="004F453C"/>
    <w:rsid w:val="006559C9"/>
    <w:rsid w:val="008037D9"/>
    <w:rsid w:val="009356E4"/>
    <w:rsid w:val="00942722"/>
    <w:rsid w:val="009A3A5E"/>
    <w:rsid w:val="009D6E2E"/>
    <w:rsid w:val="00AE65F7"/>
    <w:rsid w:val="00BA679F"/>
    <w:rsid w:val="00C1552C"/>
    <w:rsid w:val="00D51264"/>
    <w:rsid w:val="00E22E12"/>
    <w:rsid w:val="00F728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DDCF"/>
  <w15:chartTrackingRefBased/>
  <w15:docId w15:val="{26EB8279-BDF1-4A5D-8601-FFFD2079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3">
    <w:name w:val="Grid Table 4 Accent 3"/>
    <w:basedOn w:val="Tablanormal"/>
    <w:uiPriority w:val="49"/>
    <w:rsid w:val="00464C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3-nfasis3">
    <w:name w:val="List Table 3 Accent 3"/>
    <w:basedOn w:val="Tablanormal"/>
    <w:uiPriority w:val="48"/>
    <w:rsid w:val="00464CC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t>Delitos más usuales por los cuales son monitoreados los condenados</a:t>
            </a:r>
          </a:p>
        </c:rich>
      </c:tx>
      <c:layout>
        <c:manualLayout>
          <c:xMode val="edge"/>
          <c:yMode val="edge"/>
          <c:x val="0.17278003182392426"/>
          <c:y val="6.1473111009371804E-3"/>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manualLayout>
          <c:layoutTarget val="inner"/>
          <c:xMode val="edge"/>
          <c:yMode val="edge"/>
          <c:x val="0.50220819965372065"/>
          <c:y val="0.17078809839035608"/>
          <c:w val="0.46939742995045358"/>
          <c:h val="0.76334587601328596"/>
        </c:manualLayout>
      </c:layout>
      <c:barChart>
        <c:barDir val="bar"/>
        <c:grouping val="clustered"/>
        <c:varyColors val="0"/>
        <c:ser>
          <c:idx val="0"/>
          <c:order val="0"/>
          <c:spPr>
            <a:solidFill>
              <a:schemeClr val="accent6">
                <a:lumMod val="75000"/>
              </a:schemeClr>
            </a:solidFill>
            <a:ln>
              <a:noFill/>
            </a:ln>
            <a:effectLst>
              <a:outerShdw blurRad="57150" dist="19050" dir="5400000" algn="ctr" rotWithShape="0">
                <a:srgbClr val="000000">
                  <a:alpha val="63000"/>
                </a:srgbClr>
              </a:outerShdw>
            </a:effectLst>
          </c:spPr>
          <c:invertIfNegative val="0"/>
          <c:cat>
            <c:strRef>
              <c:f>Hoja2!$A$2:$A$24</c:f>
              <c:strCache>
                <c:ptCount val="15"/>
                <c:pt idx="0">
                  <c:v>Faltas</c:v>
                </c:pt>
                <c:pt idx="1">
                  <c:v>Otros delitos</c:v>
                </c:pt>
                <c:pt idx="2">
                  <c:v>Quebrantamiento de sentencias / delinquen bajo condena</c:v>
                </c:pt>
                <c:pt idx="3">
                  <c:v>Contra el orden de las familias /  la integridad sexual /moralidad pública </c:v>
                </c:pt>
                <c:pt idx="4">
                  <c:v>Infracción a la ley 17.798 control de armas</c:v>
                </c:pt>
                <c:pt idx="5">
                  <c:v>Contra la fe pública / falsificaciones / falso testimonio y del perjurio</c:v>
                </c:pt>
                <c:pt idx="6">
                  <c:v>Infracción a la ley 20.066 sobre violencia intrafamiliar</c:v>
                </c:pt>
                <c:pt idx="7">
                  <c:v>Infracción a la ley 17.336 de propiedad intelectual</c:v>
                </c:pt>
                <c:pt idx="8">
                  <c:v>Infracción a otros textos legales</c:v>
                </c:pt>
                <c:pt idx="9">
                  <c:v>Contra el orden y la seguridad pública cometido por particulares</c:v>
                </c:pt>
                <c:pt idx="10">
                  <c:v>Contra las personas</c:v>
                </c:pt>
                <c:pt idx="11">
                  <c:v>Múltiples delitos</c:v>
                </c:pt>
                <c:pt idx="12">
                  <c:v>Infracción ley 20.000 trafico de estupefacientes y sustancias psicotrópicas</c:v>
                </c:pt>
                <c:pt idx="13">
                  <c:v>Infracción a la ley de tránsito</c:v>
                </c:pt>
                <c:pt idx="14">
                  <c:v>Contra la propiedad</c:v>
                </c:pt>
              </c:strCache>
            </c:strRef>
          </c:cat>
          <c:val>
            <c:numRef>
              <c:f>Hoja2!$B$2:$B$24</c:f>
              <c:numCache>
                <c:formatCode>General</c:formatCode>
                <c:ptCount val="15"/>
                <c:pt idx="0">
                  <c:v>9</c:v>
                </c:pt>
                <c:pt idx="1">
                  <c:v>10</c:v>
                </c:pt>
                <c:pt idx="2">
                  <c:v>16</c:v>
                </c:pt>
                <c:pt idx="3">
                  <c:v>21</c:v>
                </c:pt>
                <c:pt idx="4">
                  <c:v>22</c:v>
                </c:pt>
                <c:pt idx="5">
                  <c:v>30</c:v>
                </c:pt>
                <c:pt idx="6">
                  <c:v>65</c:v>
                </c:pt>
                <c:pt idx="7">
                  <c:v>81</c:v>
                </c:pt>
                <c:pt idx="8">
                  <c:v>102</c:v>
                </c:pt>
                <c:pt idx="9">
                  <c:v>141</c:v>
                </c:pt>
                <c:pt idx="10">
                  <c:v>149</c:v>
                </c:pt>
                <c:pt idx="11">
                  <c:v>183</c:v>
                </c:pt>
                <c:pt idx="12">
                  <c:v>247</c:v>
                </c:pt>
                <c:pt idx="13">
                  <c:v>1011</c:v>
                </c:pt>
                <c:pt idx="14">
                  <c:v>1545</c:v>
                </c:pt>
              </c:numCache>
            </c:numRef>
          </c:val>
          <c:extLst>
            <c:ext xmlns:c16="http://schemas.microsoft.com/office/drawing/2014/chart" uri="{C3380CC4-5D6E-409C-BE32-E72D297353CC}">
              <c16:uniqueId val="{00000000-81D3-4315-8F08-55BDD2B8BFB9}"/>
            </c:ext>
          </c:extLst>
        </c:ser>
        <c:dLbls>
          <c:showLegendKey val="0"/>
          <c:showVal val="0"/>
          <c:showCatName val="0"/>
          <c:showSerName val="0"/>
          <c:showPercent val="0"/>
          <c:showBubbleSize val="0"/>
        </c:dLbls>
        <c:gapWidth val="115"/>
        <c:overlap val="-20"/>
        <c:axId val="361106744"/>
        <c:axId val="361116584"/>
      </c:barChart>
      <c:catAx>
        <c:axId val="361106744"/>
        <c:scaling>
          <c:orientation val="minMax"/>
        </c:scaling>
        <c:delete val="0"/>
        <c:axPos val="l"/>
        <c:numFmt formatCode="General" sourceLinked="0"/>
        <c:majorTickMark val="none"/>
        <c:minorTickMark val="none"/>
        <c:tickLblPos val="nextTo"/>
        <c:spPr>
          <a:noFill/>
          <a:ln w="12700" cap="flat" cmpd="sng" algn="ctr">
            <a:solidFill>
              <a:schemeClr val="lt1">
                <a:lumMod val="95000"/>
                <a:alpha val="54000"/>
              </a:schemeClr>
            </a:solidFill>
            <a:round/>
          </a:ln>
          <a:effectLst/>
        </c:spPr>
        <c:txPr>
          <a:bodyPr rot="0" spcFirstLastPara="1" vertOverflow="ellipsis" wrap="square" anchor="t" anchorCtr="0"/>
          <a:lstStyle/>
          <a:p>
            <a:pPr>
              <a:defRPr sz="900" b="0" i="0" u="none" strike="noStrike" kern="1200" baseline="0">
                <a:solidFill>
                  <a:schemeClr val="lt1">
                    <a:lumMod val="85000"/>
                  </a:schemeClr>
                </a:solidFill>
                <a:latin typeface="+mn-lt"/>
                <a:ea typeface="+mn-ea"/>
                <a:cs typeface="+mn-cs"/>
              </a:defRPr>
            </a:pPr>
            <a:endParaRPr lang="es-ES"/>
          </a:p>
        </c:txPr>
        <c:crossAx val="361116584"/>
        <c:crosses val="autoZero"/>
        <c:auto val="1"/>
        <c:lblAlgn val="l"/>
        <c:lblOffset val="100"/>
        <c:noMultiLvlLbl val="0"/>
      </c:catAx>
      <c:valAx>
        <c:axId val="361116584"/>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ES"/>
          </a:p>
        </c:txPr>
        <c:crossAx val="361106744"/>
        <c:crosses val="autoZero"/>
        <c:crossBetween val="between"/>
      </c:valAx>
      <c:spPr>
        <a:noFill/>
        <a:ln>
          <a:noFill/>
        </a:ln>
        <a:effectLst>
          <a:softEdge rad="0"/>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1" i="0" u="none" strike="noStrike" kern="1200" cap="none" baseline="0">
                <a:solidFill>
                  <a:schemeClr val="bg1"/>
                </a:solidFill>
                <a:latin typeface="+mn-lt"/>
                <a:ea typeface="+mn-ea"/>
                <a:cs typeface="+mn-cs"/>
              </a:defRPr>
            </a:pPr>
            <a:r>
              <a:rPr lang="es-ES">
                <a:solidFill>
                  <a:schemeClr val="bg1"/>
                </a:solidFill>
              </a:rPr>
              <a:t>Cantidad de incumplimientos registrados desde septiembre del 2014 a marzo del 2016</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bg1"/>
              </a:solidFill>
              <a:latin typeface="+mn-lt"/>
              <a:ea typeface="+mn-ea"/>
              <a:cs typeface="+mn-cs"/>
            </a:defRPr>
          </a:pPr>
          <a:endParaRPr lang="es-ES"/>
        </a:p>
      </c:txPr>
    </c:title>
    <c:autoTitleDeleted val="0"/>
    <c:plotArea>
      <c:layout/>
      <c:lineChart>
        <c:grouping val="standard"/>
        <c:varyColors val="0"/>
        <c:ser>
          <c:idx val="0"/>
          <c:order val="0"/>
          <c:spPr>
            <a:ln w="22225" cap="rnd">
              <a:solidFill>
                <a:schemeClr val="accent6"/>
              </a:solidFill>
            </a:ln>
            <a:effectLst>
              <a:glow rad="139700">
                <a:schemeClr val="accent6">
                  <a:satMod val="175000"/>
                  <a:alpha val="14000"/>
                </a:schemeClr>
              </a:glow>
            </a:effectLst>
          </c:spPr>
          <c:marker>
            <c:symbol val="none"/>
          </c:marker>
          <c:cat>
            <c:strRef>
              <c:f>Hoja1!$A$6:$A$24</c:f>
              <c:strCache>
                <c:ptCount val="19"/>
                <c:pt idx="0">
                  <c:v>sep</c:v>
                </c:pt>
                <c:pt idx="1">
                  <c:v>oct</c:v>
                </c:pt>
                <c:pt idx="2">
                  <c:v>nov</c:v>
                </c:pt>
                <c:pt idx="3">
                  <c:v>dic</c:v>
                </c:pt>
                <c:pt idx="4">
                  <c:v>ene</c:v>
                </c:pt>
                <c:pt idx="5">
                  <c:v>feb</c:v>
                </c:pt>
                <c:pt idx="6">
                  <c:v>mar</c:v>
                </c:pt>
                <c:pt idx="7">
                  <c:v>abr</c:v>
                </c:pt>
                <c:pt idx="8">
                  <c:v>may</c:v>
                </c:pt>
                <c:pt idx="9">
                  <c:v>jun</c:v>
                </c:pt>
                <c:pt idx="10">
                  <c:v>jul</c:v>
                </c:pt>
                <c:pt idx="11">
                  <c:v>ago</c:v>
                </c:pt>
                <c:pt idx="12">
                  <c:v>sep</c:v>
                </c:pt>
                <c:pt idx="13">
                  <c:v>oct</c:v>
                </c:pt>
                <c:pt idx="14">
                  <c:v>nov</c:v>
                </c:pt>
                <c:pt idx="15">
                  <c:v>dic</c:v>
                </c:pt>
                <c:pt idx="16">
                  <c:v>ene</c:v>
                </c:pt>
                <c:pt idx="17">
                  <c:v>feb</c:v>
                </c:pt>
                <c:pt idx="18">
                  <c:v>mar</c:v>
                </c:pt>
              </c:strCache>
            </c:strRef>
          </c:cat>
          <c:val>
            <c:numRef>
              <c:f>Hoja1!$B$6:$B$24</c:f>
              <c:numCache>
                <c:formatCode>General</c:formatCode>
                <c:ptCount val="19"/>
                <c:pt idx="0">
                  <c:v>3</c:v>
                </c:pt>
                <c:pt idx="1">
                  <c:v>48</c:v>
                </c:pt>
                <c:pt idx="2">
                  <c:v>439</c:v>
                </c:pt>
                <c:pt idx="3">
                  <c:v>1029</c:v>
                </c:pt>
                <c:pt idx="4">
                  <c:v>965</c:v>
                </c:pt>
                <c:pt idx="5">
                  <c:v>1273</c:v>
                </c:pt>
                <c:pt idx="6">
                  <c:v>2328</c:v>
                </c:pt>
                <c:pt idx="7">
                  <c:v>3192</c:v>
                </c:pt>
                <c:pt idx="8">
                  <c:v>4007</c:v>
                </c:pt>
                <c:pt idx="9">
                  <c:v>4526</c:v>
                </c:pt>
                <c:pt idx="10">
                  <c:v>4373</c:v>
                </c:pt>
                <c:pt idx="11">
                  <c:v>5263</c:v>
                </c:pt>
                <c:pt idx="12">
                  <c:v>5220</c:v>
                </c:pt>
                <c:pt idx="13">
                  <c:v>6245</c:v>
                </c:pt>
                <c:pt idx="14">
                  <c:v>6879</c:v>
                </c:pt>
                <c:pt idx="15">
                  <c:v>6194</c:v>
                </c:pt>
                <c:pt idx="16">
                  <c:v>6022</c:v>
                </c:pt>
                <c:pt idx="17">
                  <c:v>6191</c:v>
                </c:pt>
                <c:pt idx="18">
                  <c:v>6337</c:v>
                </c:pt>
              </c:numCache>
            </c:numRef>
          </c:val>
          <c:smooth val="0"/>
          <c:extLst>
            <c:ext xmlns:c16="http://schemas.microsoft.com/office/drawing/2014/chart" uri="{C3380CC4-5D6E-409C-BE32-E72D297353CC}">
              <c16:uniqueId val="{00000000-FFB5-4357-8F7F-800563983344}"/>
            </c:ext>
          </c:extLst>
        </c:ser>
        <c:dLbls>
          <c:showLegendKey val="0"/>
          <c:showVal val="0"/>
          <c:showCatName val="0"/>
          <c:showSerName val="0"/>
          <c:showPercent val="0"/>
          <c:showBubbleSize val="0"/>
        </c:dLbls>
        <c:smooth val="0"/>
        <c:axId val="368390288"/>
        <c:axId val="368393568"/>
      </c:lineChart>
      <c:catAx>
        <c:axId val="36839028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ES"/>
          </a:p>
        </c:txPr>
        <c:crossAx val="368393568"/>
        <c:crosses val="autoZero"/>
        <c:auto val="1"/>
        <c:lblAlgn val="ctr"/>
        <c:lblOffset val="100"/>
        <c:noMultiLvlLbl val="0"/>
      </c:catAx>
      <c:valAx>
        <c:axId val="36839356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ES"/>
          </a:p>
        </c:txPr>
        <c:crossAx val="368390288"/>
        <c:crosses val="autoZero"/>
        <c:crossBetween val="between"/>
      </c:valAx>
      <c:spPr>
        <a:noFill/>
        <a:ln>
          <a:noFill/>
        </a:ln>
        <a:effectLst/>
      </c:spPr>
    </c:plotArea>
    <c:plotVisOnly val="1"/>
    <c:dispBlanksAs val="gap"/>
    <c:showDLblsOverMax val="0"/>
  </c:chart>
  <c:spPr>
    <a:solidFill>
      <a:schemeClr val="tx1">
        <a:lumMod val="75000"/>
        <a:lumOff val="25000"/>
      </a:schemeClr>
    </a:solid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492B-D324-47E5-9FA9-27804771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dc:creator>
  <cp:keywords/>
  <dc:description/>
  <cp:lastModifiedBy>Karem</cp:lastModifiedBy>
  <cp:revision>4</cp:revision>
  <dcterms:created xsi:type="dcterms:W3CDTF">2016-05-13T17:14:00Z</dcterms:created>
  <dcterms:modified xsi:type="dcterms:W3CDTF">2016-05-16T17:44:00Z</dcterms:modified>
</cp:coreProperties>
</file>