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81"/>
        <w:rPr/>
      </w:pPr>
      <w:r>
        <w:t>Cronograma parlamentario</w:t>
      </w:r>
    </w:p>
    <w:p>
      <w:pPr>
        <w:pStyle w:val="style0"/>
        <w:rPr>
          <w:u w:val="single"/>
        </w:rPr>
      </w:pPr>
      <w:r>
        <w:t>*A continuación se presenta la actividad parlamentaria de interés par</w:t>
      </w:r>
      <w:r>
        <w:t xml:space="preserve">a la </w:t>
      </w:r>
      <w:r>
        <w:t>primera</w:t>
      </w:r>
      <w:r>
        <w:t xml:space="preserve"> </w:t>
      </w:r>
      <w:r>
        <w:t xml:space="preserve">semana de </w:t>
      </w:r>
      <w:r>
        <w:t>noviembre</w:t>
      </w:r>
    </w:p>
    <w:p>
      <w:pPr>
        <w:pStyle w:val="style0"/>
        <w:rPr/>
      </w:pPr>
      <w:r>
        <w:t>PL: Proyecto de Ley</w:t>
      </w:r>
    </w:p>
    <w:p>
      <w:pPr>
        <w:pStyle w:val="style0"/>
        <w:rPr/>
      </w:pPr>
      <w:r>
        <w:rPr>
          <w:color w:val="ff0000"/>
        </w:rPr>
        <w:t xml:space="preserve">En rojo: </w:t>
      </w:r>
      <w:r>
        <w:t xml:space="preserve">Moción del Senador Guido </w:t>
      </w:r>
      <w:r>
        <w:t>Girardi</w:t>
      </w:r>
      <w:r>
        <w:t xml:space="preserve"> </w:t>
      </w:r>
      <w:bookmarkStart w:id="0" w:name="_GoBack"/>
      <w:bookmarkEnd w:id="0"/>
    </w:p>
    <w:p>
      <w:pPr>
        <w:pStyle w:val="style0"/>
        <w:jc w:val="both"/>
        <w:rPr>
          <w:rFonts w:ascii="Times New Roman" w:cs="Times New Roman" w:hAnsi="Times New Roman"/>
          <w:color w:val="0070c0"/>
          <w:sz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color w:val="1f3864"/>
          <w:sz w:val="24"/>
        </w:rPr>
      </w:pPr>
      <w:r>
        <w:rPr>
          <w:rFonts w:ascii="Times New Roman" w:cs="Times New Roman" w:hAnsi="Times New Roman"/>
          <w:b/>
          <w:color w:val="1f3864"/>
          <w:sz w:val="24"/>
        </w:rPr>
        <w:t>Comisiones Senado</w:t>
      </w:r>
      <w:r>
        <w:rPr>
          <w:rFonts w:ascii="Times New Roman" w:cs="Times New Roman" w:hAnsi="Times New Roman"/>
          <w:b/>
          <w:color w:val="1f3864"/>
          <w:sz w:val="24"/>
        </w:rPr>
        <w:t xml:space="preserve">r G. </w:t>
      </w:r>
      <w:r>
        <w:rPr>
          <w:rFonts w:ascii="Times New Roman" w:cs="Times New Roman" w:hAnsi="Times New Roman"/>
          <w:b/>
          <w:color w:val="1f3864"/>
          <w:sz w:val="24"/>
        </w:rPr>
        <w:t>Girardi</w:t>
      </w:r>
    </w:p>
    <w:tbl>
      <w:tblPr>
        <w:tblStyle w:val="style4102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>
        <w:trPr/>
        <w:tc>
          <w:tcPr>
            <w:tcW w:w="2547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Fecha – Hora - Lugar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Comisión </w:t>
            </w:r>
          </w:p>
        </w:tc>
        <w:tc>
          <w:tcPr>
            <w:tcW w:w="8363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Tema a tratar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No se observa</w:t>
      </w:r>
      <w:r>
        <w:rPr>
          <w:rFonts w:ascii="Times New Roman" w:cs="Times New Roman" w:hAnsi="Times New Roman"/>
        </w:rPr>
        <w:t>n</w:t>
      </w:r>
    </w:p>
    <w:p>
      <w:pPr>
        <w:pStyle w:val="style0"/>
        <w:jc w:val="both"/>
        <w:rPr>
          <w:rFonts w:ascii="Times New Roman" w:cs="Times New Roman" w:hAnsi="Times New Roman"/>
          <w:b/>
          <w:color w:val="0070c0"/>
        </w:rPr>
      </w:pPr>
      <w:r>
        <w:rPr>
          <w:rFonts w:ascii="Times New Roman" w:cs="Times New Roman" w:hAnsi="Times New Roman"/>
          <w:b/>
          <w:color w:val="0070c0"/>
        </w:rPr>
        <w:t xml:space="preserve">Comisiones de interés legislativo </w:t>
      </w:r>
    </w:p>
    <w:tbl>
      <w:tblPr>
        <w:tblStyle w:val="style4102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>
        <w:trPr/>
        <w:tc>
          <w:tcPr>
            <w:tcW w:w="2547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Fecha – Hora - Lugar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Comisión </w:t>
            </w:r>
          </w:p>
        </w:tc>
        <w:tc>
          <w:tcPr>
            <w:tcW w:w="8363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Tema a tratar</w:t>
            </w:r>
          </w:p>
        </w:tc>
      </w:tr>
      <w:tr>
        <w:tblPrEx/>
        <w:trPr/>
        <w:tc>
          <w:tcPr>
            <w:tcW w:w="2547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 novi</w:t>
            </w:r>
            <w:r>
              <w:rPr>
                <w:rFonts w:ascii="Times New Roman" w:cs="Times New Roman" w:hAnsi="Times New Roman"/>
              </w:rPr>
              <w:t>embre, 1</w:t>
            </w:r>
            <w:r>
              <w:rPr>
                <w:rFonts w:ascii="Times New Roman" w:cs="Times New Roman" w:hAnsi="Times New Roman"/>
              </w:rPr>
              <w:t>5:25 a 16:15</w:t>
            </w:r>
            <w:r>
              <w:rPr>
                <w:rFonts w:ascii="Times New Roman" w:cs="Times New Roman" w:hAnsi="Times New Roman"/>
              </w:rPr>
              <w:t xml:space="preserve"> Sala </w:t>
            </w:r>
            <w:r>
              <w:rPr>
                <w:rFonts w:ascii="Times New Roman" w:cs="Times New Roman" w:hAnsi="Times New Roman"/>
              </w:rPr>
              <w:t>2,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Valparaíso</w:t>
            </w: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Intereses marítimos, pesca y acuicultur</w:t>
            </w:r>
            <w:r>
              <w:rPr>
                <w:rFonts w:ascii="Times New Roman" w:cs="Times New Roman" w:hAnsi="Times New Roman"/>
              </w:rPr>
              <w:t>a</w:t>
            </w:r>
          </w:p>
        </w:tc>
        <w:tc>
          <w:tcPr>
            <w:tcW w:w="8363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Proyecto de ley, en segundo trámite constitucional, que crea el Instituto Nacional de Desarrollo Sustentable de la Pesca Artesanal y de la Acuicultura de Pequeña Escala, INDESPA (Boletín N° 9.689-21)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  <w:b/>
          <w:color w:val="0070c0"/>
        </w:rPr>
      </w:pPr>
      <w:r>
        <w:rPr>
          <w:rFonts w:ascii="Times New Roman" w:cs="Times New Roman" w:hAnsi="Times New Roman"/>
          <w:b/>
          <w:color w:val="0070c0"/>
        </w:rPr>
        <w:t>Tabla Senado</w:t>
      </w:r>
    </w:p>
    <w:tbl>
      <w:tblPr>
        <w:tblStyle w:val="style4102"/>
        <w:tblW w:w="13036" w:type="dxa"/>
        <w:tblLook w:val="04A0" w:firstRow="1" w:lastRow="0" w:firstColumn="1" w:lastColumn="0" w:noHBand="0" w:noVBand="1"/>
      </w:tblPr>
      <w:tblGrid>
        <w:gridCol w:w="2388"/>
        <w:gridCol w:w="1530"/>
        <w:gridCol w:w="2025"/>
        <w:gridCol w:w="7093"/>
      </w:tblGrid>
      <w:tr>
        <w:trPr/>
        <w:tc>
          <w:tcPr>
            <w:tcW w:w="239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Fecha</w:t>
            </w:r>
          </w:p>
        </w:tc>
        <w:tc>
          <w:tcPr>
            <w:tcW w:w="1534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Orden tabla</w:t>
            </w:r>
          </w:p>
        </w:tc>
        <w:tc>
          <w:tcPr>
            <w:tcW w:w="1951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Comisión</w:t>
            </w:r>
          </w:p>
        </w:tc>
        <w:tc>
          <w:tcPr>
            <w:tcW w:w="7152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</w:t>
            </w:r>
            <w:r>
              <w:rPr>
                <w:rFonts w:ascii="Times New Roman" w:cs="Times New Roman" w:hAnsi="Times New Roman"/>
              </w:rPr>
              <w:t>Tema a tratar</w:t>
            </w:r>
          </w:p>
        </w:tc>
      </w:tr>
      <w:tr>
        <w:tblPrEx/>
        <w:trPr/>
        <w:tc>
          <w:tcPr>
            <w:tcW w:w="239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  <w:r>
              <w:rPr>
                <w:rFonts w:ascii="Times New Roman" w:cs="Times New Roman" w:hAnsi="Times New Roman"/>
              </w:rPr>
              <w:t xml:space="preserve"> noviem</w:t>
            </w:r>
            <w:r>
              <w:rPr>
                <w:rFonts w:ascii="Times New Roman" w:cs="Times New Roman" w:hAnsi="Times New Roman"/>
              </w:rPr>
              <w:t>bre</w:t>
            </w:r>
          </w:p>
        </w:tc>
        <w:tc>
          <w:tcPr>
            <w:tcW w:w="1534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Orden del día: 1</w:t>
            </w:r>
          </w:p>
        </w:tc>
        <w:tc>
          <w:tcPr>
            <w:tcW w:w="1951" w:type="dxa"/>
            <w:tcBorders/>
            <w:tcFitText w:val="false"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Derechos</w:t>
            </w:r>
            <w:r>
              <w:rPr>
                <w:rFonts w:ascii="Times New Roman" w:cs="Times New Roman" w:hAnsi="Times New Roman" w:hint="eastAsia"/>
              </w:rPr>
              <w:t xml:space="preserve"> </w:t>
            </w:r>
            <w:r>
              <w:rPr>
                <w:rFonts w:ascii="Times New Roman" w:cs="Times New Roman" w:hAnsi="Times New Roman" w:hint="eastAsia"/>
              </w:rPr>
              <w:t>Humanos,</w:t>
            </w:r>
            <w:r>
              <w:rPr>
                <w:rFonts w:ascii="Times New Roman" w:cs="Times New Roman" w:hAnsi="Times New Roman" w:hint="eastAsia"/>
              </w:rPr>
              <w:t xml:space="preserve"> </w:t>
            </w:r>
            <w:r>
              <w:rPr>
                <w:rFonts w:ascii="Times New Roman" w:cs="Times New Roman" w:hAnsi="Times New Roman" w:hint="eastAsia"/>
              </w:rPr>
              <w:t>Nacionalidad</w:t>
            </w:r>
            <w:r>
              <w:rPr>
                <w:rFonts w:ascii="Times New Roman" w:cs="Times New Roman" w:hAnsi="Times New Roman" w:hint="eastAsia"/>
              </w:rPr>
              <w:t xml:space="preserve"> </w:t>
            </w:r>
            <w:r>
              <w:rPr>
                <w:rFonts w:ascii="Times New Roman" w:cs="Times New Roman" w:hAnsi="Times New Roman" w:hint="eastAsia"/>
              </w:rPr>
              <w:t>y</w:t>
            </w:r>
            <w:r>
              <w:rPr>
                <w:rFonts w:ascii="Times New Roman" w:cs="Times New Roman" w:hAnsi="Times New Roman" w:hint="eastAsia"/>
              </w:rPr>
              <w:t xml:space="preserve"> </w:t>
            </w:r>
            <w:r>
              <w:rPr>
                <w:rFonts w:ascii="Times New Roman" w:cs="Times New Roman" w:hAnsi="Times New Roman" w:hint="eastAsia"/>
              </w:rPr>
              <w:t>Ciudadanía.</w:t>
            </w:r>
          </w:p>
        </w:tc>
        <w:tc>
          <w:tcPr>
            <w:tcW w:w="7152" w:type="dxa"/>
            <w:tcBorders/>
            <w:tcFitText w:val="false"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</w:t>
            </w:r>
            <w:r>
              <w:rPr>
                <w:rFonts w:ascii="Times New Roman" w:cs="Times New Roman" w:hAnsi="Times New Roman"/>
              </w:rPr>
              <w:t>L</w:t>
            </w:r>
            <w:r>
              <w:rPr>
                <w:rFonts w:ascii="Times New Roman" w:cs="Times New Roman" w:hAnsi="Times New Roman"/>
              </w:rPr>
              <w:t xml:space="preserve"> iniciado en Moción </w:t>
            </w:r>
            <w:r>
              <w:rPr>
                <w:rFonts w:ascii="Times New Roman" w:cs="Times New Roman" w:hAnsi="Times New Roman"/>
              </w:rPr>
              <w:t>e</w:t>
            </w:r>
            <w:r>
              <w:rPr>
                <w:rFonts w:ascii="Times New Roman" w:cs="Times New Roman" w:hAnsi="Times New Roman"/>
              </w:rPr>
              <w:t>n primer trámite constitucional, que reconoce y da protección al derecho a la identidad de género, con segundo informe y segundo informe complementario de la Comisión de Derechos Humanos, Nacionalidad y Ciudadanía. (discusión en particular). (Boletín N° 8.924-07</w:t>
            </w:r>
            <w:r>
              <w:rPr>
                <w:rFonts w:ascii="Times New Roman" w:cs="Times New Roman" w:hAnsi="Times New Roman"/>
              </w:rPr>
              <w:t>)</w:t>
            </w:r>
            <w:r>
              <w:rPr>
                <w:rFonts w:ascii="Times New Roman" w:cs="Times New Roman" w:hAnsi="Times New Roman"/>
              </w:rPr>
              <w:t>. Con urgencia calificada de “simple”.</w:t>
            </w:r>
          </w:p>
        </w:tc>
      </w:tr>
      <w:tr>
        <w:tblPrEx/>
        <w:trPr/>
        <w:tc>
          <w:tcPr>
            <w:tcW w:w="2399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  <w:r>
              <w:rPr>
                <w:rFonts w:ascii="Times New Roman" w:cs="Times New Roman" w:hAnsi="Times New Roman"/>
              </w:rPr>
              <w:t xml:space="preserve"> noviembre</w:t>
            </w:r>
          </w:p>
        </w:tc>
        <w:tc>
          <w:tcPr>
            <w:tcW w:w="1534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Orden</w:t>
            </w:r>
            <w:r>
              <w:rPr>
                <w:rFonts w:ascii="Times New Roman" w:cs="Times New Roman" w:hAnsi="Times New Roman"/>
              </w:rPr>
              <w:t xml:space="preserve"> del día: </w:t>
            </w: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1951" w:type="dxa"/>
            <w:tcBorders/>
            <w:tcFitText w:val="false"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Defensa </w:t>
            </w:r>
            <w:r>
              <w:rPr>
                <w:rFonts w:ascii="Times New Roman" w:cs="Times New Roman" w:hAnsi="Times New Roman"/>
              </w:rPr>
              <w:t>Nacional</w:t>
            </w:r>
          </w:p>
        </w:tc>
        <w:tc>
          <w:tcPr>
            <w:tcW w:w="7152" w:type="dxa"/>
            <w:tcBorders/>
            <w:tcFitText w:val="false"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PL en</w:t>
            </w:r>
            <w:r>
              <w:rPr>
                <w:rFonts w:ascii="Times New Roman" w:cs="Times New Roman" w:hAnsi="Times New Roman"/>
              </w:rPr>
              <w:t xml:space="preserve"> segundo trámite constitucional, que exige la publicación en el Diario Oficial de la ley N°13.196, reservada del cobre, con informe de la Comisión de Defensa Nacional. (proyecto de artículo único). (Boletín N° 10.518-07</w:t>
            </w:r>
            <w:r>
              <w:rPr>
                <w:rFonts w:ascii="Times New Roman" w:cs="Times New Roman" w:hAnsi="Times New Roman"/>
              </w:rPr>
              <w:t>)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  <w:b/>
          <w:color w:val="538135"/>
        </w:rPr>
      </w:pPr>
    </w:p>
    <w:p>
      <w:pPr>
        <w:pStyle w:val="style0"/>
        <w:jc w:val="both"/>
        <w:rPr>
          <w:rFonts w:ascii="Times New Roman" w:cs="Times New Roman" w:hAnsi="Times New Roman"/>
          <w:b/>
          <w:color w:val="538135"/>
        </w:rPr>
      </w:pPr>
      <w:r>
        <w:rPr>
          <w:rFonts w:ascii="Times New Roman" w:cs="Times New Roman" w:hAnsi="Times New Roman"/>
          <w:b/>
          <w:color w:val="538135"/>
        </w:rPr>
        <w:t xml:space="preserve">Comisiones </w:t>
      </w:r>
      <w:r>
        <w:rPr>
          <w:rFonts w:ascii="Times New Roman" w:cs="Times New Roman" w:hAnsi="Times New Roman"/>
          <w:b/>
          <w:color w:val="538135"/>
        </w:rPr>
        <w:t xml:space="preserve">de interés legislativo </w:t>
      </w:r>
      <w:r>
        <w:rPr>
          <w:rFonts w:ascii="Times New Roman" w:cs="Times New Roman" w:hAnsi="Times New Roman"/>
          <w:b/>
          <w:color w:val="538135"/>
        </w:rPr>
        <w:t>Cámara de Diputados</w:t>
      </w:r>
    </w:p>
    <w:tbl>
      <w:tblPr>
        <w:tblStyle w:val="style4103"/>
        <w:tblW w:w="13272" w:type="dxa"/>
        <w:tblLook w:val="04A0" w:firstRow="1" w:lastRow="0" w:firstColumn="1" w:lastColumn="0" w:noHBand="0" w:noVBand="1"/>
      </w:tblPr>
      <w:tblGrid>
        <w:gridCol w:w="3350"/>
        <w:gridCol w:w="3544"/>
        <w:gridCol w:w="6378"/>
      </w:tblGrid>
      <w:tr>
        <w:trPr/>
        <w:tc>
          <w:tcPr>
            <w:tcW w:w="335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Fecha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Comisión </w:t>
            </w:r>
          </w:p>
        </w:tc>
        <w:tc>
          <w:tcPr>
            <w:tcW w:w="6378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Tema a tratar</w:t>
            </w:r>
          </w:p>
        </w:tc>
      </w:tr>
      <w:tr>
        <w:tblPrEx/>
        <w:trPr/>
        <w:tc>
          <w:tcPr>
            <w:tcW w:w="335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 noviem</w:t>
            </w:r>
            <w:r>
              <w:rPr>
                <w:rFonts w:ascii="Times New Roman" w:cs="Times New Roman" w:hAnsi="Times New Roman"/>
              </w:rPr>
              <w:t xml:space="preserve">bre, </w:t>
            </w:r>
            <w:r>
              <w:rPr>
                <w:rFonts w:ascii="Times New Roman" w:cs="Times New Roman" w:hAnsi="Times New Roman"/>
              </w:rPr>
              <w:t>17</w:t>
            </w:r>
            <w:r>
              <w:rPr>
                <w:rFonts w:ascii="Times New Roman" w:cs="Times New Roman" w:hAnsi="Times New Roman"/>
              </w:rPr>
              <w:t>:15 a 1</w:t>
            </w:r>
            <w:r>
              <w:rPr>
                <w:rFonts w:ascii="Times New Roman" w:cs="Times New Roman" w:hAnsi="Times New Roman"/>
              </w:rPr>
              <w:t>9:15</w:t>
            </w:r>
            <w:r>
              <w:rPr>
                <w:rFonts w:ascii="Times New Roman" w:cs="Times New Roman" w:hAnsi="Times New Roman"/>
              </w:rPr>
              <w:t xml:space="preserve"> Sala </w:t>
            </w:r>
            <w:r>
              <w:rPr>
                <w:rFonts w:ascii="Times New Roman" w:cs="Times New Roman" w:hAnsi="Times New Roman"/>
              </w:rPr>
              <w:t>314,</w:t>
            </w:r>
            <w:r>
              <w:rPr>
                <w:rFonts w:ascii="Times New Roman" w:cs="Times New Roman" w:hAnsi="Times New Roman"/>
              </w:rPr>
              <w:t xml:space="preserve"> Valparaíso</w:t>
            </w:r>
          </w:p>
        </w:tc>
        <w:tc>
          <w:tcPr>
            <w:tcW w:w="3544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Recursos hidricos y </w:t>
            </w:r>
            <w:r>
              <w:rPr>
                <w:rFonts w:ascii="Times New Roman" w:cs="Times New Roman" w:hAnsi="Times New Roman"/>
              </w:rPr>
              <w:t>desertificación.</w:t>
            </w:r>
          </w:p>
        </w:tc>
        <w:tc>
          <w:tcPr>
            <w:tcW w:w="6378" w:type="dxa"/>
            <w:tcBorders/>
            <w:tcFitText w:val="false"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Recibir en audiencia a representantes del Movimiento Social en Defensa del Río Ñuble, para que expongan sus planteamientos en torno a los efectos que produciría el proyecto de construcción de una central de pasada en el río Ñuble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</w:rPr>
      </w:pPr>
    </w:p>
    <w:sectPr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5C4A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F547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6C8E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BD2A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4F056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3C4AB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BA40C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B94E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8E62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86E2224E"/>
    <w:lvl w:ilvl="0" w:tplc="D2743286">
      <w:start w:val="27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0EE2E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E98E856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s-C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419"/>
        <w:tab w:val="right" w:leader="none" w:pos="8838"/>
      </w:tabs>
      <w:spacing w:after="0" w:lineRule="auto" w:line="240"/>
    </w:pPr>
    <w:rPr/>
  </w:style>
  <w:style w:type="character" w:customStyle="1" w:styleId="style4097">
    <w:name w:val="Encabezado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419"/>
        <w:tab w:val="right" w:leader="none" w:pos="8838"/>
      </w:tabs>
      <w:spacing w:after="0" w:lineRule="auto" w:line="240"/>
    </w:pPr>
    <w:rPr/>
  </w:style>
  <w:style w:type="character" w:customStyle="1" w:styleId="style4098">
    <w:name w:val="Pie de página Car"/>
    <w:basedOn w:val="style65"/>
    <w:next w:val="style4098"/>
    <w:link w:val="style32"/>
    <w:uiPriority w:val="99"/>
  </w:style>
  <w:style w:type="table" w:customStyle="1" w:styleId="style4099">
    <w:name w:val="Tabla de lista 6 con colores - Énfasis 21"/>
    <w:basedOn w:val="style105"/>
    <w:next w:val="style4099"/>
    <w:uiPriority w:val="51"/>
    <w:pPr>
      <w:spacing w:after="0" w:lineRule="auto" w:line="240"/>
    </w:pPr>
    <w:rPr>
      <w:color w:val="c45911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ed7d31"/>
        </w:tcBorders>
      </w:tcPr>
    </w:tblStylePr>
    <w:tblStylePr w:type="band1Horz">
      <w:pPr/>
      <w:tblPr/>
      <w:tcPr>
        <w:tcBorders/>
        <w:shd w:val="clear" w:color="auto" w:fill="fbe4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e4d5"/>
      </w:tcPr>
    </w:tblStylePr>
    <w:tcPr>
      <w:tcBorders/>
    </w:tcPr>
  </w:style>
  <w:style w:type="table" w:customStyle="1" w:styleId="style4100">
    <w:name w:val="Tabla de cuadrícula 6 con colores - Énfasis 51"/>
    <w:basedOn w:val="style105"/>
    <w:next w:val="style4100"/>
    <w:uiPriority w:val="51"/>
    <w:pPr>
      <w:spacing w:after="0" w:lineRule="auto" w:line="240"/>
    </w:pPr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8eaadb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paragraph" w:styleId="style181">
    <w:name w:val="Intense Quote"/>
    <w:basedOn w:val="style0"/>
    <w:next w:val="style0"/>
    <w:link w:val="style4101"/>
    <w:qFormat/>
    <w:uiPriority w:val="3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b/>
      <w:iCs/>
      <w:color w:val="538135"/>
      <w:sz w:val="28"/>
    </w:rPr>
  </w:style>
  <w:style w:type="character" w:customStyle="1" w:styleId="style4101">
    <w:name w:val="Cita destacada Car"/>
    <w:basedOn w:val="style65"/>
    <w:next w:val="style4101"/>
    <w:link w:val="style181"/>
    <w:uiPriority w:val="30"/>
    <w:rPr>
      <w:b/>
      <w:iCs/>
      <w:color w:val="538135"/>
      <w:sz w:val="28"/>
    </w:rPr>
  </w:style>
  <w:style w:type="table" w:customStyle="1" w:styleId="style4102">
    <w:name w:val="Tabla de cuadrícula 5 oscura - Énfasis 11"/>
    <w:basedOn w:val="style105"/>
    <w:next w:val="style4102"/>
    <w:uiPriority w:val="50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eeaf6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band1Horz">
      <w:pPr/>
      <w:tblPr/>
      <w:tcPr>
        <w:tcBorders/>
        <w:shd w:val="clear" w:color="auto" w:fill="bdd6ee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pPr/>
      <w:tblPr/>
      <w:tcPr>
        <w:tcBorders/>
        <w:shd w:val="clear" w:color="auto" w:fill="bdd6ee"/>
      </w:tcPr>
    </w:tblStylePr>
    <w:tcPr>
      <w:tcBorders/>
      <w:shd w:val="clear" w:color="auto" w:fill="deeaf6"/>
    </w:tcPr>
  </w:style>
  <w:style w:type="table" w:customStyle="1" w:styleId="style4103">
    <w:name w:val="Tabla de cuadrícula 5 oscura - Énfasis 61"/>
    <w:basedOn w:val="style105"/>
    <w:next w:val="style4103"/>
    <w:uiPriority w:val="50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2efd9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band1Horz">
      <w:pPr/>
      <w:tblPr/>
      <w:tcPr>
        <w:tcBorders/>
        <w:shd w:val="clear" w:color="auto" w:fill="c5e0b3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pPr/>
      <w:tblPr/>
      <w:tcPr>
        <w:tcBorders/>
        <w:shd w:val="clear" w:color="auto" w:fill="c5e0b3"/>
      </w:tcPr>
    </w:tblStylePr>
    <w:tcPr>
      <w:tcBorders/>
      <w:shd w:val="clear" w:color="auto" w:fill="e2efd9"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1752-6FB6-4D53-8B03-2B45B1BB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272</Words>
  <Characters>1494</Characters>
  <Application>WPS Office</Application>
  <DocSecurity>0</DocSecurity>
  <Paragraphs>49</Paragraphs>
  <ScaleCrop>false</ScaleCrop>
  <LinksUpToDate>false</LinksUpToDate>
  <CharactersWithSpaces>1743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2016-11-02T04:37:10Z</dcterms:created>
  <dc:creator>Karem</dc:creator>
  <lastModifiedBy>Lenovo B6000-F</lastModifiedBy>
  <lastPrinted>2016-07-29T00:14:00Z</lastPrinted>
  <dcterms:modified xsi:type="dcterms:W3CDTF">2016-11-02T04:37:11Z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