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59" w:lineRule="auto"/>
        <w:ind w:left="864" w:right="864" w:firstLine="0"/>
        <w:contextualSpacing w:val="0"/>
        <w:jc w:val="center"/>
      </w:pPr>
      <w:r w:rsidDel="00000000" w:rsidR="00000000" w:rsidRPr="00000000">
        <w:rPr>
          <w:rFonts w:ascii="Calibri" w:cs="Calibri" w:eastAsia="Calibri" w:hAnsi="Calibri"/>
          <w:b w:val="1"/>
          <w:color w:val="538135"/>
          <w:sz w:val="28"/>
          <w:szCs w:val="28"/>
          <w:rtl w:val="0"/>
        </w:rPr>
        <w:t xml:space="preserve">Cronograma parlamentario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continuación se presenta la actividad parlamentaria de interés para la cuarta semana de enero 2017</w:t>
      </w:r>
    </w:p>
    <w:p w:rsidR="00000000" w:rsidDel="00000000" w:rsidP="00000000" w:rsidRDefault="00000000" w:rsidRPr="00000000">
      <w:pPr>
        <w:contextualSpacing w:val="0"/>
      </w:pPr>
      <w:r w:rsidDel="00000000" w:rsidR="00000000" w:rsidRPr="00000000">
        <w:rPr>
          <w:rtl w:val="0"/>
        </w:rPr>
        <w:t xml:space="preserve">PL: Proyecto de Ley</w:t>
      </w:r>
    </w:p>
    <w:p w:rsidR="00000000" w:rsidDel="00000000" w:rsidP="00000000" w:rsidRDefault="00000000" w:rsidRPr="00000000">
      <w:pPr>
        <w:contextualSpacing w:val="0"/>
      </w:pPr>
      <w:r w:rsidDel="00000000" w:rsidR="00000000" w:rsidRPr="00000000">
        <w:rPr>
          <w:color w:val="ff0000"/>
          <w:rtl w:val="0"/>
        </w:rPr>
        <w:t xml:space="preserve">En rojo: </w:t>
      </w:r>
      <w:r w:rsidDel="00000000" w:rsidR="00000000" w:rsidRPr="00000000">
        <w:rPr>
          <w:rtl w:val="0"/>
        </w:rPr>
        <w:t xml:space="preserve">Moción o firma del Senador Guido Girardi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1f3864"/>
          <w:sz w:val="24"/>
          <w:szCs w:val="24"/>
          <w:rtl w:val="0"/>
        </w:rPr>
        <w:t xml:space="preserve">Comisiones Senador G. Girardi</w:t>
      </w:r>
      <w:r w:rsidDel="00000000" w:rsidR="00000000" w:rsidRPr="00000000">
        <w:rPr>
          <w:rtl w:val="0"/>
        </w:rPr>
      </w:r>
    </w:p>
    <w:tbl>
      <w:tblPr>
        <w:tblStyle w:val="Table1"/>
        <w:bidiVisual w:val="0"/>
        <w:tblW w:w="13047.0" w:type="dxa"/>
        <w:jc w:val="left"/>
        <w:tblInd w:w="-34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547"/>
        <w:gridCol w:w="2183.0000000000005"/>
        <w:gridCol w:w="8317"/>
        <w:tblGridChange w:id="0">
          <w:tblGrid>
            <w:gridCol w:w="2547"/>
            <w:gridCol w:w="2183.0000000000005"/>
            <w:gridCol w:w="8317"/>
          </w:tblGrid>
        </w:tblGridChange>
      </w:tblGrid>
      <w:t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Fecha – Hora - Lugar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Comisión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Tema a tratar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23 enero, 17:00 a 18:00, Sala 3, Santiago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Desafíos del Futuro, Ciencia, Tecnología e Innovación</w:t>
            </w:r>
            <w:r w:rsidDel="00000000" w:rsidR="00000000" w:rsidRPr="00000000">
              <w:rPr>
                <w:rtl w:val="0"/>
              </w:rPr>
            </w:r>
          </w:p>
        </w:tc>
        <w:tc>
          <w:tcPr/>
          <w:p w:rsidR="00000000" w:rsidDel="00000000" w:rsidP="00000000" w:rsidRDefault="00000000" w:rsidRPr="00000000">
            <w:pPr>
              <w:ind w:right="-457.99999999999955"/>
              <w:contextualSpacing w:val="0"/>
              <w:jc w:val="both"/>
            </w:pPr>
            <w:r w:rsidDel="00000000" w:rsidR="00000000" w:rsidRPr="00000000">
              <w:rPr>
                <w:rFonts w:ascii="Times New Roman" w:cs="Times New Roman" w:eastAsia="Times New Roman" w:hAnsi="Times New Roman"/>
                <w:color w:val="000000"/>
                <w:rtl w:val="0"/>
              </w:rPr>
              <w:t xml:space="preserve">1.- Evaluación del VI Congreso del Futuro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2.- Diseño de estrategia para el análisis del proyecto de ley que crea el Ministerio de Ciencia y 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10:45 a 12:15, Sala 5, Valparaíso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Transportes y Telecomunicaciones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0"/>
                <w:szCs w:val="20"/>
                <w:rtl w:val="0"/>
              </w:rPr>
              <w:t xml:space="preserve">1.- Proceder a votar, en general, el proyecto de ley, en segundo trámite constitucional, que modifica la Ley de Tránsito, para incorporar disposiciones sobre convivencia de los distintos medios de transporte, con urgencia calificada de "simple" el 18 de enero de 2017 (Boletín Nº 10.217-15).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0"/>
                <w:szCs w:val="20"/>
                <w:rtl w:val="0"/>
              </w:rPr>
              <w:t xml:space="preserve">2.- Escuchar los planteamientos del Ministro de Transportes y Telecomunicaciones, señor Andrés Gómez-Lobo, sobre el proceso de nuevas licitaciones del Sistema de Transporte Público de la ciudad de Santiago.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ff0000"/>
                <w:rtl w:val="0"/>
              </w:rPr>
              <w:t xml:space="preserve">HA QUEDADO SIN EFECTO</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12:00 a 14:00, Sala 11, Valparaíso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Salud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Continuar el estudio del proyecto de ley, en segundo trámite constitucional, que modifica el </w:t>
            </w:r>
            <w:r w:rsidDel="00000000" w:rsidR="00000000" w:rsidRPr="00000000">
              <w:rPr>
                <w:rFonts w:ascii="Times New Roman" w:cs="Times New Roman" w:eastAsia="Times New Roman" w:hAnsi="Times New Roman"/>
                <w:b w:val="1"/>
                <w:color w:val="000000"/>
                <w:rtl w:val="0"/>
              </w:rPr>
              <w:t xml:space="preserve">Sistema Privado de Salud</w:t>
            </w:r>
            <w:r w:rsidDel="00000000" w:rsidR="00000000" w:rsidRPr="00000000">
              <w:rPr>
                <w:rFonts w:ascii="Times New Roman" w:cs="Times New Roman" w:eastAsia="Times New Roman" w:hAnsi="Times New Roman"/>
                <w:color w:val="000000"/>
                <w:rtl w:val="0"/>
              </w:rPr>
              <w:t xml:space="preserve">, incorporando un plan garantizado (Boletín N° 8.105-11).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15:00 a 16:00, Sala 11, Valparaíso</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Mixta B.6499-11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Tenencia Responsable</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Proponer la forma y modo de resolver las discrepancias surgidas en la tramitación del proyecto de ley sobre </w:t>
            </w:r>
            <w:r w:rsidDel="00000000" w:rsidR="00000000" w:rsidRPr="00000000">
              <w:rPr>
                <w:rFonts w:ascii="Times New Roman" w:cs="Times New Roman" w:eastAsia="Times New Roman" w:hAnsi="Times New Roman"/>
                <w:b w:val="1"/>
                <w:color w:val="000000"/>
                <w:rtl w:val="0"/>
              </w:rPr>
              <w:t xml:space="preserve">tenencia responsable de mascotas y animales de compañía</w:t>
            </w:r>
            <w:r w:rsidDel="00000000" w:rsidR="00000000" w:rsidRPr="00000000">
              <w:rPr>
                <w:rFonts w:ascii="Times New Roman" w:cs="Times New Roman" w:eastAsia="Times New Roman" w:hAnsi="Times New Roman"/>
                <w:color w:val="000000"/>
                <w:rtl w:val="0"/>
              </w:rPr>
              <w:t xml:space="preserve">, Boletín N° 6.499-11. El proyecto ha sido declarado de urgencia "suma".</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2060"/>
          <w:sz w:val="24"/>
          <w:szCs w:val="24"/>
          <w:rtl w:val="0"/>
        </w:rPr>
        <w:t xml:space="preserve">Comisiones de interés legislativo </w:t>
      </w:r>
      <w:r w:rsidDel="00000000" w:rsidR="00000000" w:rsidRPr="00000000">
        <w:rPr>
          <w:rtl w:val="0"/>
        </w:rPr>
      </w:r>
    </w:p>
    <w:tbl>
      <w:tblPr>
        <w:tblStyle w:val="Table2"/>
        <w:bidiVisual w:val="0"/>
        <w:tblW w:w="13433.0" w:type="dxa"/>
        <w:jc w:val="left"/>
        <w:tblInd w:w="-34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547"/>
        <w:gridCol w:w="2523"/>
        <w:gridCol w:w="8363"/>
        <w:tblGridChange w:id="0">
          <w:tblGrid>
            <w:gridCol w:w="2547"/>
            <w:gridCol w:w="2523"/>
            <w:gridCol w:w="8363"/>
          </w:tblGrid>
        </w:tblGridChange>
      </w:tblGrid>
      <w:t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Fecha – Hora - Lugar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Comisión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Tema a tratar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23 enero, 12:00 a 14:00, Sala 1, Santiago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Derechos Humanos, Nacionalidad y Ciudadanía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Continuar votación de las indicaciones presentadas al proyecto de ley que reconoce y da protección al derecho a la </w:t>
            </w:r>
            <w:r w:rsidDel="00000000" w:rsidR="00000000" w:rsidRPr="00000000">
              <w:rPr>
                <w:rFonts w:ascii="Times New Roman" w:cs="Times New Roman" w:eastAsia="Times New Roman" w:hAnsi="Times New Roman"/>
                <w:b w:val="1"/>
                <w:color w:val="000000"/>
                <w:rtl w:val="0"/>
              </w:rPr>
              <w:t xml:space="preserve">identidad de género</w:t>
            </w:r>
            <w:r w:rsidDel="00000000" w:rsidR="00000000" w:rsidRPr="00000000">
              <w:rPr>
                <w:rFonts w:ascii="Times New Roman" w:cs="Times New Roman" w:eastAsia="Times New Roman" w:hAnsi="Times New Roman"/>
                <w:color w:val="000000"/>
                <w:rtl w:val="0"/>
              </w:rPr>
              <w:t xml:space="preserve"> (Boletín N° 8.924-07).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23 enero, 12:30 a 14:00, Sala 3, Santiago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12:00 a 14:00, Sala 6, Valparaíso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Medio Ambiente y Bienes Nacionales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Continuar con el estudio de las indicaciones formuladas al proyecto de ley que crea el </w:t>
            </w:r>
            <w:r w:rsidDel="00000000" w:rsidR="00000000" w:rsidRPr="00000000">
              <w:rPr>
                <w:rFonts w:ascii="Times New Roman" w:cs="Times New Roman" w:eastAsia="Times New Roman" w:hAnsi="Times New Roman"/>
                <w:b w:val="1"/>
                <w:color w:val="000000"/>
                <w:rtl w:val="0"/>
              </w:rPr>
              <w:t xml:space="preserve">Servicio de Biodiversidad</w:t>
            </w:r>
            <w:r w:rsidDel="00000000" w:rsidR="00000000" w:rsidRPr="00000000">
              <w:rPr>
                <w:rFonts w:ascii="Times New Roman" w:cs="Times New Roman" w:eastAsia="Times New Roman" w:hAnsi="Times New Roman"/>
                <w:color w:val="000000"/>
                <w:rtl w:val="0"/>
              </w:rPr>
              <w:t xml:space="preserve"> y el Sistema Nacional de Áreas Protegidas del Estado. (Boletín N° 9.404-12).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23 enero, 15:00 a 16:00, Sala 2, Santiago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Comisión Especial de Zonas Extremas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Escuchar al Contralor General de la República sobre proyecto de ley, en segundo trámite constitucional, que establece la </w:t>
            </w:r>
            <w:r w:rsidDel="00000000" w:rsidR="00000000" w:rsidRPr="00000000">
              <w:rPr>
                <w:rFonts w:ascii="Times New Roman" w:cs="Times New Roman" w:eastAsia="Times New Roman" w:hAnsi="Times New Roman"/>
                <w:b w:val="1"/>
                <w:color w:val="000000"/>
                <w:rtl w:val="0"/>
              </w:rPr>
              <w:t xml:space="preserve">prohibición y sustitución progresiva de las bolsas de polietileno, polipropileno y otros polímeros no biodegradables en la Patagonia Chilena</w:t>
            </w:r>
            <w:r w:rsidDel="00000000" w:rsidR="00000000" w:rsidRPr="00000000">
              <w:rPr>
                <w:rFonts w:ascii="Times New Roman" w:cs="Times New Roman" w:eastAsia="Times New Roman" w:hAnsi="Times New Roman"/>
                <w:color w:val="000000"/>
                <w:rtl w:val="0"/>
              </w:rPr>
              <w:t xml:space="preserve">. (Boletín N° 9.133-12)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Asiste: Asociación de Municipalidades de Chile.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23 enero, 15:00 a 17:00, Salón de los Presidentes, Santiago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Especial sobre Recursos Hídricos, Desertificación y Sequía.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Continuar analizando el proyecto de ley que </w:t>
            </w:r>
            <w:r w:rsidDel="00000000" w:rsidR="00000000" w:rsidRPr="00000000">
              <w:rPr>
                <w:rFonts w:ascii="Times New Roman" w:cs="Times New Roman" w:eastAsia="Times New Roman" w:hAnsi="Times New Roman"/>
                <w:b w:val="1"/>
                <w:color w:val="000000"/>
                <w:rtl w:val="0"/>
              </w:rPr>
              <w:t xml:space="preserve">reforma el Código de Aguas</w:t>
            </w:r>
            <w:r w:rsidDel="00000000" w:rsidR="00000000" w:rsidRPr="00000000">
              <w:rPr>
                <w:rFonts w:ascii="Times New Roman" w:cs="Times New Roman" w:eastAsia="Times New Roman" w:hAnsi="Times New Roman"/>
                <w:color w:val="000000"/>
                <w:rtl w:val="0"/>
              </w:rPr>
              <w:t xml:space="preserve">, correspondiente al Boletín N° 7.543-12.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12:15 a 14:00, Sala 9, Valparaíso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Mixta B. 7025-31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Continuar con el análisis de las discrepancias entre ambas Cámaras, respecto de la iniciativa sobre </w:t>
            </w:r>
            <w:r w:rsidDel="00000000" w:rsidR="00000000" w:rsidRPr="00000000">
              <w:rPr>
                <w:rFonts w:ascii="Times New Roman" w:cs="Times New Roman" w:eastAsia="Times New Roman" w:hAnsi="Times New Roman"/>
                <w:b w:val="1"/>
                <w:color w:val="000000"/>
                <w:rtl w:val="0"/>
              </w:rPr>
              <w:t xml:space="preserve">reserva legal de empleos para personas con discapacidad</w:t>
            </w:r>
            <w:r w:rsidDel="00000000" w:rsidR="00000000" w:rsidRPr="00000000">
              <w:rPr>
                <w:rFonts w:ascii="Times New Roman" w:cs="Times New Roman" w:eastAsia="Times New Roman" w:hAnsi="Times New Roman"/>
                <w:color w:val="000000"/>
                <w:rtl w:val="0"/>
              </w:rPr>
              <w:t xml:space="preserve"> (Boletines números 7.025-31 y 7.855-13, refundidos).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2060"/>
          <w:rtl w:val="0"/>
        </w:rPr>
        <w:t xml:space="preserve">Tabla Senado</w:t>
      </w:r>
      <w:r w:rsidDel="00000000" w:rsidR="00000000" w:rsidRPr="00000000">
        <w:rPr>
          <w:rtl w:val="0"/>
        </w:rPr>
      </w:r>
    </w:p>
    <w:tbl>
      <w:tblPr>
        <w:tblStyle w:val="Table3"/>
        <w:bidiVisual w:val="0"/>
        <w:tblW w:w="13008.0" w:type="dxa"/>
        <w:jc w:val="left"/>
        <w:tblInd w:w="-34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1526"/>
        <w:gridCol w:w="1622"/>
        <w:gridCol w:w="2025"/>
        <w:gridCol w:w="7835"/>
        <w:tblGridChange w:id="0">
          <w:tblGrid>
            <w:gridCol w:w="1526"/>
            <w:gridCol w:w="1622"/>
            <w:gridCol w:w="2025"/>
            <w:gridCol w:w="7835"/>
          </w:tblGrid>
        </w:tblGridChange>
      </w:tblGrid>
      <w:t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Orden tabla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Comisión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Tema a tratar</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24 Enero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Orden del día: 1</w:t>
            </w:r>
            <w:r w:rsidDel="00000000" w:rsidR="00000000" w:rsidRPr="00000000">
              <w:rPr>
                <w:rtl w:val="0"/>
              </w:rPr>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Comisión de Constitución, Legislación, Justicia y Reglamento</w:t>
            </w:r>
            <w:r w:rsidDel="00000000" w:rsidR="00000000" w:rsidRPr="00000000">
              <w:rPr>
                <w:rtl w:val="0"/>
              </w:rPr>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Proyecto de ley, en segundo trámite constitucional, que regula la despenalización de la interrupción voluntaria del embarazo en tres causales, con informes de las Comisiones de Salud y de Constitución, Legislación, Justicia y Reglamento. (discusión en general). (Boletín N° 9.895-11). Con urgencia calificada de “suma”. Acuerdo de Comités.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24 Enero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Orden del día: 2</w:t>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Educación y Cultura</w:t>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Proyecto de ley, en segundo trámite constitucional, que crea el Sistema de Educación Pública y modifica diversos cuerpos legales, con informe de la Comisión de Educación y Cultura. (discusión en general). (Boletín Nº 10.368-04). Con urgencia calificada de “suma”. Acuerdo de Comités.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24 Enero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Orden del día: 3</w:t>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Comisión de Constitución, Legislación, Justicia y Reglamento</w:t>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Proyecto de ley, iniciado en Mensaje del ex Presidente de la República señor Sebastián Piñera, en primer trámite constitucional, que regula entrevistas grabadas en vídeo y otras medidas de resguardo a menores de edad víctimas de delitos sexuales, con segundo informe de la Comisión de Constitución, Legislación, Justicia y Reglamento e informe de la Comisión de Hacienda. (discusión en particular). (Boletín N° 9.245-07). Con urgencia calificada de “suma”. Votación aplazada.</w:t>
            </w:r>
            <w:r w:rsidDel="00000000" w:rsidR="00000000" w:rsidRPr="00000000">
              <w:rPr>
                <w:rFonts w:ascii="Times New Roman" w:cs="Times New Roman" w:eastAsia="Times New Roman" w:hAnsi="Times New Roman"/>
                <w:color w:val="000000"/>
                <w:rtl w:val="0"/>
              </w:rPr>
              <w:t xml:space="preserve">.</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25 Enero 10:30 a 14:00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000000"/>
                <w:rtl w:val="0"/>
              </w:rPr>
              <w:t xml:space="preserve">Extraordinaria</w:t>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Considerar asuntos en tabla</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538135"/>
          <w:rtl w:val="0"/>
        </w:rPr>
        <w:t xml:space="preserve">Comisiones de interés legislativo Cámara de Diputados</w:t>
      </w:r>
      <w:r w:rsidDel="00000000" w:rsidR="00000000" w:rsidRPr="00000000">
        <w:rPr>
          <w:rtl w:val="0"/>
        </w:rPr>
      </w:r>
    </w:p>
    <w:tbl>
      <w:tblPr>
        <w:tblStyle w:val="Table4"/>
        <w:bidiVisual w:val="0"/>
        <w:tblW w:w="12865.0" w:type="dxa"/>
        <w:jc w:val="left"/>
        <w:tblInd w:w="-34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350"/>
        <w:gridCol w:w="3137"/>
        <w:gridCol w:w="6378"/>
        <w:tblGridChange w:id="0">
          <w:tblGrid>
            <w:gridCol w:w="3350"/>
            <w:gridCol w:w="3137"/>
            <w:gridCol w:w="6378"/>
          </w:tblGrid>
        </w:tblGridChange>
      </w:tblGrid>
      <w:t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Comisión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Tema a tratar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23 enero, 11:30 a 12:30 Sala 2, Santiago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Salud</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000000"/>
                <w:rtl w:val="0"/>
              </w:rPr>
              <w:t xml:space="preserve">La sesión tiene por objeto iniciar la votación en particular de las mociones refundidas de salud mental, (Boletines N°s. 10563-11 y 10755-11).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17:30 a 20:00, Sala 330, Valparaíso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Salud</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color w:val="000000"/>
                <w:rtl w:val="0"/>
              </w:rPr>
              <w:t xml:space="preserve">1) De 17:30 a 18:30 horas.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color w:val="000000"/>
                <w:rtl w:val="0"/>
              </w:rPr>
              <w:t xml:space="preserve">Conocer el detalle de los resultados del Undécimo Estudio Nacional de Drogas en Población Escolar 2016, cuyos resultados darían cuenta de que se ha aumentado el consumo de marihuana y cocaína en los preadolescentes escolares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color w:val="000000"/>
                <w:rtl w:val="0"/>
              </w:rPr>
              <w:t xml:space="preserve">2) De 18:30 a 20:00 horas: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color w:val="000000"/>
                <w:rtl w:val="0"/>
              </w:rPr>
              <w:t xml:space="preserve">Continuar la votación en particular de las mociones refundidas de Salud Mental, (Boletines N°s. 10563-11 y 10755-11).</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18:30 a 20:30, Sala 213, Valparaíso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Obras Públicas, Transportes y Telecomunicaciones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Continuar el tratamiento del proyecto de ley iniciado en mensaje, que moderniza la legislación sobre transporte público remunerado, boletín N°10937-15.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15:00 a 17:00, Sala 313, Valparaíso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Constitución, Legislación, Justicia Y Reglamento</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000000"/>
                <w:rtl w:val="0"/>
              </w:rPr>
              <w:t xml:space="preserve">Esta sesión tiene por objeto despachar el proyecto que reduce el quórum de aprobación de las leyes orgánicas constitucionales (Bol. N° 10225-07).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15:15 a 16:30, Sala 330, Valparaíso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Ciencias y Tecnología</w:t>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000000"/>
                <w:rtl w:val="0"/>
              </w:rPr>
              <w:t xml:space="preserve">La sesión tiene por objeto continuar la tramitación del proyecto que “Modifica la ley N° 18.838, que crea el Consejo Nacional de Televisión, con el objeto de reconocer a los municipios y a las corporaciones y fundaciones municipales la titularidad de concesiones de radiodifusión televisiva de libre recepción de cobertura local” (Boletín N° 10797-19).</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538135"/>
          <w:rtl w:val="0"/>
        </w:rPr>
        <w:t xml:space="preserve">Tabla Cámara de Diputados</w:t>
      </w:r>
      <w:r w:rsidDel="00000000" w:rsidR="00000000" w:rsidRPr="00000000">
        <w:rPr>
          <w:rtl w:val="0"/>
        </w:rPr>
      </w:r>
    </w:p>
    <w:tbl>
      <w:tblPr>
        <w:tblStyle w:val="Table5"/>
        <w:bidiVisual w:val="0"/>
        <w:tblW w:w="13271.999999999998" w:type="dxa"/>
        <w:jc w:val="left"/>
        <w:tblInd w:w="-34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593"/>
        <w:gridCol w:w="2560"/>
        <w:gridCol w:w="8119"/>
        <w:tblGridChange w:id="0">
          <w:tblGrid>
            <w:gridCol w:w="2593"/>
            <w:gridCol w:w="2560"/>
            <w:gridCol w:w="8119"/>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line="276" w:lineRule="auto"/>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10:30 a 14:00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Orden del día, 1</w:t>
            </w:r>
            <w:r w:rsidDel="00000000" w:rsidR="00000000" w:rsidRPr="00000000">
              <w:rPr>
                <w:rtl w:val="0"/>
              </w:rPr>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 Proyecto  de  ley,  iniciado  en  mensaje,  que  moderniza  el  Consejo  Nacional  de Televisión, concede las asignaciones que indica y delega facultades para fijar su planta de personal. Boletín 10922-05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10:30 a 14:00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Orden del día, 2</w:t>
            </w:r>
            <w:r w:rsidDel="00000000" w:rsidR="00000000" w:rsidRPr="00000000">
              <w:rPr>
                <w:rtl w:val="0"/>
              </w:rPr>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Proyecto de ley, iniciado en mensaje, que extiende los beneficios de la ley N° 20.948 a los funcionarios y funcionarias de la Junta Nacional de Jardines Infantiles, establece normas  especiales  para  el  incentivo  de  la  ley  N°  20.213  y  modifica  los  requisitos  de ingreso y promoción de la función de supervisión de la planta de profesionales de dicho servicio.  PRIMER TRÁMITE.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24 enero, 10:30 a 14:00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Orden del día, 3</w:t>
            </w:r>
            <w:r w:rsidDel="00000000" w:rsidR="00000000" w:rsidRPr="00000000">
              <w:rPr>
                <w:rtl w:val="0"/>
              </w:rPr>
            </w:r>
          </w:p>
        </w:tc>
        <w:tc>
          <w:tcPr/>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color w:val="000000"/>
                <w:rtl w:val="0"/>
              </w:rPr>
              <w:t xml:space="preserve"> Proyecto de ley, iniciado en moción, que modifica el Código Civil y el decreto ley N °1.939, de 1977, sobre Normas de Adquisición, Administración y Disposición de Bienes del  Estado,  en  materia  de  destino  de  inmuebles  entregados  por  el  Fisco  a  título gratuito.  PRIMER TRÁMITE. Informe  de  la  Comisión  de Constitución, Legislación, Justicia y Reglamento.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pgSz w:h="12240" w:w="15840"/>
      <w:pgMar w:bottom="1701" w:top="1701"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spacing w:after="0" w:line="240" w:lineRule="auto"/>
      <w:contextualSpacing w:val="1"/>
    </w:pPr>
    <w:rPr>
      <w:color w:val="2f5496"/>
    </w:rPr>
    <w:tblPr>
      <w:tblStyleRowBandSize w:val="1"/>
      <w:tblStyleColBandSize w:val="1"/>
      <w:tblCellMar>
        <w:top w:w="0.0" w:type="dxa"/>
        <w:left w:w="115.0" w:type="dxa"/>
        <w:bottom w:w="0.0" w:type="dxa"/>
        <w:right w:w="115.0" w:type="dxa"/>
      </w:tblCellMar>
    </w:tblPr>
    <w:tcPr>
      <w:shd w:fill="e2efd9"/>
    </w:tcPr>
    <w:tblStylePr w:type="band1Horz">
      <w:pPr>
        <w:contextualSpacing w:val="1"/>
      </w:pPr>
      <w:rPr/>
      <w:tcPr>
        <w:shd w:fill="bdd6ee"/>
        <w:tcMar>
          <w:left w:w="115.0" w:type="dxa"/>
          <w:right w:w="115.0" w:type="dxa"/>
        </w:tcMar>
      </w:tcPr>
    </w:tblStylePr>
    <w:tblStylePr w:type="band1Vert">
      <w:pPr>
        <w:contextualSpacing w:val="1"/>
      </w:pPr>
      <w:rPr/>
      <w:tcPr>
        <w:shd w:fill="bdd6ee"/>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b w:val="1"/>
        <w:color w:val="ffffff"/>
      </w:rPr>
      <w:tcPr>
        <w:tcBorders>
          <w:top w:color="ffffff" w:space="0" w:sz="4" w:val="single"/>
          <w:left w:color="ffffff" w:space="0" w:sz="4" w:val="single"/>
          <w:bottom w:color="ffffff" w:space="0" w:sz="4" w:val="single"/>
          <w:insideV w:color="000000" w:space="0" w:sz="0" w:val="nil"/>
        </w:tcBorders>
        <w:shd w:fill="5b9bd5"/>
        <w:tcMar>
          <w:left w:w="115.0" w:type="dxa"/>
          <w:right w:w="115.0" w:type="dxa"/>
        </w:tcMar>
      </w:tcPr>
    </w:tblStylePr>
    <w:tblStylePr w:type="firstRow">
      <w:pPr>
        <w:contextualSpacing w:val="1"/>
      </w:pPr>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tcMar>
          <w:left w:w="115.0" w:type="dxa"/>
          <w:right w:w="115.0" w:type="dxa"/>
        </w:tcMar>
      </w:tcPr>
    </w:tblStylePr>
    <w:tblStylePr w:type="lastCol">
      <w:pPr>
        <w:contextualSpacing w:val="1"/>
      </w:pPr>
      <w:rPr>
        <w:b w:val="1"/>
        <w:color w:val="ffffff"/>
      </w:rPr>
      <w:tcPr>
        <w:tcBorders>
          <w:top w:color="ffffff" w:space="0" w:sz="4" w:val="single"/>
          <w:bottom w:color="ffffff" w:space="0" w:sz="4" w:val="single"/>
          <w:right w:color="ffffff" w:space="0" w:sz="4" w:val="single"/>
          <w:insideV w:color="000000" w:space="0" w:sz="0" w:val="nil"/>
        </w:tcBorders>
        <w:shd w:fill="5b9bd5"/>
        <w:tcMar>
          <w:left w:w="115.0" w:type="dxa"/>
          <w:right w:w="115.0" w:type="dxa"/>
        </w:tcMar>
      </w:tcPr>
    </w:tblStylePr>
    <w:tblStylePr w:type="lastRow">
      <w:pPr>
        <w:contextualSpacing w:val="1"/>
      </w:pPr>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spacing w:after="0" w:line="240" w:lineRule="auto"/>
      <w:contextualSpacing w:val="1"/>
    </w:pPr>
    <w:rPr>
      <w:color w:val="2f5496"/>
    </w:rPr>
    <w:tblPr>
      <w:tblStyleRowBandSize w:val="1"/>
      <w:tblStyleColBandSize w:val="1"/>
      <w:tblCellMar>
        <w:top w:w="0.0" w:type="dxa"/>
        <w:left w:w="115.0" w:type="dxa"/>
        <w:bottom w:w="0.0" w:type="dxa"/>
        <w:right w:w="115.0" w:type="dxa"/>
      </w:tblCellMar>
    </w:tblPr>
    <w:tcPr>
      <w:shd w:fill="e2efd9"/>
    </w:tcPr>
    <w:tblStylePr w:type="band1Horz">
      <w:pPr>
        <w:contextualSpacing w:val="1"/>
      </w:pPr>
      <w:rPr/>
      <w:tcPr>
        <w:shd w:fill="bdd6ee"/>
        <w:tcMar>
          <w:left w:w="115.0" w:type="dxa"/>
          <w:right w:w="115.0" w:type="dxa"/>
        </w:tcMar>
      </w:tcPr>
    </w:tblStylePr>
    <w:tblStylePr w:type="band1Vert">
      <w:pPr>
        <w:contextualSpacing w:val="1"/>
      </w:pPr>
      <w:rPr/>
      <w:tcPr>
        <w:shd w:fill="bdd6ee"/>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b w:val="1"/>
        <w:color w:val="ffffff"/>
      </w:rPr>
      <w:tcPr>
        <w:tcBorders>
          <w:top w:color="ffffff" w:space="0" w:sz="4" w:val="single"/>
          <w:left w:color="ffffff" w:space="0" w:sz="4" w:val="single"/>
          <w:bottom w:color="ffffff" w:space="0" w:sz="4" w:val="single"/>
          <w:insideV w:color="000000" w:space="0" w:sz="0" w:val="nil"/>
        </w:tcBorders>
        <w:shd w:fill="5b9bd5"/>
        <w:tcMar>
          <w:left w:w="115.0" w:type="dxa"/>
          <w:right w:w="115.0" w:type="dxa"/>
        </w:tcMar>
      </w:tcPr>
    </w:tblStylePr>
    <w:tblStylePr w:type="firstRow">
      <w:pPr>
        <w:contextualSpacing w:val="1"/>
      </w:pPr>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tcMar>
          <w:left w:w="115.0" w:type="dxa"/>
          <w:right w:w="115.0" w:type="dxa"/>
        </w:tcMar>
      </w:tcPr>
    </w:tblStylePr>
    <w:tblStylePr w:type="lastCol">
      <w:pPr>
        <w:contextualSpacing w:val="1"/>
      </w:pPr>
      <w:rPr>
        <w:b w:val="1"/>
        <w:color w:val="ffffff"/>
      </w:rPr>
      <w:tcPr>
        <w:tcBorders>
          <w:top w:color="ffffff" w:space="0" w:sz="4" w:val="single"/>
          <w:bottom w:color="ffffff" w:space="0" w:sz="4" w:val="single"/>
          <w:right w:color="ffffff" w:space="0" w:sz="4" w:val="single"/>
          <w:insideV w:color="000000" w:space="0" w:sz="0" w:val="nil"/>
        </w:tcBorders>
        <w:shd w:fill="5b9bd5"/>
        <w:tcMar>
          <w:left w:w="115.0" w:type="dxa"/>
          <w:right w:w="115.0" w:type="dxa"/>
        </w:tcMar>
      </w:tcPr>
    </w:tblStylePr>
    <w:tblStylePr w:type="lastRow">
      <w:pPr>
        <w:contextualSpacing w:val="1"/>
      </w:pPr>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spacing w:after="0" w:line="240" w:lineRule="auto"/>
      <w:contextualSpacing w:val="1"/>
    </w:pPr>
    <w:rPr>
      <w:color w:val="2f5496"/>
    </w:rPr>
    <w:tblPr>
      <w:tblStyleRowBandSize w:val="1"/>
      <w:tblStyleColBandSize w:val="1"/>
      <w:tblCellMar>
        <w:top w:w="0.0" w:type="dxa"/>
        <w:left w:w="115.0" w:type="dxa"/>
        <w:bottom w:w="0.0" w:type="dxa"/>
        <w:right w:w="115.0" w:type="dxa"/>
      </w:tblCellMar>
    </w:tblPr>
    <w:tcPr>
      <w:shd w:fill="e2efd9"/>
    </w:tcPr>
    <w:tblStylePr w:type="band1Horz">
      <w:pPr>
        <w:contextualSpacing w:val="1"/>
      </w:pPr>
      <w:rPr/>
      <w:tcPr>
        <w:shd w:fill="bdd6ee"/>
        <w:tcMar>
          <w:left w:w="115.0" w:type="dxa"/>
          <w:right w:w="115.0" w:type="dxa"/>
        </w:tcMar>
      </w:tcPr>
    </w:tblStylePr>
    <w:tblStylePr w:type="band1Vert">
      <w:pPr>
        <w:contextualSpacing w:val="1"/>
      </w:pPr>
      <w:rPr/>
      <w:tcPr>
        <w:shd w:fill="bdd6ee"/>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b w:val="1"/>
        <w:color w:val="ffffff"/>
      </w:rPr>
      <w:tcPr>
        <w:tcBorders>
          <w:top w:color="ffffff" w:space="0" w:sz="4" w:val="single"/>
          <w:left w:color="ffffff" w:space="0" w:sz="4" w:val="single"/>
          <w:bottom w:color="ffffff" w:space="0" w:sz="4" w:val="single"/>
          <w:insideV w:color="000000" w:space="0" w:sz="0" w:val="nil"/>
        </w:tcBorders>
        <w:shd w:fill="5b9bd5"/>
        <w:tcMar>
          <w:left w:w="115.0" w:type="dxa"/>
          <w:right w:w="115.0" w:type="dxa"/>
        </w:tcMar>
      </w:tcPr>
    </w:tblStylePr>
    <w:tblStylePr w:type="firstRow">
      <w:pPr>
        <w:contextualSpacing w:val="1"/>
      </w:pPr>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tcMar>
          <w:left w:w="115.0" w:type="dxa"/>
          <w:right w:w="115.0" w:type="dxa"/>
        </w:tcMar>
      </w:tcPr>
    </w:tblStylePr>
    <w:tblStylePr w:type="lastCol">
      <w:pPr>
        <w:contextualSpacing w:val="1"/>
      </w:pPr>
      <w:rPr>
        <w:b w:val="1"/>
        <w:color w:val="ffffff"/>
      </w:rPr>
      <w:tcPr>
        <w:tcBorders>
          <w:top w:color="ffffff" w:space="0" w:sz="4" w:val="single"/>
          <w:bottom w:color="ffffff" w:space="0" w:sz="4" w:val="single"/>
          <w:right w:color="ffffff" w:space="0" w:sz="4" w:val="single"/>
          <w:insideV w:color="000000" w:space="0" w:sz="0" w:val="nil"/>
        </w:tcBorders>
        <w:shd w:fill="5b9bd5"/>
        <w:tcMar>
          <w:left w:w="115.0" w:type="dxa"/>
          <w:right w:w="115.0" w:type="dxa"/>
        </w:tcMar>
      </w:tcPr>
    </w:tblStylePr>
    <w:tblStylePr w:type="lastRow">
      <w:pPr>
        <w:contextualSpacing w:val="1"/>
      </w:pPr>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spacing w:after="0" w:line="240" w:lineRule="auto"/>
      <w:contextualSpacing w:val="1"/>
    </w:pPr>
    <w:rPr>
      <w:color w:val="2f5496"/>
    </w:rPr>
    <w:tblPr>
      <w:tblStyleRowBandSize w:val="1"/>
      <w:tblStyleColBandSize w:val="1"/>
      <w:tblCellMar>
        <w:top w:w="0.0" w:type="dxa"/>
        <w:left w:w="115.0" w:type="dxa"/>
        <w:bottom w:w="0.0" w:type="dxa"/>
        <w:right w:w="115.0" w:type="dxa"/>
      </w:tblCellMar>
    </w:tblPr>
    <w:tcPr>
      <w:shd w:fill="e2efd9"/>
    </w:tcPr>
    <w:tblStylePr w:type="band1Horz">
      <w:pPr>
        <w:contextualSpacing w:val="1"/>
      </w:pPr>
      <w:rPr/>
      <w:tcPr>
        <w:shd w:fill="c5e0b3"/>
        <w:tcMar>
          <w:left w:w="115.0" w:type="dxa"/>
          <w:right w:w="115.0" w:type="dxa"/>
        </w:tcMar>
      </w:tcPr>
    </w:tblStylePr>
    <w:tblStylePr w:type="band1Vert">
      <w:pPr>
        <w:contextualSpacing w:val="1"/>
      </w:pPr>
      <w:rPr/>
      <w:tcPr>
        <w:shd w:fill="c5e0b3"/>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b w:val="1"/>
        <w:color w:val="ffffff"/>
      </w:rPr>
      <w:tcPr>
        <w:tcBorders>
          <w:top w:color="ffffff" w:space="0" w:sz="4" w:val="single"/>
          <w:left w:color="ffffff" w:space="0" w:sz="4" w:val="single"/>
          <w:bottom w:color="ffffff" w:space="0" w:sz="4" w:val="single"/>
          <w:insideV w:color="000000" w:space="0" w:sz="0" w:val="nil"/>
        </w:tcBorders>
        <w:shd w:fill="70ad47"/>
        <w:tcMar>
          <w:left w:w="115.0" w:type="dxa"/>
          <w:right w:w="115.0" w:type="dxa"/>
        </w:tcMar>
      </w:tcPr>
    </w:tblStylePr>
    <w:tblStylePr w:type="firstRow">
      <w:pPr>
        <w:contextualSpacing w:val="1"/>
      </w:pPr>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70ad47"/>
        <w:tcMar>
          <w:left w:w="115.0" w:type="dxa"/>
          <w:right w:w="115.0" w:type="dxa"/>
        </w:tcMar>
      </w:tcPr>
    </w:tblStylePr>
    <w:tblStylePr w:type="lastCol">
      <w:pPr>
        <w:contextualSpacing w:val="1"/>
      </w:pPr>
      <w:rPr>
        <w:b w:val="1"/>
        <w:color w:val="ffffff"/>
      </w:rPr>
      <w:tcPr>
        <w:tcBorders>
          <w:top w:color="ffffff" w:space="0" w:sz="4" w:val="single"/>
          <w:bottom w:color="ffffff" w:space="0" w:sz="4" w:val="single"/>
          <w:right w:color="ffffff" w:space="0" w:sz="4" w:val="single"/>
          <w:insideV w:color="000000" w:space="0" w:sz="0" w:val="nil"/>
        </w:tcBorders>
        <w:shd w:fill="70ad47"/>
        <w:tcMar>
          <w:left w:w="115.0" w:type="dxa"/>
          <w:right w:w="115.0" w:type="dxa"/>
        </w:tcMar>
      </w:tcPr>
    </w:tblStylePr>
    <w:tblStylePr w:type="lastRow">
      <w:pPr>
        <w:contextualSpacing w:val="1"/>
      </w:pPr>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70ad47"/>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pPr>
      <w:spacing w:after="0" w:line="240" w:lineRule="auto"/>
      <w:contextualSpacing w:val="1"/>
    </w:pPr>
    <w:rPr>
      <w:color w:val="2f5496"/>
    </w:rPr>
    <w:tblPr>
      <w:tblStyleRowBandSize w:val="1"/>
      <w:tblStyleColBandSize w:val="1"/>
      <w:tblCellMar>
        <w:top w:w="0.0" w:type="dxa"/>
        <w:left w:w="115.0" w:type="dxa"/>
        <w:bottom w:w="0.0" w:type="dxa"/>
        <w:right w:w="115.0" w:type="dxa"/>
      </w:tblCellMar>
    </w:tblPr>
    <w:tcPr>
      <w:shd w:fill="e2efd9"/>
    </w:tcPr>
    <w:tblStylePr w:type="band1Horz">
      <w:pPr>
        <w:contextualSpacing w:val="1"/>
      </w:pPr>
      <w:rPr/>
      <w:tcPr>
        <w:shd w:fill="c5e0b3"/>
        <w:tcMar>
          <w:left w:w="115.0" w:type="dxa"/>
          <w:right w:w="115.0" w:type="dxa"/>
        </w:tcMar>
      </w:tcPr>
    </w:tblStylePr>
    <w:tblStylePr w:type="band1Vert">
      <w:pPr>
        <w:contextualSpacing w:val="1"/>
      </w:pPr>
      <w:rPr/>
      <w:tcPr>
        <w:shd w:fill="c5e0b3"/>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b w:val="1"/>
        <w:color w:val="ffffff"/>
      </w:rPr>
      <w:tcPr>
        <w:tcBorders>
          <w:top w:color="ffffff" w:space="0" w:sz="4" w:val="single"/>
          <w:left w:color="ffffff" w:space="0" w:sz="4" w:val="single"/>
          <w:bottom w:color="ffffff" w:space="0" w:sz="4" w:val="single"/>
          <w:insideV w:color="000000" w:space="0" w:sz="0" w:val="nil"/>
        </w:tcBorders>
        <w:shd w:fill="70ad47"/>
        <w:tcMar>
          <w:left w:w="115.0" w:type="dxa"/>
          <w:right w:w="115.0" w:type="dxa"/>
        </w:tcMar>
      </w:tcPr>
    </w:tblStylePr>
    <w:tblStylePr w:type="firstRow">
      <w:pPr>
        <w:contextualSpacing w:val="1"/>
      </w:pPr>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70ad47"/>
        <w:tcMar>
          <w:left w:w="115.0" w:type="dxa"/>
          <w:right w:w="115.0" w:type="dxa"/>
        </w:tcMar>
      </w:tcPr>
    </w:tblStylePr>
    <w:tblStylePr w:type="lastCol">
      <w:pPr>
        <w:contextualSpacing w:val="1"/>
      </w:pPr>
      <w:rPr>
        <w:b w:val="1"/>
        <w:color w:val="ffffff"/>
      </w:rPr>
      <w:tcPr>
        <w:tcBorders>
          <w:top w:color="ffffff" w:space="0" w:sz="4" w:val="single"/>
          <w:bottom w:color="ffffff" w:space="0" w:sz="4" w:val="single"/>
          <w:right w:color="ffffff" w:space="0" w:sz="4" w:val="single"/>
          <w:insideV w:color="000000" w:space="0" w:sz="0" w:val="nil"/>
        </w:tcBorders>
        <w:shd w:fill="70ad47"/>
        <w:tcMar>
          <w:left w:w="115.0" w:type="dxa"/>
          <w:right w:w="115.0" w:type="dxa"/>
        </w:tcMar>
      </w:tcPr>
    </w:tblStylePr>
    <w:tblStylePr w:type="lastRow">
      <w:pPr>
        <w:contextualSpacing w:val="1"/>
      </w:pPr>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70ad47"/>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