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B4C8C" w:rsidRDefault="00913041">
      <w:pPr>
        <w:spacing w:before="360" w:after="360"/>
        <w:ind w:left="864" w:right="864"/>
        <w:jc w:val="center"/>
      </w:pPr>
      <w:r>
        <w:rPr>
          <w:b/>
          <w:color w:val="538135"/>
          <w:sz w:val="28"/>
          <w:szCs w:val="28"/>
        </w:rPr>
        <w:t>Cronograma parlamentario</w:t>
      </w:r>
    </w:p>
    <w:p w:rsidR="003B4C8C" w:rsidRDefault="00913041">
      <w:r>
        <w:t xml:space="preserve">*A continuación se presenta la actividad parlamentaria de interés para la </w:t>
      </w:r>
      <w:r w:rsidR="00C56EA5">
        <w:t>primera semana de abril</w:t>
      </w:r>
      <w:r>
        <w:t xml:space="preserve"> 2017</w:t>
      </w:r>
    </w:p>
    <w:p w:rsidR="003B4C8C" w:rsidRDefault="00913041">
      <w:r>
        <w:t>PL: Proyecto de Ley</w:t>
      </w:r>
    </w:p>
    <w:p w:rsidR="003B4C8C" w:rsidRDefault="00913041">
      <w:r>
        <w:rPr>
          <w:color w:val="FF0000"/>
        </w:rPr>
        <w:t xml:space="preserve">En rojo: </w:t>
      </w:r>
      <w:r>
        <w:t xml:space="preserve">Moción o firma del Senador Guido Girardi </w:t>
      </w:r>
    </w:p>
    <w:p w:rsidR="0098042E" w:rsidRDefault="0098042E"/>
    <w:p w:rsidR="003B4C8C" w:rsidRDefault="00913041">
      <w:pPr>
        <w:jc w:val="both"/>
      </w:pPr>
      <w:r>
        <w:rPr>
          <w:rFonts w:ascii="Times New Roman" w:eastAsia="Times New Roman" w:hAnsi="Times New Roman" w:cs="Times New Roman"/>
          <w:b/>
          <w:color w:val="1F3864"/>
          <w:sz w:val="24"/>
          <w:szCs w:val="24"/>
        </w:rPr>
        <w:t>Comisiones Senador G. Girardi</w:t>
      </w:r>
    </w:p>
    <w:tbl>
      <w:tblPr>
        <w:tblStyle w:val="a"/>
        <w:tblW w:w="13047" w:type="dxa"/>
        <w:tblInd w:w="-4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547"/>
        <w:gridCol w:w="2183"/>
        <w:gridCol w:w="8317"/>
      </w:tblGrid>
      <w:tr w:rsidR="003B4C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7" w:type="dxa"/>
          </w:tcPr>
          <w:p w:rsidR="003B4C8C" w:rsidRDefault="00913041">
            <w:pPr>
              <w:contextualSpacing w:val="0"/>
              <w:jc w:val="both"/>
            </w:pPr>
            <w:r>
              <w:rPr>
                <w:rFonts w:ascii="Times New Roman" w:eastAsia="Times New Roman" w:hAnsi="Times New Roman" w:cs="Times New Roman"/>
              </w:rPr>
              <w:t>Fecha – Hora - Lugar</w:t>
            </w:r>
          </w:p>
        </w:tc>
        <w:tc>
          <w:tcPr>
            <w:tcW w:w="2183" w:type="dxa"/>
          </w:tcPr>
          <w:p w:rsidR="003B4C8C" w:rsidRDefault="00913041">
            <w:pPr>
              <w:contextualSpacing w:val="0"/>
              <w:jc w:val="both"/>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Comisión </w:t>
            </w:r>
          </w:p>
        </w:tc>
        <w:tc>
          <w:tcPr>
            <w:tcW w:w="8317" w:type="dxa"/>
          </w:tcPr>
          <w:p w:rsidR="003B4C8C" w:rsidRDefault="00913041">
            <w:pPr>
              <w:contextualSpacing w:val="0"/>
              <w:jc w:val="both"/>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Tema a tratar</w:t>
            </w:r>
          </w:p>
        </w:tc>
      </w:tr>
      <w:tr w:rsidR="003B4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3B4C8C" w:rsidRDefault="00C56EA5">
            <w:pPr>
              <w:contextualSpacing w:val="0"/>
            </w:pPr>
            <w:r>
              <w:t>3</w:t>
            </w:r>
            <w:r w:rsidR="004155E8">
              <w:t xml:space="preserve"> marzo, 16:3</w:t>
            </w:r>
            <w:r w:rsidR="00BA3C51">
              <w:t>0 a 18:30, Sala de sesiones, Santiago</w:t>
            </w:r>
          </w:p>
          <w:p w:rsidR="00C56EA5" w:rsidRDefault="00C56EA5">
            <w:pPr>
              <w:contextualSpacing w:val="0"/>
            </w:pPr>
          </w:p>
        </w:tc>
        <w:tc>
          <w:tcPr>
            <w:tcW w:w="2183" w:type="dxa"/>
          </w:tcPr>
          <w:p w:rsidR="003B4C8C" w:rsidRPr="0098042E" w:rsidRDefault="00BA3C51">
            <w:pPr>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98042E">
              <w:rPr>
                <w:rFonts w:ascii="Times New Roman" w:hAnsi="Times New Roman" w:cs="Times New Roman"/>
                <w:color w:val="000000" w:themeColor="text1"/>
              </w:rPr>
              <w:t>Desafíos del Futuro, Ciencia, Tecnología e Innovación</w:t>
            </w:r>
          </w:p>
        </w:tc>
        <w:tc>
          <w:tcPr>
            <w:tcW w:w="8317" w:type="dxa"/>
          </w:tcPr>
          <w:p w:rsidR="003B4C8C" w:rsidRPr="0098042E" w:rsidRDefault="00BA3C51" w:rsidP="00BA3C51">
            <w:pPr>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98042E">
              <w:rPr>
                <w:rFonts w:ascii="Times New Roman" w:hAnsi="Times New Roman" w:cs="Times New Roman"/>
                <w:color w:val="000000" w:themeColor="text1"/>
              </w:rPr>
              <w:t>Continuar con el estudio del proyecto de ley que crea el Ministerio de Ciencia y Tecnología (Boletín N° 11.101-19).</w:t>
            </w:r>
          </w:p>
        </w:tc>
      </w:tr>
      <w:tr w:rsidR="00BA3C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BA3C51" w:rsidRDefault="00C56EA5">
            <w:r>
              <w:t>4 abril</w:t>
            </w:r>
            <w:r w:rsidR="00BA3C51">
              <w:t>, 12:00 a 14:00, Sala 11, Valparaíso</w:t>
            </w:r>
          </w:p>
        </w:tc>
        <w:tc>
          <w:tcPr>
            <w:tcW w:w="2183" w:type="dxa"/>
          </w:tcPr>
          <w:p w:rsidR="00BA3C51" w:rsidRPr="0098042E" w:rsidRDefault="00BA3C5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98042E">
              <w:rPr>
                <w:rFonts w:ascii="Times New Roman" w:hAnsi="Times New Roman" w:cs="Times New Roman"/>
                <w:color w:val="000000" w:themeColor="text1"/>
              </w:rPr>
              <w:t>Salud</w:t>
            </w:r>
          </w:p>
        </w:tc>
        <w:tc>
          <w:tcPr>
            <w:tcW w:w="8317" w:type="dxa"/>
          </w:tcPr>
          <w:p w:rsidR="00C56EA5" w:rsidRPr="00C56EA5" w:rsidRDefault="00C56EA5" w:rsidP="00C56EA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1)</w:t>
            </w:r>
            <w:r w:rsidRPr="00C56EA5">
              <w:rPr>
                <w:rFonts w:ascii="Times New Roman" w:hAnsi="Times New Roman" w:cs="Times New Roman"/>
                <w:color w:val="000000" w:themeColor="text1"/>
              </w:rPr>
              <w:t xml:space="preserve"> Analizar el Proyecto Definitivo de la Nueva Norma Primaria de Calidad del Aire de Dióxido de Azufre aprobada por el Consejo de Ministros para la Sustentabilidad. </w:t>
            </w:r>
          </w:p>
          <w:p w:rsidR="00C56EA5" w:rsidRPr="00C56EA5" w:rsidRDefault="00C56EA5" w:rsidP="00C56EA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p>
          <w:p w:rsidR="00C56EA5" w:rsidRPr="00C56EA5" w:rsidRDefault="00C56EA5" w:rsidP="00C56EA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Invitados:</w:t>
            </w:r>
            <w:r w:rsidRPr="00C56EA5">
              <w:rPr>
                <w:rFonts w:ascii="Times New Roman" w:hAnsi="Times New Roman" w:cs="Times New Roman"/>
                <w:color w:val="000000" w:themeColor="text1"/>
              </w:rPr>
              <w:t xml:space="preserve"> la señora Ministra de Salud, doctora Carmen Castillo </w:t>
            </w:r>
            <w:proofErr w:type="spellStart"/>
            <w:r w:rsidRPr="00C56EA5">
              <w:rPr>
                <w:rFonts w:ascii="Times New Roman" w:hAnsi="Times New Roman" w:cs="Times New Roman"/>
                <w:color w:val="000000" w:themeColor="text1"/>
              </w:rPr>
              <w:t>Taucher</w:t>
            </w:r>
            <w:proofErr w:type="spellEnd"/>
            <w:r w:rsidRPr="00C56EA5">
              <w:rPr>
                <w:rFonts w:ascii="Times New Roman" w:hAnsi="Times New Roman" w:cs="Times New Roman"/>
                <w:color w:val="000000" w:themeColor="text1"/>
              </w:rPr>
              <w:t xml:space="preserve">, la señora Ministra de Minería, doña Aurora Williams </w:t>
            </w:r>
            <w:proofErr w:type="spellStart"/>
            <w:r w:rsidRPr="00C56EA5">
              <w:rPr>
                <w:rFonts w:ascii="Times New Roman" w:hAnsi="Times New Roman" w:cs="Times New Roman"/>
                <w:color w:val="000000" w:themeColor="text1"/>
              </w:rPr>
              <w:t>Baussa</w:t>
            </w:r>
            <w:proofErr w:type="spellEnd"/>
            <w:r w:rsidRPr="00C56EA5">
              <w:rPr>
                <w:rFonts w:ascii="Times New Roman" w:hAnsi="Times New Roman" w:cs="Times New Roman"/>
                <w:color w:val="000000" w:themeColor="text1"/>
              </w:rPr>
              <w:t xml:space="preserve">, el señor Ministro del Medio Ambiente, don Marcelo Mena Carrasco, el señor Ministro de Energía, don Andrés Rebolledo </w:t>
            </w:r>
            <w:proofErr w:type="spellStart"/>
            <w:r w:rsidRPr="00C56EA5">
              <w:rPr>
                <w:rFonts w:ascii="Times New Roman" w:hAnsi="Times New Roman" w:cs="Times New Roman"/>
                <w:color w:val="000000" w:themeColor="text1"/>
              </w:rPr>
              <w:t>Smitmans</w:t>
            </w:r>
            <w:proofErr w:type="spellEnd"/>
            <w:r w:rsidRPr="00C56EA5">
              <w:rPr>
                <w:rFonts w:ascii="Times New Roman" w:hAnsi="Times New Roman" w:cs="Times New Roman"/>
                <w:color w:val="000000" w:themeColor="text1"/>
              </w:rPr>
              <w:t xml:space="preserve"> y el señor Ministro de Economía, Fomento y Turismo, don Luis Felipe Céspedes Cifuentes.</w:t>
            </w:r>
          </w:p>
          <w:p w:rsidR="00C56EA5" w:rsidRPr="00C56EA5" w:rsidRDefault="00C56EA5" w:rsidP="00C56EA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p>
          <w:p w:rsidR="00C56EA5" w:rsidRPr="00C56EA5" w:rsidRDefault="00C56EA5" w:rsidP="00C56EA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 xml:space="preserve">2) </w:t>
            </w:r>
            <w:r w:rsidRPr="00C56EA5">
              <w:rPr>
                <w:rFonts w:ascii="Times New Roman" w:hAnsi="Times New Roman" w:cs="Times New Roman"/>
                <w:color w:val="000000" w:themeColor="text1"/>
              </w:rPr>
              <w:t xml:space="preserve">Iniciar el estudio de las indicaciones presentadas al </w:t>
            </w:r>
            <w:r>
              <w:rPr>
                <w:rFonts w:ascii="Times New Roman" w:hAnsi="Times New Roman" w:cs="Times New Roman"/>
                <w:color w:val="000000" w:themeColor="text1"/>
              </w:rPr>
              <w:t>PL</w:t>
            </w:r>
            <w:r w:rsidRPr="00C56EA5">
              <w:rPr>
                <w:rFonts w:ascii="Times New Roman" w:hAnsi="Times New Roman" w:cs="Times New Roman"/>
                <w:color w:val="000000" w:themeColor="text1"/>
              </w:rPr>
              <w:t xml:space="preserve"> que regula la despenalización de la interrupción voluntaria del embarazo por tres causales, Boletín N° 9.895-11</w:t>
            </w:r>
          </w:p>
          <w:p w:rsidR="00BA3C51" w:rsidRPr="0098042E" w:rsidRDefault="00BA3C51" w:rsidP="00BA3C5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p>
        </w:tc>
      </w:tr>
    </w:tbl>
    <w:p w:rsidR="0098042E" w:rsidRDefault="0098042E">
      <w:pPr>
        <w:jc w:val="both"/>
        <w:rPr>
          <w:rFonts w:ascii="Times New Roman" w:eastAsia="Times New Roman" w:hAnsi="Times New Roman" w:cs="Times New Roman"/>
          <w:b/>
          <w:color w:val="002060"/>
          <w:sz w:val="24"/>
          <w:szCs w:val="24"/>
        </w:rPr>
      </w:pPr>
    </w:p>
    <w:p w:rsidR="00BE76FE" w:rsidRDefault="00BE76FE">
      <w:pPr>
        <w:jc w:val="both"/>
        <w:rPr>
          <w:rFonts w:ascii="Times New Roman" w:eastAsia="Times New Roman" w:hAnsi="Times New Roman" w:cs="Times New Roman"/>
          <w:b/>
          <w:color w:val="002060"/>
          <w:sz w:val="24"/>
          <w:szCs w:val="24"/>
        </w:rPr>
      </w:pPr>
    </w:p>
    <w:p w:rsidR="00C56EA5" w:rsidRDefault="00C56EA5">
      <w:pPr>
        <w:jc w:val="both"/>
        <w:rPr>
          <w:rFonts w:ascii="Times New Roman" w:eastAsia="Times New Roman" w:hAnsi="Times New Roman" w:cs="Times New Roman"/>
          <w:b/>
          <w:color w:val="002060"/>
          <w:sz w:val="24"/>
          <w:szCs w:val="24"/>
        </w:rPr>
      </w:pPr>
    </w:p>
    <w:p w:rsidR="003B4C8C" w:rsidRDefault="00913041">
      <w:pPr>
        <w:jc w:val="both"/>
      </w:pPr>
      <w:r>
        <w:rPr>
          <w:rFonts w:ascii="Times New Roman" w:eastAsia="Times New Roman" w:hAnsi="Times New Roman" w:cs="Times New Roman"/>
          <w:b/>
          <w:color w:val="002060"/>
          <w:sz w:val="24"/>
          <w:szCs w:val="24"/>
        </w:rPr>
        <w:lastRenderedPageBreak/>
        <w:t xml:space="preserve">Comisiones de interés legislativo </w:t>
      </w:r>
    </w:p>
    <w:tbl>
      <w:tblPr>
        <w:tblStyle w:val="a0"/>
        <w:tblW w:w="13433" w:type="dxa"/>
        <w:tblInd w:w="-4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547"/>
        <w:gridCol w:w="2523"/>
        <w:gridCol w:w="8363"/>
      </w:tblGrid>
      <w:tr w:rsidR="003B4C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7" w:type="dxa"/>
          </w:tcPr>
          <w:p w:rsidR="003B4C8C" w:rsidRDefault="00913041">
            <w:pPr>
              <w:contextualSpacing w:val="0"/>
              <w:jc w:val="both"/>
            </w:pPr>
            <w:r>
              <w:rPr>
                <w:rFonts w:ascii="Times New Roman" w:eastAsia="Times New Roman" w:hAnsi="Times New Roman" w:cs="Times New Roman"/>
              </w:rPr>
              <w:t>Fecha – Hora - Lugar</w:t>
            </w:r>
          </w:p>
        </w:tc>
        <w:tc>
          <w:tcPr>
            <w:tcW w:w="2523" w:type="dxa"/>
          </w:tcPr>
          <w:p w:rsidR="003B4C8C" w:rsidRDefault="00913041">
            <w:pPr>
              <w:contextualSpacing w:val="0"/>
              <w:jc w:val="both"/>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Comisión </w:t>
            </w:r>
          </w:p>
        </w:tc>
        <w:tc>
          <w:tcPr>
            <w:tcW w:w="8363" w:type="dxa"/>
          </w:tcPr>
          <w:p w:rsidR="003B4C8C" w:rsidRDefault="00913041">
            <w:pPr>
              <w:contextualSpacing w:val="0"/>
              <w:jc w:val="both"/>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Tema a tratar</w:t>
            </w:r>
          </w:p>
        </w:tc>
      </w:tr>
      <w:tr w:rsidR="003B4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3B4C8C" w:rsidRDefault="00C56EA5" w:rsidP="00BA3C51">
            <w:pPr>
              <w:contextualSpacing w:val="0"/>
              <w:rPr>
                <w:rFonts w:ascii="Times New Roman" w:eastAsia="Times New Roman" w:hAnsi="Times New Roman" w:cs="Times New Roman"/>
              </w:rPr>
            </w:pPr>
            <w:r>
              <w:rPr>
                <w:rFonts w:ascii="Times New Roman" w:eastAsia="Times New Roman" w:hAnsi="Times New Roman" w:cs="Times New Roman"/>
              </w:rPr>
              <w:t>3 abril, 12:00 a 13:30, Sala 3</w:t>
            </w:r>
            <w:r w:rsidR="00913041">
              <w:rPr>
                <w:rFonts w:ascii="Times New Roman" w:eastAsia="Times New Roman" w:hAnsi="Times New Roman" w:cs="Times New Roman"/>
              </w:rPr>
              <w:t xml:space="preserve">, </w:t>
            </w:r>
            <w:r w:rsidR="00BA3C51">
              <w:rPr>
                <w:rFonts w:ascii="Times New Roman" w:eastAsia="Times New Roman" w:hAnsi="Times New Roman" w:cs="Times New Roman"/>
              </w:rPr>
              <w:t>Santiago</w:t>
            </w:r>
          </w:p>
          <w:p w:rsidR="009C0E91" w:rsidRDefault="009C0E91" w:rsidP="00BA3C51">
            <w:pPr>
              <w:contextualSpacing w:val="0"/>
              <w:rPr>
                <w:rFonts w:ascii="Times New Roman" w:eastAsia="Times New Roman" w:hAnsi="Times New Roman" w:cs="Times New Roman"/>
              </w:rPr>
            </w:pPr>
          </w:p>
          <w:p w:rsidR="009C0E91" w:rsidRDefault="009C0E91" w:rsidP="00BA3C51">
            <w:pPr>
              <w:contextualSpacing w:val="0"/>
              <w:rPr>
                <w:rFonts w:ascii="Times New Roman" w:eastAsia="Times New Roman" w:hAnsi="Times New Roman" w:cs="Times New Roman"/>
              </w:rPr>
            </w:pPr>
          </w:p>
          <w:p w:rsidR="009C0E91" w:rsidRDefault="009C0E91" w:rsidP="004155E8"/>
        </w:tc>
        <w:tc>
          <w:tcPr>
            <w:tcW w:w="2523" w:type="dxa"/>
          </w:tcPr>
          <w:p w:rsidR="003B4C8C" w:rsidRPr="00CA314D" w:rsidRDefault="00BA3C51">
            <w:pPr>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A314D">
              <w:rPr>
                <w:rFonts w:ascii="Times New Roman" w:hAnsi="Times New Roman" w:cs="Times New Roman"/>
                <w:color w:val="000000" w:themeColor="text1"/>
              </w:rPr>
              <w:t>Medio Ambiente y Bienes Nacionales</w:t>
            </w:r>
          </w:p>
        </w:tc>
        <w:tc>
          <w:tcPr>
            <w:tcW w:w="8363" w:type="dxa"/>
          </w:tcPr>
          <w:p w:rsidR="00C56EA5" w:rsidRPr="00C56EA5" w:rsidRDefault="00C56EA5" w:rsidP="00C56EA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r w:rsidRPr="00C56EA5">
              <w:rPr>
                <w:rFonts w:ascii="Times New Roman" w:eastAsia="Times New Roman" w:hAnsi="Times New Roman" w:cs="Times New Roman"/>
                <w:color w:val="000000" w:themeColor="text1"/>
              </w:rPr>
              <w:t xml:space="preserve"> Conocer las prioridades de la gestión que realizará el nuevo Ministro del Medio Ambiente.</w:t>
            </w:r>
          </w:p>
          <w:p w:rsidR="00C56EA5" w:rsidRPr="00C56EA5" w:rsidRDefault="00C56EA5" w:rsidP="00C56EA5">
            <w:pPr>
              <w:ind w:firstLine="7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p w:rsidR="00C56EA5" w:rsidRPr="00C56EA5" w:rsidRDefault="00C56EA5" w:rsidP="00C56EA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A.</w:t>
            </w:r>
            <w:r w:rsidRPr="00C56EA5">
              <w:rPr>
                <w:rFonts w:ascii="Times New Roman" w:eastAsia="Times New Roman" w:hAnsi="Times New Roman" w:cs="Times New Roman"/>
                <w:color w:val="000000" w:themeColor="text1"/>
              </w:rPr>
              <w:t xml:space="preserve"> Recursos considerados para administrar el</w:t>
            </w:r>
            <w:r>
              <w:rPr>
                <w:rFonts w:ascii="Times New Roman" w:eastAsia="Times New Roman" w:hAnsi="Times New Roman" w:cs="Times New Roman"/>
                <w:color w:val="000000" w:themeColor="text1"/>
              </w:rPr>
              <w:t xml:space="preserve"> Sistema de Áreas Protegidas; B.</w:t>
            </w:r>
            <w:r w:rsidRPr="00C56EA5">
              <w:rPr>
                <w:rFonts w:ascii="Times New Roman" w:eastAsia="Times New Roman" w:hAnsi="Times New Roman" w:cs="Times New Roman"/>
                <w:color w:val="000000" w:themeColor="text1"/>
              </w:rPr>
              <w:t xml:space="preserve"> Resultado de la Mesa de Trabajo conformada por los trabajadores de CONAF, Ministerio del Medio Ambiente y </w:t>
            </w:r>
            <w:proofErr w:type="spellStart"/>
            <w:r w:rsidRPr="00C56EA5">
              <w:rPr>
                <w:rFonts w:ascii="Times New Roman" w:eastAsia="Times New Roman" w:hAnsi="Times New Roman" w:cs="Times New Roman"/>
                <w:color w:val="000000" w:themeColor="text1"/>
              </w:rPr>
              <w:t>Dipres</w:t>
            </w:r>
            <w:proofErr w:type="spellEnd"/>
          </w:p>
          <w:p w:rsidR="00C56EA5" w:rsidRPr="00C56EA5" w:rsidRDefault="00C56EA5" w:rsidP="00C56EA5">
            <w:pPr>
              <w:ind w:firstLine="7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p w:rsidR="009C0E91" w:rsidRDefault="00C56EA5" w:rsidP="00C56EA5">
            <w:pPr>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Invitados:</w:t>
            </w:r>
            <w:r w:rsidRPr="00C56EA5">
              <w:rPr>
                <w:rFonts w:ascii="Times New Roman" w:eastAsia="Times New Roman" w:hAnsi="Times New Roman" w:cs="Times New Roman"/>
                <w:color w:val="000000" w:themeColor="text1"/>
              </w:rPr>
              <w:t xml:space="preserve"> Ministro del Medio Ambiente, señor Marcelo Mena y al Director de Presupuestos, señor Sergio Granados.</w:t>
            </w:r>
          </w:p>
          <w:p w:rsidR="004155E8" w:rsidRPr="004155E8" w:rsidRDefault="004155E8" w:rsidP="00BA3C51">
            <w:pPr>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r>
      <w:tr w:rsidR="003B4C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3B4C8C" w:rsidRDefault="00C56EA5">
            <w:pPr>
              <w:contextualSpacing w:val="0"/>
            </w:pPr>
            <w:r>
              <w:rPr>
                <w:rFonts w:ascii="Times New Roman" w:eastAsia="Times New Roman" w:hAnsi="Times New Roman" w:cs="Times New Roman"/>
              </w:rPr>
              <w:t>4 abril, 10:30 a 12</w:t>
            </w:r>
            <w:r w:rsidR="00913041">
              <w:rPr>
                <w:rFonts w:ascii="Times New Roman" w:eastAsia="Times New Roman" w:hAnsi="Times New Roman" w:cs="Times New Roman"/>
              </w:rPr>
              <w:t>:00</w:t>
            </w:r>
          </w:p>
          <w:p w:rsidR="003B4C8C" w:rsidRDefault="00C56EA5" w:rsidP="004155E8">
            <w:pPr>
              <w:contextualSpacing w:val="0"/>
              <w:rPr>
                <w:rFonts w:ascii="Times New Roman" w:eastAsia="Times New Roman" w:hAnsi="Times New Roman" w:cs="Times New Roman"/>
              </w:rPr>
            </w:pPr>
            <w:r>
              <w:rPr>
                <w:rFonts w:ascii="Times New Roman" w:eastAsia="Times New Roman" w:hAnsi="Times New Roman" w:cs="Times New Roman"/>
              </w:rPr>
              <w:t>Sala 9</w:t>
            </w:r>
            <w:r w:rsidR="00BA3C51">
              <w:rPr>
                <w:rFonts w:ascii="Times New Roman" w:eastAsia="Times New Roman" w:hAnsi="Times New Roman" w:cs="Times New Roman"/>
              </w:rPr>
              <w:t xml:space="preserve">, </w:t>
            </w:r>
            <w:r>
              <w:rPr>
                <w:rFonts w:ascii="Times New Roman" w:eastAsia="Times New Roman" w:hAnsi="Times New Roman" w:cs="Times New Roman"/>
              </w:rPr>
              <w:t>Valparaíso</w:t>
            </w:r>
          </w:p>
          <w:p w:rsidR="004155E8" w:rsidRPr="004155E8" w:rsidRDefault="004155E8" w:rsidP="004155E8">
            <w:pPr>
              <w:contextualSpacing w:val="0"/>
              <w:rPr>
                <w:rFonts w:ascii="Times New Roman" w:eastAsia="Times New Roman" w:hAnsi="Times New Roman" w:cs="Times New Roman"/>
              </w:rPr>
            </w:pPr>
          </w:p>
        </w:tc>
        <w:tc>
          <w:tcPr>
            <w:tcW w:w="2523" w:type="dxa"/>
          </w:tcPr>
          <w:p w:rsidR="003B4C8C" w:rsidRPr="00CA314D" w:rsidRDefault="00BA3C51">
            <w:pPr>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CA314D">
              <w:rPr>
                <w:rFonts w:ascii="Times New Roman" w:hAnsi="Times New Roman" w:cs="Times New Roman"/>
                <w:color w:val="000000" w:themeColor="text1"/>
              </w:rPr>
              <w:t>Especial sobre Recursos Hídricos, Desertificación y Sequía.</w:t>
            </w:r>
          </w:p>
        </w:tc>
        <w:tc>
          <w:tcPr>
            <w:tcW w:w="8363" w:type="dxa"/>
          </w:tcPr>
          <w:p w:rsidR="003B4C8C" w:rsidRPr="00CA314D" w:rsidRDefault="00BA3C51">
            <w:pPr>
              <w:contextualSpacing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CA314D">
              <w:rPr>
                <w:rFonts w:ascii="Times New Roman" w:hAnsi="Times New Roman" w:cs="Times New Roman"/>
                <w:color w:val="000000" w:themeColor="text1"/>
              </w:rPr>
              <w:t>Continuar analizando el proyecto de ley que reforma el Código de Aguas, correspondiente al Boletín N° 7.543-12.</w:t>
            </w:r>
          </w:p>
        </w:tc>
      </w:tr>
      <w:tr w:rsidR="00415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4155E8" w:rsidRDefault="00973EB7">
            <w:pPr>
              <w:rPr>
                <w:rFonts w:ascii="Times New Roman" w:eastAsia="Times New Roman" w:hAnsi="Times New Roman" w:cs="Times New Roman"/>
              </w:rPr>
            </w:pPr>
            <w:r>
              <w:rPr>
                <w:rFonts w:ascii="Times New Roman" w:eastAsia="Times New Roman" w:hAnsi="Times New Roman" w:cs="Times New Roman"/>
              </w:rPr>
              <w:t>4 abril</w:t>
            </w:r>
            <w:r w:rsidR="00BB757E">
              <w:rPr>
                <w:rFonts w:ascii="Times New Roman" w:eastAsia="Times New Roman" w:hAnsi="Times New Roman" w:cs="Times New Roman"/>
              </w:rPr>
              <w:t>, 12:30 a 14:0</w:t>
            </w:r>
            <w:r>
              <w:rPr>
                <w:rFonts w:ascii="Times New Roman" w:eastAsia="Times New Roman" w:hAnsi="Times New Roman" w:cs="Times New Roman"/>
              </w:rPr>
              <w:t>0, Sala 4, Valparaíso</w:t>
            </w:r>
          </w:p>
        </w:tc>
        <w:tc>
          <w:tcPr>
            <w:tcW w:w="2523" w:type="dxa"/>
          </w:tcPr>
          <w:p w:rsidR="004155E8" w:rsidRPr="00CA314D" w:rsidRDefault="00035F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Defensa Nacional</w:t>
            </w:r>
          </w:p>
        </w:tc>
        <w:tc>
          <w:tcPr>
            <w:tcW w:w="8363" w:type="dxa"/>
          </w:tcPr>
          <w:p w:rsidR="00035FB8" w:rsidRPr="00035FB8" w:rsidRDefault="00035FB8" w:rsidP="00035FB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035FB8">
              <w:rPr>
                <w:rFonts w:ascii="Times New Roman" w:hAnsi="Times New Roman" w:cs="Times New Roman"/>
                <w:color w:val="000000" w:themeColor="text1"/>
              </w:rPr>
              <w:t xml:space="preserve">1) Conocer de la renuncia al cargo de Presidente de la Comisión, presentada por el Honorable Senador señor Baldo </w:t>
            </w:r>
            <w:proofErr w:type="spellStart"/>
            <w:r w:rsidRPr="00035FB8">
              <w:rPr>
                <w:rFonts w:ascii="Times New Roman" w:hAnsi="Times New Roman" w:cs="Times New Roman"/>
                <w:color w:val="000000" w:themeColor="text1"/>
              </w:rPr>
              <w:t>Prokurica</w:t>
            </w:r>
            <w:proofErr w:type="spellEnd"/>
            <w:r w:rsidRPr="00035FB8">
              <w:rPr>
                <w:rFonts w:ascii="Times New Roman" w:hAnsi="Times New Roman" w:cs="Times New Roman"/>
                <w:color w:val="000000" w:themeColor="text1"/>
              </w:rPr>
              <w:t>, y elegir nuevo Presidente.</w:t>
            </w:r>
          </w:p>
          <w:p w:rsidR="00035FB8" w:rsidRPr="00035FB8" w:rsidRDefault="00035FB8" w:rsidP="00035FB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p w:rsidR="004155E8" w:rsidRDefault="00035FB8" w:rsidP="00035FB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035FB8">
              <w:rPr>
                <w:rFonts w:ascii="Times New Roman" w:hAnsi="Times New Roman" w:cs="Times New Roman"/>
                <w:color w:val="000000" w:themeColor="text1"/>
              </w:rPr>
              <w:t>2) Indicaciones presentadas por el Ejecutivo al proyecto de ley, en segundo trámite constitucional, que establece el Sistema Nacional de Emergencia y Protección Civil y crea la Agencia Nacional de Protección Civil (Boletín N° 7.550-06), particularmente en lo relativo al rol de las Fuerzas Armadas.</w:t>
            </w:r>
          </w:p>
          <w:p w:rsidR="009954C1" w:rsidRPr="00CA314D" w:rsidRDefault="009954C1" w:rsidP="00035FB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BA3C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BA3C51" w:rsidRDefault="00BB757E" w:rsidP="00BB757E">
            <w:pPr>
              <w:rPr>
                <w:rFonts w:ascii="Times New Roman" w:eastAsia="Times New Roman" w:hAnsi="Times New Roman" w:cs="Times New Roman"/>
              </w:rPr>
            </w:pPr>
            <w:r>
              <w:rPr>
                <w:rFonts w:ascii="Times New Roman" w:eastAsia="Times New Roman" w:hAnsi="Times New Roman" w:cs="Times New Roman"/>
              </w:rPr>
              <w:t>5 abril, 11:30 a 13:30, Sala 1</w:t>
            </w:r>
            <w:r w:rsidR="009C0E91">
              <w:rPr>
                <w:rFonts w:ascii="Times New Roman" w:eastAsia="Times New Roman" w:hAnsi="Times New Roman" w:cs="Times New Roman"/>
              </w:rPr>
              <w:t xml:space="preserve">, </w:t>
            </w:r>
            <w:r w:rsidR="00CA314D">
              <w:rPr>
                <w:rFonts w:ascii="Times New Roman" w:eastAsia="Times New Roman" w:hAnsi="Times New Roman" w:cs="Times New Roman"/>
              </w:rPr>
              <w:t>Valparaíso</w:t>
            </w:r>
          </w:p>
        </w:tc>
        <w:tc>
          <w:tcPr>
            <w:tcW w:w="2523" w:type="dxa"/>
          </w:tcPr>
          <w:p w:rsidR="00BA3C51" w:rsidRPr="00CA314D" w:rsidRDefault="00BB75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BB757E">
              <w:rPr>
                <w:rFonts w:ascii="Times New Roman" w:hAnsi="Times New Roman" w:cs="Times New Roman"/>
                <w:color w:val="000000" w:themeColor="text1"/>
              </w:rPr>
              <w:t>Minería y Energía</w:t>
            </w:r>
          </w:p>
        </w:tc>
        <w:tc>
          <w:tcPr>
            <w:tcW w:w="8363" w:type="dxa"/>
          </w:tcPr>
          <w:p w:rsidR="00BB757E" w:rsidRPr="00BB757E" w:rsidRDefault="00BB757E" w:rsidP="00BB75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BB757E">
              <w:rPr>
                <w:rFonts w:ascii="Times New Roman" w:hAnsi="Times New Roman" w:cs="Times New Roman"/>
                <w:color w:val="000000" w:themeColor="text1"/>
              </w:rPr>
              <w:t>2) Escuchar al Ministro de Energía, señor Andrés Rebolledo, acerca del estado de avance del proyecto de línea de transmisión Cardones-</w:t>
            </w:r>
            <w:proofErr w:type="spellStart"/>
            <w:r w:rsidRPr="00BB757E">
              <w:rPr>
                <w:rFonts w:ascii="Times New Roman" w:hAnsi="Times New Roman" w:cs="Times New Roman"/>
                <w:color w:val="000000" w:themeColor="text1"/>
              </w:rPr>
              <w:t>Polpaico</w:t>
            </w:r>
            <w:proofErr w:type="spellEnd"/>
            <w:r w:rsidRPr="00BB757E">
              <w:rPr>
                <w:rFonts w:ascii="Times New Roman" w:hAnsi="Times New Roman" w:cs="Times New Roman"/>
                <w:color w:val="000000" w:themeColor="text1"/>
              </w:rPr>
              <w:t xml:space="preserve"> y el impacto que tendrá para la Región de Atacama y el desarrollo del sector de las energías renovables, todo ello en el marco de la interconexión SIC-SING.</w:t>
            </w:r>
          </w:p>
          <w:p w:rsidR="00BB757E" w:rsidRPr="00BB757E" w:rsidRDefault="00BB757E" w:rsidP="00BB75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p>
          <w:p w:rsidR="00BA3C51" w:rsidRDefault="00BB757E" w:rsidP="00BB75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BB757E">
              <w:rPr>
                <w:rFonts w:ascii="Times New Roman" w:hAnsi="Times New Roman" w:cs="Times New Roman"/>
                <w:color w:val="000000" w:themeColor="text1"/>
              </w:rPr>
              <w:t>3) Escuchar al Ministro de Hacienda, señor Rodrigo Valdés, en relación con el estudio y las propuestas gubernamentales en materia de fundiciones y refinerías, para adecuarlas a las nuevas exigencias ambientales y garantizar su desarrollo futuro.</w:t>
            </w:r>
          </w:p>
          <w:p w:rsidR="009954C1" w:rsidRPr="00CA314D" w:rsidRDefault="009954C1" w:rsidP="00BB75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p>
        </w:tc>
      </w:tr>
      <w:tr w:rsidR="00BA3C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BA3C51" w:rsidRDefault="00BB757E">
            <w:pPr>
              <w:rPr>
                <w:rFonts w:ascii="Times New Roman" w:eastAsia="Times New Roman" w:hAnsi="Times New Roman" w:cs="Times New Roman"/>
              </w:rPr>
            </w:pPr>
            <w:r>
              <w:rPr>
                <w:rFonts w:ascii="Times New Roman" w:eastAsia="Times New Roman" w:hAnsi="Times New Roman" w:cs="Times New Roman"/>
              </w:rPr>
              <w:lastRenderedPageBreak/>
              <w:t>5</w:t>
            </w:r>
            <w:r w:rsidR="003C1CF9">
              <w:rPr>
                <w:rFonts w:ascii="Times New Roman" w:eastAsia="Times New Roman" w:hAnsi="Times New Roman" w:cs="Times New Roman"/>
              </w:rPr>
              <w:t xml:space="preserve"> abril</w:t>
            </w:r>
            <w:r w:rsidR="00C14C71">
              <w:rPr>
                <w:rFonts w:ascii="Times New Roman" w:eastAsia="Times New Roman" w:hAnsi="Times New Roman" w:cs="Times New Roman"/>
              </w:rPr>
              <w:t xml:space="preserve">, 12:00 a </w:t>
            </w:r>
            <w:r w:rsidR="003C1CF9">
              <w:rPr>
                <w:rFonts w:ascii="Times New Roman" w:eastAsia="Times New Roman" w:hAnsi="Times New Roman" w:cs="Times New Roman"/>
              </w:rPr>
              <w:t>14:00, Sala 7</w:t>
            </w:r>
            <w:r w:rsidR="00CA314D">
              <w:rPr>
                <w:rFonts w:ascii="Times New Roman" w:eastAsia="Times New Roman" w:hAnsi="Times New Roman" w:cs="Times New Roman"/>
              </w:rPr>
              <w:t>, Valparaíso</w:t>
            </w:r>
          </w:p>
        </w:tc>
        <w:tc>
          <w:tcPr>
            <w:tcW w:w="2523" w:type="dxa"/>
          </w:tcPr>
          <w:p w:rsidR="00BA3C51" w:rsidRPr="00CA314D" w:rsidRDefault="003C1C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C1CF9">
              <w:rPr>
                <w:rFonts w:ascii="Times New Roman" w:hAnsi="Times New Roman" w:cs="Times New Roman"/>
                <w:color w:val="000000" w:themeColor="text1"/>
              </w:rPr>
              <w:t>Derechos Humanos, Nacionalidad y Ciudadanía</w:t>
            </w:r>
          </w:p>
        </w:tc>
        <w:tc>
          <w:tcPr>
            <w:tcW w:w="8363" w:type="dxa"/>
          </w:tcPr>
          <w:p w:rsidR="003C1CF9" w:rsidRPr="003C1CF9" w:rsidRDefault="003C1CF9" w:rsidP="003C1CF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3C1CF9">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 xml:space="preserve"> </w:t>
            </w:r>
            <w:r w:rsidRPr="003C1CF9">
              <w:rPr>
                <w:rFonts w:ascii="Times New Roman" w:eastAsia="Times New Roman" w:hAnsi="Times New Roman" w:cs="Times New Roman"/>
                <w:color w:val="000000" w:themeColor="text1"/>
              </w:rPr>
              <w:t xml:space="preserve">Proceder a la elección de nuevo Presidente, con motivo de la renuncia presentada a dicho cargo por el Honorable Senador señor Alejandro Navarro </w:t>
            </w:r>
            <w:proofErr w:type="spellStart"/>
            <w:r w:rsidRPr="003C1CF9">
              <w:rPr>
                <w:rFonts w:ascii="Times New Roman" w:eastAsia="Times New Roman" w:hAnsi="Times New Roman" w:cs="Times New Roman"/>
                <w:color w:val="000000" w:themeColor="text1"/>
              </w:rPr>
              <w:t>Brain</w:t>
            </w:r>
            <w:proofErr w:type="spellEnd"/>
            <w:r w:rsidRPr="003C1CF9">
              <w:rPr>
                <w:rFonts w:ascii="Times New Roman" w:eastAsia="Times New Roman" w:hAnsi="Times New Roman" w:cs="Times New Roman"/>
                <w:color w:val="000000" w:themeColor="text1"/>
              </w:rPr>
              <w:t xml:space="preserve">. </w:t>
            </w:r>
          </w:p>
          <w:p w:rsidR="003C1CF9" w:rsidRPr="003C1CF9" w:rsidRDefault="003C1CF9" w:rsidP="003C1CF9">
            <w:pPr>
              <w:cnfStyle w:val="000000100000" w:firstRow="0" w:lastRow="0" w:firstColumn="0" w:lastColumn="0" w:oddVBand="0" w:evenVBand="0" w:oddHBand="1" w:evenHBand="0" w:firstRowFirstColumn="0" w:firstRowLastColumn="0" w:lastRowFirstColumn="0" w:lastRowLastColumn="0"/>
            </w:pPr>
          </w:p>
          <w:p w:rsidR="0098042E" w:rsidRPr="00CA314D" w:rsidRDefault="003C1CF9" w:rsidP="003C1C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eastAsia="Times New Roman" w:hAnsi="Times New Roman" w:cs="Times New Roman"/>
                <w:color w:val="000000" w:themeColor="text1"/>
              </w:rPr>
              <w:t xml:space="preserve">2) </w:t>
            </w:r>
            <w:r w:rsidRPr="003C1CF9">
              <w:rPr>
                <w:rFonts w:ascii="Times New Roman" w:eastAsia="Times New Roman" w:hAnsi="Times New Roman" w:cs="Times New Roman"/>
                <w:color w:val="000000" w:themeColor="text1"/>
              </w:rPr>
              <w:t>Continuar la votación de las indicaciones presentadas al proyecto de ley que reconoce y da protección al derecho a la identidad de género (Boletín N° 8.924-07).</w:t>
            </w:r>
          </w:p>
        </w:tc>
      </w:tr>
    </w:tbl>
    <w:p w:rsidR="00BE76FE" w:rsidRDefault="00BE76FE">
      <w:pPr>
        <w:jc w:val="both"/>
        <w:rPr>
          <w:rFonts w:ascii="Times New Roman" w:eastAsia="Times New Roman" w:hAnsi="Times New Roman" w:cs="Times New Roman"/>
          <w:b/>
          <w:color w:val="002060"/>
        </w:rPr>
      </w:pPr>
    </w:p>
    <w:p w:rsidR="003B4C8C" w:rsidRDefault="00913041">
      <w:pPr>
        <w:jc w:val="both"/>
      </w:pPr>
      <w:r>
        <w:rPr>
          <w:rFonts w:ascii="Times New Roman" w:eastAsia="Times New Roman" w:hAnsi="Times New Roman" w:cs="Times New Roman"/>
          <w:b/>
          <w:color w:val="002060"/>
        </w:rPr>
        <w:t>Tabla Senado</w:t>
      </w:r>
    </w:p>
    <w:tbl>
      <w:tblPr>
        <w:tblStyle w:val="a1"/>
        <w:tblW w:w="13008" w:type="dxa"/>
        <w:tblInd w:w="-4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26"/>
        <w:gridCol w:w="1622"/>
        <w:gridCol w:w="2127"/>
        <w:gridCol w:w="7733"/>
      </w:tblGrid>
      <w:tr w:rsidR="003B4C8C" w:rsidTr="009954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6" w:type="dxa"/>
          </w:tcPr>
          <w:p w:rsidR="003B4C8C" w:rsidRDefault="00913041">
            <w:pPr>
              <w:contextualSpacing w:val="0"/>
              <w:jc w:val="both"/>
            </w:pPr>
            <w:r>
              <w:rPr>
                <w:rFonts w:ascii="Times New Roman" w:eastAsia="Times New Roman" w:hAnsi="Times New Roman" w:cs="Times New Roman"/>
              </w:rPr>
              <w:t>Fecha</w:t>
            </w:r>
          </w:p>
        </w:tc>
        <w:tc>
          <w:tcPr>
            <w:tcW w:w="1622" w:type="dxa"/>
          </w:tcPr>
          <w:p w:rsidR="003B4C8C" w:rsidRDefault="00913041">
            <w:pPr>
              <w:contextualSpacing w:val="0"/>
              <w:jc w:val="both"/>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Orden tabla</w:t>
            </w:r>
          </w:p>
        </w:tc>
        <w:tc>
          <w:tcPr>
            <w:tcW w:w="2127" w:type="dxa"/>
          </w:tcPr>
          <w:p w:rsidR="003B4C8C" w:rsidRDefault="00913041">
            <w:pPr>
              <w:contextualSpacing w:val="0"/>
              <w:jc w:val="both"/>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   Comisión</w:t>
            </w:r>
          </w:p>
        </w:tc>
        <w:tc>
          <w:tcPr>
            <w:tcW w:w="7733" w:type="dxa"/>
          </w:tcPr>
          <w:p w:rsidR="003B4C8C" w:rsidRDefault="00913041">
            <w:pPr>
              <w:contextualSpacing w:val="0"/>
              <w:jc w:val="both"/>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     Tema a tratar</w:t>
            </w:r>
          </w:p>
        </w:tc>
      </w:tr>
      <w:tr w:rsidR="003B4C8C" w:rsidTr="00995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B4C8C" w:rsidRDefault="009954C1">
            <w:pPr>
              <w:contextualSpacing w:val="0"/>
              <w:jc w:val="both"/>
            </w:pPr>
            <w:r>
              <w:rPr>
                <w:rFonts w:ascii="Times New Roman" w:eastAsia="Times New Roman" w:hAnsi="Times New Roman" w:cs="Times New Roman"/>
              </w:rPr>
              <w:t>4 Abril</w:t>
            </w:r>
          </w:p>
        </w:tc>
        <w:tc>
          <w:tcPr>
            <w:tcW w:w="1622" w:type="dxa"/>
          </w:tcPr>
          <w:p w:rsidR="003B4C8C" w:rsidRDefault="00913041">
            <w:pPr>
              <w:contextualSpacing w:val="0"/>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rPr>
              <w:t>Orden del día: 1</w:t>
            </w:r>
          </w:p>
        </w:tc>
        <w:tc>
          <w:tcPr>
            <w:tcW w:w="2127" w:type="dxa"/>
          </w:tcPr>
          <w:p w:rsidR="003B4C8C" w:rsidRPr="00CA314D" w:rsidRDefault="009954C1" w:rsidP="00CA314D">
            <w:pPr>
              <w:spacing w:line="276" w:lineRule="auto"/>
              <w:contextualSpacing w:val="0"/>
              <w:cnfStyle w:val="000000100000" w:firstRow="0" w:lastRow="0" w:firstColumn="0" w:lastColumn="0" w:oddVBand="0" w:evenVBand="0" w:oddHBand="1" w:evenHBand="0" w:firstRowFirstColumn="0" w:firstRowLastColumn="0" w:lastRowFirstColumn="0" w:lastRowLastColumn="0"/>
              <w:rPr>
                <w:color w:val="000000" w:themeColor="text1"/>
              </w:rPr>
            </w:pPr>
            <w:r>
              <w:rPr>
                <w:rFonts w:ascii="Times New Roman" w:eastAsia="Times New Roman" w:hAnsi="Times New Roman" w:cs="Times New Roman"/>
                <w:color w:val="000000" w:themeColor="text1"/>
              </w:rPr>
              <w:t>Mixta</w:t>
            </w:r>
          </w:p>
        </w:tc>
        <w:tc>
          <w:tcPr>
            <w:tcW w:w="7733" w:type="dxa"/>
          </w:tcPr>
          <w:p w:rsidR="0098042E" w:rsidRPr="00CA314D" w:rsidRDefault="009954C1">
            <w:pPr>
              <w:spacing w:line="276" w:lineRule="auto"/>
              <w:contextualSpacing w:val="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9954C1">
              <w:rPr>
                <w:rFonts w:ascii="Times New Roman" w:eastAsia="Times New Roman" w:hAnsi="Times New Roman" w:cs="Times New Roman"/>
                <w:color w:val="000000" w:themeColor="text1"/>
              </w:rPr>
              <w:t xml:space="preserve">Informe de la Comisión Mixta constituida para resolver las divergencias suscitadas durante la tramitación del proyecto de ley que incentiva la inclusión de personas con discapacidad al mundo laboral. (Boletines Nos </w:t>
            </w:r>
            <w:r>
              <w:rPr>
                <w:rFonts w:ascii="Times New Roman" w:eastAsia="Times New Roman" w:hAnsi="Times New Roman" w:cs="Times New Roman"/>
                <w:color w:val="000000" w:themeColor="text1"/>
              </w:rPr>
              <w:t>7.025-31 y 7.855-13</w:t>
            </w:r>
            <w:r w:rsidRPr="009954C1">
              <w:rPr>
                <w:rFonts w:ascii="Times New Roman" w:eastAsia="Times New Roman" w:hAnsi="Times New Roman" w:cs="Times New Roman"/>
                <w:color w:val="000000" w:themeColor="text1"/>
              </w:rPr>
              <w:t>). Con urgencia calificada de “discusión inmediata”.</w:t>
            </w:r>
          </w:p>
        </w:tc>
      </w:tr>
      <w:tr w:rsidR="003B4C8C" w:rsidTr="00995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B4C8C" w:rsidRDefault="009954C1" w:rsidP="009954C1">
            <w:pPr>
              <w:contextualSpacing w:val="0"/>
              <w:jc w:val="both"/>
            </w:pPr>
            <w:r>
              <w:rPr>
                <w:rFonts w:ascii="Times New Roman" w:eastAsia="Times New Roman" w:hAnsi="Times New Roman" w:cs="Times New Roman"/>
              </w:rPr>
              <w:t>4 Abril</w:t>
            </w:r>
          </w:p>
        </w:tc>
        <w:tc>
          <w:tcPr>
            <w:tcW w:w="1622" w:type="dxa"/>
          </w:tcPr>
          <w:p w:rsidR="003B4C8C" w:rsidRDefault="00913041">
            <w:pPr>
              <w:contextualSpacing w:val="0"/>
              <w:cnfStyle w:val="000000010000" w:firstRow="0" w:lastRow="0" w:firstColumn="0" w:lastColumn="0" w:oddVBand="0" w:evenVBand="0" w:oddHBand="0" w:evenHBand="1" w:firstRowFirstColumn="0" w:firstRowLastColumn="0" w:lastRowFirstColumn="0" w:lastRowLastColumn="0"/>
            </w:pPr>
            <w:r>
              <w:rPr>
                <w:rFonts w:ascii="Times New Roman" w:eastAsia="Times New Roman" w:hAnsi="Times New Roman" w:cs="Times New Roman"/>
                <w:color w:val="000000"/>
              </w:rPr>
              <w:t>Orden del día: 2</w:t>
            </w:r>
          </w:p>
        </w:tc>
        <w:tc>
          <w:tcPr>
            <w:tcW w:w="2127" w:type="dxa"/>
          </w:tcPr>
          <w:p w:rsidR="003B4C8C" w:rsidRPr="00CA314D" w:rsidRDefault="009954C1">
            <w:pPr>
              <w:spacing w:line="276" w:lineRule="auto"/>
              <w:contextualSpacing w:val="0"/>
              <w:cnfStyle w:val="000000010000" w:firstRow="0" w:lastRow="0" w:firstColumn="0" w:lastColumn="0" w:oddVBand="0" w:evenVBand="0" w:oddHBand="0" w:evenHBand="1" w:firstRowFirstColumn="0" w:firstRowLastColumn="0" w:lastRowFirstColumn="0" w:lastRowLastColumn="0"/>
              <w:rPr>
                <w:color w:val="000000" w:themeColor="text1"/>
              </w:rPr>
            </w:pPr>
            <w:r>
              <w:rPr>
                <w:rFonts w:ascii="Times New Roman" w:eastAsia="Times New Roman" w:hAnsi="Times New Roman" w:cs="Times New Roman"/>
                <w:color w:val="000000" w:themeColor="text1"/>
              </w:rPr>
              <w:t>Transporte y Telecomunicaciones</w:t>
            </w:r>
          </w:p>
        </w:tc>
        <w:tc>
          <w:tcPr>
            <w:tcW w:w="7733" w:type="dxa"/>
          </w:tcPr>
          <w:p w:rsidR="0098042E" w:rsidRPr="00CA314D" w:rsidRDefault="009954C1" w:rsidP="009954C1">
            <w:pPr>
              <w:spacing w:line="276" w:lineRule="auto"/>
              <w:contextualSpacing w:val="0"/>
              <w:jc w:val="both"/>
              <w:cnfStyle w:val="000000010000" w:firstRow="0" w:lastRow="0" w:firstColumn="0" w:lastColumn="0" w:oddVBand="0" w:evenVBand="0" w:oddHBand="0" w:evenHBand="1" w:firstRowFirstColumn="0" w:firstRowLastColumn="0" w:lastRowFirstColumn="0" w:lastRowLastColumn="0"/>
              <w:rPr>
                <w:color w:val="000000" w:themeColor="text1"/>
              </w:rPr>
            </w:pPr>
            <w:r w:rsidRPr="009954C1">
              <w:rPr>
                <w:rFonts w:ascii="Times New Roman" w:eastAsia="Times New Roman" w:hAnsi="Times New Roman" w:cs="Times New Roman"/>
                <w:color w:val="000000" w:themeColor="text1"/>
              </w:rPr>
              <w:t>Proye</w:t>
            </w:r>
            <w:r>
              <w:rPr>
                <w:rFonts w:ascii="Times New Roman" w:eastAsia="Times New Roman" w:hAnsi="Times New Roman" w:cs="Times New Roman"/>
                <w:color w:val="000000" w:themeColor="text1"/>
              </w:rPr>
              <w:t>cto de ley, en segundo trámite</w:t>
            </w:r>
            <w:r w:rsidRPr="009954C1">
              <w:rPr>
                <w:rFonts w:ascii="Times New Roman" w:eastAsia="Times New Roman" w:hAnsi="Times New Roman" w:cs="Times New Roman"/>
                <w:color w:val="000000" w:themeColor="text1"/>
              </w:rPr>
              <w:t>, que modifica la Ley de Tránsito, para incorporar disposiciones sobre convivencia de los distintos medios de transporte, con informe de la Comisión de Transportes y Telecomunicaciones. (discusión en genera</w:t>
            </w:r>
            <w:r>
              <w:rPr>
                <w:rFonts w:ascii="Times New Roman" w:eastAsia="Times New Roman" w:hAnsi="Times New Roman" w:cs="Times New Roman"/>
                <w:color w:val="000000" w:themeColor="text1"/>
              </w:rPr>
              <w:t>l). (Boletín N° 10.217-15</w:t>
            </w:r>
            <w:r w:rsidRPr="009954C1">
              <w:rPr>
                <w:rFonts w:ascii="Times New Roman" w:eastAsia="Times New Roman" w:hAnsi="Times New Roman" w:cs="Times New Roman"/>
                <w:color w:val="000000" w:themeColor="text1"/>
              </w:rPr>
              <w:t>). Con urgencia calificada de “simple”. Segunda discusión.</w:t>
            </w:r>
          </w:p>
        </w:tc>
      </w:tr>
      <w:tr w:rsidR="003B4C8C" w:rsidTr="00995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B4C8C" w:rsidRDefault="009954C1">
            <w:pPr>
              <w:contextualSpacing w:val="0"/>
              <w:jc w:val="both"/>
            </w:pPr>
            <w:r>
              <w:rPr>
                <w:rFonts w:ascii="Times New Roman" w:eastAsia="Times New Roman" w:hAnsi="Times New Roman" w:cs="Times New Roman"/>
              </w:rPr>
              <w:t>4 Abril</w:t>
            </w:r>
          </w:p>
        </w:tc>
        <w:tc>
          <w:tcPr>
            <w:tcW w:w="1622" w:type="dxa"/>
          </w:tcPr>
          <w:p w:rsidR="003B4C8C" w:rsidRDefault="009954C1">
            <w:pPr>
              <w:contextualSpacing w:val="0"/>
              <w:jc w:val="both"/>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rPr>
              <w:t>Orden del día: 3; 3/5</w:t>
            </w:r>
          </w:p>
        </w:tc>
        <w:tc>
          <w:tcPr>
            <w:tcW w:w="2127" w:type="dxa"/>
          </w:tcPr>
          <w:p w:rsidR="003B4C8C" w:rsidRPr="0098042E" w:rsidRDefault="009954C1">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eastAsia="Times New Roman" w:hAnsi="Times New Roman" w:cs="Times New Roman"/>
                <w:color w:val="000000" w:themeColor="text1"/>
              </w:rPr>
              <w:t>Obras Públicas</w:t>
            </w:r>
          </w:p>
        </w:tc>
        <w:tc>
          <w:tcPr>
            <w:tcW w:w="7733" w:type="dxa"/>
          </w:tcPr>
          <w:p w:rsidR="003B4C8C" w:rsidRPr="0098042E" w:rsidRDefault="00BE3ADA" w:rsidP="00BE3ADA">
            <w:pPr>
              <w:spacing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E3ADA">
              <w:rPr>
                <w:rFonts w:ascii="Times New Roman" w:hAnsi="Times New Roman" w:cs="Times New Roman"/>
                <w:color w:val="000000" w:themeColor="text1"/>
              </w:rPr>
              <w:t>Proyecto de ley, en primer trámite constitucional, sobre publicidad visible desde caminos, vías o espacios públicos, con segundo informe de la Comisión de Obras Públicas. (discusión en particular)</w:t>
            </w:r>
            <w:r>
              <w:rPr>
                <w:rFonts w:ascii="Times New Roman" w:hAnsi="Times New Roman" w:cs="Times New Roman"/>
                <w:color w:val="000000" w:themeColor="text1"/>
              </w:rPr>
              <w:t>. (Boletines Nos 9.686-09 y 10.209-09</w:t>
            </w:r>
            <w:r w:rsidRPr="00BE3ADA">
              <w:rPr>
                <w:rFonts w:ascii="Times New Roman" w:hAnsi="Times New Roman" w:cs="Times New Roman"/>
                <w:color w:val="000000" w:themeColor="text1"/>
              </w:rPr>
              <w:t>, refundidos</w:t>
            </w:r>
            <w:r>
              <w:rPr>
                <w:rFonts w:ascii="Times New Roman" w:hAnsi="Times New Roman" w:cs="Times New Roman"/>
                <w:color w:val="000000" w:themeColor="text1"/>
              </w:rPr>
              <w:t>)</w:t>
            </w:r>
          </w:p>
        </w:tc>
      </w:tr>
      <w:tr w:rsidR="00BE3ADA" w:rsidTr="00995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BE3ADA" w:rsidRDefault="009954C1">
            <w:pPr>
              <w:jc w:val="both"/>
              <w:rPr>
                <w:rFonts w:ascii="Times New Roman" w:eastAsia="Times New Roman" w:hAnsi="Times New Roman" w:cs="Times New Roman"/>
              </w:rPr>
            </w:pPr>
            <w:r>
              <w:rPr>
                <w:rFonts w:ascii="Times New Roman" w:eastAsia="Times New Roman" w:hAnsi="Times New Roman" w:cs="Times New Roman"/>
              </w:rPr>
              <w:t>4 abril</w:t>
            </w:r>
          </w:p>
        </w:tc>
        <w:tc>
          <w:tcPr>
            <w:tcW w:w="1622" w:type="dxa"/>
          </w:tcPr>
          <w:p w:rsidR="00BE3ADA" w:rsidRPr="00BE3ADA" w:rsidRDefault="00BE3ADA">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rPr>
            </w:pPr>
            <w:r w:rsidRPr="00BE3ADA">
              <w:rPr>
                <w:rFonts w:ascii="Times New Roman" w:eastAsia="Times New Roman" w:hAnsi="Times New Roman" w:cs="Times New Roman"/>
                <w:color w:val="auto"/>
              </w:rPr>
              <w:t>Orden del día: 3</w:t>
            </w:r>
          </w:p>
        </w:tc>
        <w:tc>
          <w:tcPr>
            <w:tcW w:w="2127" w:type="dxa"/>
          </w:tcPr>
          <w:p w:rsidR="00BE3ADA" w:rsidRPr="00BE3ADA" w:rsidRDefault="009954C1">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rPr>
            </w:pPr>
            <w:r>
              <w:rPr>
                <w:rFonts w:ascii="Times New Roman" w:eastAsia="Times New Roman" w:hAnsi="Times New Roman" w:cs="Times New Roman"/>
                <w:color w:val="000000" w:themeColor="text1"/>
              </w:rPr>
              <w:t>Obras Públicas</w:t>
            </w:r>
          </w:p>
        </w:tc>
        <w:tc>
          <w:tcPr>
            <w:tcW w:w="7733" w:type="dxa"/>
          </w:tcPr>
          <w:p w:rsidR="00BE3ADA" w:rsidRPr="00BE3ADA" w:rsidRDefault="009954C1" w:rsidP="00BE3ADA">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9954C1">
              <w:rPr>
                <w:rFonts w:ascii="Times New Roman" w:hAnsi="Times New Roman" w:cs="Times New Roman"/>
                <w:color w:val="000000" w:themeColor="text1"/>
              </w:rPr>
              <w:t>Proyecto de ley, en primer trámite constitucional, sobre publicidad visible desde caminos, vías o espacios públicos, con segundo informe de la Comisión de Obras Públicas. (discusión en particular</w:t>
            </w:r>
            <w:r>
              <w:rPr>
                <w:rFonts w:ascii="Times New Roman" w:hAnsi="Times New Roman" w:cs="Times New Roman"/>
                <w:color w:val="000000" w:themeColor="text1"/>
              </w:rPr>
              <w:t>). (Boletines Nos 9.686-09 y 10.209-09</w:t>
            </w:r>
            <w:r w:rsidRPr="009954C1">
              <w:rPr>
                <w:rFonts w:ascii="Times New Roman" w:hAnsi="Times New Roman" w:cs="Times New Roman"/>
                <w:color w:val="000000" w:themeColor="text1"/>
              </w:rPr>
              <w:t>, refundidos).</w:t>
            </w:r>
          </w:p>
        </w:tc>
      </w:tr>
    </w:tbl>
    <w:p w:rsidR="0098042E" w:rsidRDefault="0098042E">
      <w:pPr>
        <w:jc w:val="both"/>
      </w:pPr>
    </w:p>
    <w:p w:rsidR="00BE76FE" w:rsidRDefault="00BE76FE">
      <w:pPr>
        <w:jc w:val="both"/>
      </w:pPr>
    </w:p>
    <w:p w:rsidR="00BE76FE" w:rsidRDefault="00BE76FE">
      <w:pPr>
        <w:jc w:val="both"/>
      </w:pPr>
    </w:p>
    <w:p w:rsidR="00BE76FE" w:rsidRDefault="00BE76FE">
      <w:pPr>
        <w:jc w:val="both"/>
      </w:pPr>
    </w:p>
    <w:p w:rsidR="00BE76FE" w:rsidRDefault="00BE76FE">
      <w:pPr>
        <w:jc w:val="both"/>
      </w:pPr>
    </w:p>
    <w:p w:rsidR="003B4C8C" w:rsidRDefault="00913041">
      <w:pPr>
        <w:jc w:val="both"/>
      </w:pPr>
      <w:r>
        <w:rPr>
          <w:rFonts w:ascii="Times New Roman" w:eastAsia="Times New Roman" w:hAnsi="Times New Roman" w:cs="Times New Roman"/>
          <w:b/>
          <w:color w:val="538135"/>
        </w:rPr>
        <w:lastRenderedPageBreak/>
        <w:t>Comisiones de interés legislativo Cámara de Diputados</w:t>
      </w:r>
    </w:p>
    <w:tbl>
      <w:tblPr>
        <w:tblStyle w:val="a2"/>
        <w:tblW w:w="12865" w:type="dxa"/>
        <w:tblInd w:w="-4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350"/>
        <w:gridCol w:w="3137"/>
        <w:gridCol w:w="6378"/>
      </w:tblGrid>
      <w:tr w:rsidR="003B4C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50" w:type="dxa"/>
          </w:tcPr>
          <w:p w:rsidR="003B4C8C" w:rsidRDefault="00913041">
            <w:pPr>
              <w:contextualSpacing w:val="0"/>
              <w:jc w:val="both"/>
            </w:pPr>
            <w:r>
              <w:rPr>
                <w:rFonts w:ascii="Times New Roman" w:eastAsia="Times New Roman" w:hAnsi="Times New Roman" w:cs="Times New Roman"/>
              </w:rPr>
              <w:t>Fecha</w:t>
            </w:r>
          </w:p>
        </w:tc>
        <w:tc>
          <w:tcPr>
            <w:tcW w:w="3137" w:type="dxa"/>
          </w:tcPr>
          <w:p w:rsidR="003B4C8C" w:rsidRDefault="00913041">
            <w:pPr>
              <w:contextualSpacing w:val="0"/>
              <w:jc w:val="both"/>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Comisión </w:t>
            </w:r>
          </w:p>
        </w:tc>
        <w:tc>
          <w:tcPr>
            <w:tcW w:w="6378" w:type="dxa"/>
          </w:tcPr>
          <w:p w:rsidR="003B4C8C" w:rsidRDefault="00913041">
            <w:pPr>
              <w:contextualSpacing w:val="0"/>
              <w:jc w:val="both"/>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Tema a tratar</w:t>
            </w:r>
          </w:p>
        </w:tc>
      </w:tr>
      <w:tr w:rsidR="003B4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0" w:type="dxa"/>
          </w:tcPr>
          <w:p w:rsidR="003B4C8C" w:rsidRDefault="0048066C" w:rsidP="00CF4D17">
            <w:pPr>
              <w:contextualSpacing w:val="0"/>
              <w:rPr>
                <w:rFonts w:ascii="Times New Roman" w:eastAsia="Times New Roman" w:hAnsi="Times New Roman" w:cs="Times New Roman"/>
              </w:rPr>
            </w:pPr>
            <w:r>
              <w:rPr>
                <w:rFonts w:ascii="Times New Roman" w:eastAsia="Times New Roman" w:hAnsi="Times New Roman" w:cs="Times New Roman"/>
              </w:rPr>
              <w:t>4 a</w:t>
            </w:r>
            <w:r w:rsidR="00DD5932">
              <w:rPr>
                <w:rFonts w:ascii="Times New Roman" w:eastAsia="Times New Roman" w:hAnsi="Times New Roman" w:cs="Times New Roman"/>
              </w:rPr>
              <w:t>bril, 17:3</w:t>
            </w:r>
            <w:r w:rsidR="00CF4D17">
              <w:rPr>
                <w:rFonts w:ascii="Times New Roman" w:eastAsia="Times New Roman" w:hAnsi="Times New Roman" w:cs="Times New Roman"/>
              </w:rPr>
              <w:t xml:space="preserve">0 </w:t>
            </w:r>
            <w:r w:rsidR="00DD5932">
              <w:rPr>
                <w:rFonts w:ascii="Times New Roman" w:eastAsia="Times New Roman" w:hAnsi="Times New Roman" w:cs="Times New Roman"/>
              </w:rPr>
              <w:t>a 20:00, Sala 330</w:t>
            </w:r>
            <w:r w:rsidR="00913041">
              <w:rPr>
                <w:rFonts w:ascii="Times New Roman" w:eastAsia="Times New Roman" w:hAnsi="Times New Roman" w:cs="Times New Roman"/>
              </w:rPr>
              <w:t xml:space="preserve">, </w:t>
            </w:r>
            <w:r w:rsidR="00DD5932">
              <w:rPr>
                <w:rFonts w:ascii="Times New Roman" w:eastAsia="Times New Roman" w:hAnsi="Times New Roman" w:cs="Times New Roman"/>
              </w:rPr>
              <w:t>Valparaíso</w:t>
            </w:r>
          </w:p>
          <w:p w:rsidR="00CF4D17" w:rsidRDefault="00CF4D17" w:rsidP="00CF4D17">
            <w:pPr>
              <w:contextualSpacing w:val="0"/>
              <w:rPr>
                <w:rFonts w:ascii="Times New Roman" w:eastAsia="Times New Roman" w:hAnsi="Times New Roman" w:cs="Times New Roman"/>
              </w:rPr>
            </w:pPr>
          </w:p>
          <w:p w:rsidR="00CF4D17" w:rsidRDefault="00CF4D17" w:rsidP="00CF4D17">
            <w:pPr>
              <w:contextualSpacing w:val="0"/>
              <w:rPr>
                <w:rFonts w:ascii="Times New Roman" w:eastAsia="Times New Roman" w:hAnsi="Times New Roman" w:cs="Times New Roman"/>
              </w:rPr>
            </w:pPr>
          </w:p>
          <w:p w:rsidR="00CF4D17" w:rsidRDefault="00CF4D17" w:rsidP="00DD5932"/>
        </w:tc>
        <w:tc>
          <w:tcPr>
            <w:tcW w:w="3137" w:type="dxa"/>
          </w:tcPr>
          <w:p w:rsidR="003B4C8C" w:rsidRPr="00F51AE1" w:rsidRDefault="00CF4D17">
            <w:pPr>
              <w:contextualSpacing w:val="0"/>
              <w:cnfStyle w:val="000000100000" w:firstRow="0" w:lastRow="0" w:firstColumn="0" w:lastColumn="0" w:oddVBand="0" w:evenVBand="0" w:oddHBand="1" w:evenHBand="0" w:firstRowFirstColumn="0" w:firstRowLastColumn="0" w:lastRowFirstColumn="0" w:lastRowLastColumn="0"/>
              <w:rPr>
                <w:color w:val="000000" w:themeColor="text1"/>
              </w:rPr>
            </w:pPr>
            <w:r w:rsidRPr="00F51AE1">
              <w:rPr>
                <w:rFonts w:ascii="Times New Roman" w:eastAsia="Times New Roman" w:hAnsi="Times New Roman" w:cs="Times New Roman"/>
                <w:color w:val="000000" w:themeColor="text1"/>
              </w:rPr>
              <w:t>Salud</w:t>
            </w:r>
          </w:p>
        </w:tc>
        <w:tc>
          <w:tcPr>
            <w:tcW w:w="6378" w:type="dxa"/>
          </w:tcPr>
          <w:p w:rsidR="00DD5932" w:rsidRPr="00DD5932" w:rsidRDefault="00DD5932" w:rsidP="00DD593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DD5932">
              <w:rPr>
                <w:rFonts w:ascii="Times New Roman" w:eastAsia="Times New Roman" w:hAnsi="Times New Roman" w:cs="Times New Roman"/>
                <w:color w:val="000000" w:themeColor="text1"/>
              </w:rPr>
              <w:t>1) Pronunciarse sobre el archivo de las iniciativas de ley en tabla, de conformidad a lo dispuesto en el artículo 18 del Reglamento.</w:t>
            </w:r>
          </w:p>
          <w:p w:rsidR="00DD5932" w:rsidRPr="00DD5932" w:rsidRDefault="00DD5932" w:rsidP="00DD593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p w:rsidR="003B4C8C" w:rsidRPr="00F51AE1" w:rsidRDefault="00DD5932" w:rsidP="00DD5932">
            <w:pPr>
              <w:contextualSpacing w:val="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DD5932">
              <w:rPr>
                <w:rFonts w:ascii="Times New Roman" w:eastAsia="Times New Roman" w:hAnsi="Times New Roman" w:cs="Times New Roman"/>
                <w:color w:val="000000" w:themeColor="text1"/>
              </w:rPr>
              <w:t xml:space="preserve">2) Continuar con la discusión del proyecto de ley, en segundo trámite constitucional que “Adecua la legislación nacional al estándar del Convenio Marco de la Organización Mundial de Salud para el control del </w:t>
            </w:r>
            <w:r>
              <w:rPr>
                <w:rFonts w:ascii="Times New Roman" w:eastAsia="Times New Roman" w:hAnsi="Times New Roman" w:cs="Times New Roman"/>
                <w:color w:val="000000" w:themeColor="text1"/>
              </w:rPr>
              <w:t xml:space="preserve">Tabaco”, </w:t>
            </w:r>
            <w:r w:rsidRPr="00DD5932">
              <w:rPr>
                <w:rFonts w:ascii="Times New Roman" w:eastAsia="Times New Roman" w:hAnsi="Times New Roman" w:cs="Times New Roman"/>
                <w:color w:val="FF0000"/>
              </w:rPr>
              <w:t xml:space="preserve">Boletín N° 8886-11 </w:t>
            </w:r>
          </w:p>
        </w:tc>
      </w:tr>
      <w:tr w:rsidR="00BE3A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0" w:type="dxa"/>
          </w:tcPr>
          <w:p w:rsidR="00BE3ADA" w:rsidRDefault="00DD5932" w:rsidP="00CF4D17">
            <w:pPr>
              <w:rPr>
                <w:rFonts w:ascii="Times New Roman" w:eastAsia="Times New Roman" w:hAnsi="Times New Roman" w:cs="Times New Roman"/>
              </w:rPr>
            </w:pPr>
            <w:r>
              <w:rPr>
                <w:rFonts w:ascii="Times New Roman" w:eastAsia="Times New Roman" w:hAnsi="Times New Roman" w:cs="Times New Roman"/>
              </w:rPr>
              <w:t>4 abril, 15:30 a 18:00</w:t>
            </w:r>
            <w:r w:rsidR="00251CE6">
              <w:rPr>
                <w:rFonts w:ascii="Times New Roman" w:eastAsia="Times New Roman" w:hAnsi="Times New Roman" w:cs="Times New Roman"/>
              </w:rPr>
              <w:t>, 15:30 a 18:00, Sala 313, Valparaíso</w:t>
            </w:r>
          </w:p>
        </w:tc>
        <w:tc>
          <w:tcPr>
            <w:tcW w:w="3137" w:type="dxa"/>
          </w:tcPr>
          <w:p w:rsidR="00BE3ADA" w:rsidRPr="00F51AE1" w:rsidRDefault="00BE3AD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rPr>
            </w:pPr>
            <w:r w:rsidRPr="00BE3ADA">
              <w:rPr>
                <w:rFonts w:ascii="Times New Roman" w:eastAsia="Times New Roman" w:hAnsi="Times New Roman" w:cs="Times New Roman"/>
                <w:color w:val="000000" w:themeColor="text1"/>
              </w:rPr>
              <w:t>Constitución, Legislación, Justicia Y Reglamento</w:t>
            </w:r>
          </w:p>
        </w:tc>
        <w:tc>
          <w:tcPr>
            <w:tcW w:w="6378" w:type="dxa"/>
          </w:tcPr>
          <w:p w:rsidR="00BE3ADA" w:rsidRDefault="00DD5932" w:rsidP="00DD5932">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rPr>
            </w:pPr>
            <w:r w:rsidRPr="00DD5932">
              <w:rPr>
                <w:rFonts w:ascii="Times New Roman" w:eastAsia="Times New Roman" w:hAnsi="Times New Roman" w:cs="Times New Roman"/>
                <w:color w:val="000000" w:themeColor="text1"/>
              </w:rPr>
              <w:t xml:space="preserve">Modifica la ley N°18.892, ley General de Pesca y Acuicultura, para garantizar la protección del fondo marino y extender el área reservada </w:t>
            </w:r>
            <w:r>
              <w:rPr>
                <w:rFonts w:ascii="Times New Roman" w:eastAsia="Times New Roman" w:hAnsi="Times New Roman" w:cs="Times New Roman"/>
                <w:color w:val="000000" w:themeColor="text1"/>
              </w:rPr>
              <w:t>a la pesca artesanal (</w:t>
            </w:r>
            <w:r w:rsidRPr="00DD5932">
              <w:rPr>
                <w:rFonts w:ascii="Times New Roman" w:eastAsia="Times New Roman" w:hAnsi="Times New Roman" w:cs="Times New Roman"/>
                <w:color w:val="000000" w:themeColor="text1"/>
              </w:rPr>
              <w:t>Boletín N°11007-21</w:t>
            </w:r>
            <w:r>
              <w:rPr>
                <w:rFonts w:ascii="Times New Roman" w:eastAsia="Times New Roman" w:hAnsi="Times New Roman" w:cs="Times New Roman"/>
                <w:color w:val="000000" w:themeColor="text1"/>
              </w:rPr>
              <w:t>)</w:t>
            </w:r>
          </w:p>
          <w:p w:rsidR="00DD5932" w:rsidRPr="00F51AE1" w:rsidRDefault="00DD5932" w:rsidP="00DD5932">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rPr>
            </w:pPr>
          </w:p>
        </w:tc>
      </w:tr>
      <w:tr w:rsidR="003B4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0" w:type="dxa"/>
          </w:tcPr>
          <w:p w:rsidR="003B4C8C" w:rsidRDefault="0048066C">
            <w:pPr>
              <w:contextualSpacing w:val="0"/>
            </w:pPr>
            <w:r>
              <w:rPr>
                <w:rFonts w:ascii="Times New Roman" w:eastAsia="Times New Roman" w:hAnsi="Times New Roman" w:cs="Times New Roman"/>
              </w:rPr>
              <w:t>4 abril</w:t>
            </w:r>
            <w:r w:rsidR="00CF4D17">
              <w:rPr>
                <w:rFonts w:ascii="Times New Roman" w:eastAsia="Times New Roman" w:hAnsi="Times New Roman" w:cs="Times New Roman"/>
              </w:rPr>
              <w:t>, 18:30 a 20:30</w:t>
            </w:r>
          </w:p>
          <w:p w:rsidR="003B4C8C" w:rsidRDefault="00CF4D17">
            <w:pPr>
              <w:contextualSpacing w:val="0"/>
            </w:pPr>
            <w:r>
              <w:rPr>
                <w:rFonts w:ascii="Times New Roman" w:eastAsia="Times New Roman" w:hAnsi="Times New Roman" w:cs="Times New Roman"/>
              </w:rPr>
              <w:t>Sala 213</w:t>
            </w:r>
            <w:r w:rsidR="00913041">
              <w:rPr>
                <w:rFonts w:ascii="Times New Roman" w:eastAsia="Times New Roman" w:hAnsi="Times New Roman" w:cs="Times New Roman"/>
              </w:rPr>
              <w:t>, Valparaíso</w:t>
            </w:r>
          </w:p>
          <w:p w:rsidR="003B4C8C" w:rsidRDefault="003B4C8C">
            <w:pPr>
              <w:contextualSpacing w:val="0"/>
            </w:pPr>
          </w:p>
        </w:tc>
        <w:tc>
          <w:tcPr>
            <w:tcW w:w="3137" w:type="dxa"/>
          </w:tcPr>
          <w:p w:rsidR="003B4C8C" w:rsidRPr="00F51AE1" w:rsidRDefault="00CF4D17">
            <w:pPr>
              <w:contextualSpacing w:val="0"/>
              <w:cnfStyle w:val="000000100000" w:firstRow="0" w:lastRow="0" w:firstColumn="0" w:lastColumn="0" w:oddVBand="0" w:evenVBand="0" w:oddHBand="1" w:evenHBand="0" w:firstRowFirstColumn="0" w:firstRowLastColumn="0" w:lastRowFirstColumn="0" w:lastRowLastColumn="0"/>
              <w:rPr>
                <w:color w:val="000000" w:themeColor="text1"/>
              </w:rPr>
            </w:pPr>
            <w:r w:rsidRPr="00F51AE1">
              <w:rPr>
                <w:rFonts w:ascii="Times New Roman" w:eastAsia="Times New Roman" w:hAnsi="Times New Roman" w:cs="Times New Roman"/>
                <w:color w:val="000000" w:themeColor="text1"/>
              </w:rPr>
              <w:t>Obras Públicas, Transportes y Telecomunicaciones</w:t>
            </w:r>
          </w:p>
        </w:tc>
        <w:tc>
          <w:tcPr>
            <w:tcW w:w="6378" w:type="dxa"/>
          </w:tcPr>
          <w:p w:rsidR="00CF4D17" w:rsidRPr="00F51AE1" w:rsidRDefault="00CF4D17" w:rsidP="00CF4D1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F51AE1">
              <w:rPr>
                <w:rFonts w:ascii="Times New Roman" w:eastAsia="Times New Roman" w:hAnsi="Times New Roman" w:cs="Times New Roman"/>
                <w:color w:val="000000" w:themeColor="text1"/>
              </w:rPr>
              <w:t>1) PL que modifica la ley de Tránsito y la ley N°18.287, con el fin de adoptar medidas de seguridad y control en lo relativo a los medios de pago del transporte público remunerado de pasajeros, establecer sanciones, crear un registro de pasajeros infractores y modificar normas procedimentales, boletín N° 10125-15. Segundo Trámite Constitucional. Urgencia Suma.</w:t>
            </w:r>
          </w:p>
          <w:p w:rsidR="00CF4D17" w:rsidRPr="00F51AE1" w:rsidRDefault="00CF4D17" w:rsidP="00CF4D1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p w:rsidR="00CF4D17" w:rsidRPr="00F51AE1" w:rsidRDefault="00CF4D17" w:rsidP="00CF4D1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F51AE1">
              <w:rPr>
                <w:rFonts w:ascii="Times New Roman" w:eastAsia="Times New Roman" w:hAnsi="Times New Roman" w:cs="Times New Roman"/>
                <w:color w:val="000000" w:themeColor="text1"/>
              </w:rPr>
              <w:t>2) PL iniciado en mensaje de S.E. la Presidenta de la República, que moderniza la legislación sobre transporte público remunerado, boletín N°10937-15. Urgencia Simple.</w:t>
            </w:r>
            <w:r w:rsidRPr="00F51AE1">
              <w:rPr>
                <w:rFonts w:ascii="Times New Roman" w:eastAsia="Times New Roman" w:hAnsi="Times New Roman" w:cs="Times New Roman"/>
                <w:color w:val="000000" w:themeColor="text1"/>
              </w:rPr>
              <w:tab/>
            </w:r>
          </w:p>
          <w:p w:rsidR="00CF4D17" w:rsidRPr="00F51AE1" w:rsidRDefault="00CF4D17" w:rsidP="00CF4D1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p w:rsidR="003B4C8C" w:rsidRDefault="00CF4D17" w:rsidP="00CF4D17">
            <w:pPr>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F51AE1">
              <w:rPr>
                <w:rFonts w:ascii="Times New Roman" w:eastAsia="Times New Roman" w:hAnsi="Times New Roman" w:cs="Times New Roman"/>
                <w:color w:val="000000" w:themeColor="text1"/>
              </w:rPr>
              <w:t>3) PL iniciado en mensaje de S.E. la Presidenta de la República, que modifica la ley N° 18.168, General de Telecomunicaciones, en materia de concesiones sobre el espectro radioeléctrico, permitiendo el desarrollo de un mercado secundario, boletín 9541-15. Urgencia Simple.</w:t>
            </w:r>
          </w:p>
          <w:p w:rsidR="0098042E" w:rsidRPr="00F51AE1" w:rsidRDefault="0098042E" w:rsidP="00CF4D17">
            <w:pPr>
              <w:contextualSpacing w:val="0"/>
              <w:jc w:val="both"/>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F4D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0" w:type="dxa"/>
          </w:tcPr>
          <w:p w:rsidR="00CF4D17" w:rsidRDefault="0048066C">
            <w:pPr>
              <w:rPr>
                <w:rFonts w:ascii="Times New Roman" w:eastAsia="Times New Roman" w:hAnsi="Times New Roman" w:cs="Times New Roman"/>
              </w:rPr>
            </w:pPr>
            <w:r>
              <w:rPr>
                <w:rFonts w:ascii="Times New Roman" w:eastAsia="Times New Roman" w:hAnsi="Times New Roman" w:cs="Times New Roman"/>
              </w:rPr>
              <w:t>5 abril</w:t>
            </w:r>
            <w:r w:rsidR="00CF4D17">
              <w:rPr>
                <w:rFonts w:ascii="Times New Roman" w:eastAsia="Times New Roman" w:hAnsi="Times New Roman" w:cs="Times New Roman"/>
              </w:rPr>
              <w:t>, 15:00 a 17:00, Sala 314, Valparaíso</w:t>
            </w:r>
          </w:p>
        </w:tc>
        <w:tc>
          <w:tcPr>
            <w:tcW w:w="3137" w:type="dxa"/>
          </w:tcPr>
          <w:p w:rsidR="00CF4D17" w:rsidRPr="00F51AE1" w:rsidRDefault="00CF4D1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rPr>
            </w:pPr>
            <w:r w:rsidRPr="00F51AE1">
              <w:rPr>
                <w:rFonts w:ascii="Times New Roman" w:eastAsia="Times New Roman" w:hAnsi="Times New Roman" w:cs="Times New Roman"/>
                <w:color w:val="000000" w:themeColor="text1"/>
              </w:rPr>
              <w:t>Minería y Energía</w:t>
            </w:r>
          </w:p>
        </w:tc>
        <w:tc>
          <w:tcPr>
            <w:tcW w:w="6378" w:type="dxa"/>
          </w:tcPr>
          <w:p w:rsidR="00CF4D17" w:rsidRDefault="00CF4D17" w:rsidP="00CF4D1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rPr>
            </w:pPr>
            <w:r w:rsidRPr="00F51AE1">
              <w:rPr>
                <w:rFonts w:ascii="Times New Roman" w:eastAsia="Times New Roman" w:hAnsi="Times New Roman" w:cs="Times New Roman"/>
                <w:color w:val="000000" w:themeColor="text1"/>
              </w:rPr>
              <w:t xml:space="preserve">PL que modifica la ley N° 19.300, de Bases Generales del Medio Ambiente, para someter el transporte, recepción, acopio y embarque de minerales al sistema de evaluación de impacto ambiental, y </w:t>
            </w:r>
            <w:r w:rsidRPr="00F51AE1">
              <w:rPr>
                <w:rFonts w:ascii="Times New Roman" w:eastAsia="Times New Roman" w:hAnsi="Times New Roman" w:cs="Times New Roman"/>
                <w:color w:val="000000" w:themeColor="text1"/>
              </w:rPr>
              <w:lastRenderedPageBreak/>
              <w:t>establece normas para el desarrollo de dichas actividades, correspondiente al boletín N° 10.629-12.</w:t>
            </w:r>
          </w:p>
          <w:p w:rsidR="0098042E" w:rsidRPr="00F51AE1" w:rsidRDefault="0098042E" w:rsidP="00CF4D1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rPr>
            </w:pPr>
          </w:p>
        </w:tc>
      </w:tr>
      <w:tr w:rsidR="00CF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0" w:type="dxa"/>
          </w:tcPr>
          <w:p w:rsidR="00CF4D17" w:rsidRDefault="0048066C">
            <w:pPr>
              <w:rPr>
                <w:rFonts w:ascii="Times New Roman" w:eastAsia="Times New Roman" w:hAnsi="Times New Roman" w:cs="Times New Roman"/>
              </w:rPr>
            </w:pPr>
            <w:r>
              <w:rPr>
                <w:rFonts w:ascii="Times New Roman" w:eastAsia="Times New Roman" w:hAnsi="Times New Roman" w:cs="Times New Roman"/>
              </w:rPr>
              <w:lastRenderedPageBreak/>
              <w:t>5 abril, 15:00 a 17:00, Sala 315</w:t>
            </w:r>
            <w:r w:rsidR="00CF4D17">
              <w:rPr>
                <w:rFonts w:ascii="Times New Roman" w:eastAsia="Times New Roman" w:hAnsi="Times New Roman" w:cs="Times New Roman"/>
              </w:rPr>
              <w:t>, Valparaíso</w:t>
            </w:r>
          </w:p>
        </w:tc>
        <w:tc>
          <w:tcPr>
            <w:tcW w:w="3137" w:type="dxa"/>
          </w:tcPr>
          <w:p w:rsidR="00CF4D17" w:rsidRPr="00F51AE1" w:rsidRDefault="00480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48066C">
              <w:rPr>
                <w:rFonts w:ascii="Times New Roman" w:eastAsia="Times New Roman" w:hAnsi="Times New Roman" w:cs="Times New Roman"/>
                <w:color w:val="000000" w:themeColor="text1"/>
              </w:rPr>
              <w:t>Medio Ambiente y Recursos Naturales</w:t>
            </w:r>
          </w:p>
        </w:tc>
        <w:tc>
          <w:tcPr>
            <w:tcW w:w="6378" w:type="dxa"/>
          </w:tcPr>
          <w:p w:rsidR="0048066C" w:rsidRPr="0048066C" w:rsidRDefault="0048066C" w:rsidP="0048066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48066C">
              <w:rPr>
                <w:rFonts w:ascii="Times New Roman" w:eastAsia="Times New Roman" w:hAnsi="Times New Roman" w:cs="Times New Roman"/>
                <w:color w:val="000000" w:themeColor="text1"/>
              </w:rPr>
              <w:t>1. Pronunciarse sobre el archivo de proyectos de ley de acuerdo a lo establecido en el artículo 18 del Reglamento. Se adjunta nómina.</w:t>
            </w:r>
            <w:r w:rsidRPr="0048066C">
              <w:rPr>
                <w:rFonts w:ascii="Times New Roman" w:eastAsia="Times New Roman" w:hAnsi="Times New Roman" w:cs="Times New Roman"/>
                <w:color w:val="000000" w:themeColor="text1"/>
              </w:rPr>
              <w:tab/>
            </w:r>
          </w:p>
          <w:p w:rsidR="0048066C" w:rsidRPr="0048066C" w:rsidRDefault="0048066C" w:rsidP="0048066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48066C">
              <w:rPr>
                <w:rFonts w:ascii="Times New Roman" w:eastAsia="Times New Roman" w:hAnsi="Times New Roman" w:cs="Times New Roman"/>
                <w:color w:val="000000" w:themeColor="text1"/>
              </w:rPr>
              <w:t>2.- Recibir al Ministro de Medio Ambiente, a fin de:</w:t>
            </w:r>
          </w:p>
          <w:p w:rsidR="0048066C" w:rsidRPr="0048066C" w:rsidRDefault="0048066C" w:rsidP="0048066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p w:rsidR="0048066C" w:rsidRPr="0048066C" w:rsidRDefault="0048066C" w:rsidP="0048066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48066C">
              <w:rPr>
                <w:rFonts w:ascii="Times New Roman" w:eastAsia="Times New Roman" w:hAnsi="Times New Roman" w:cs="Times New Roman"/>
                <w:color w:val="000000" w:themeColor="text1"/>
              </w:rPr>
              <w:t xml:space="preserve">a) Analizar el Reglamento de “Manejo Transfronterizo de Residuos” </w:t>
            </w:r>
          </w:p>
          <w:p w:rsidR="0048066C" w:rsidRPr="0048066C" w:rsidRDefault="0048066C" w:rsidP="0048066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48066C">
              <w:rPr>
                <w:rFonts w:ascii="Times New Roman" w:eastAsia="Times New Roman" w:hAnsi="Times New Roman" w:cs="Times New Roman"/>
                <w:color w:val="000000" w:themeColor="text1"/>
              </w:rPr>
              <w:t xml:space="preserve">b) Referirse a la creación de la Red de Parques de la Patagonia. </w:t>
            </w:r>
          </w:p>
          <w:p w:rsidR="0098042E" w:rsidRPr="00F51AE1" w:rsidRDefault="0048066C" w:rsidP="0048066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48066C">
              <w:rPr>
                <w:rFonts w:ascii="Times New Roman" w:eastAsia="Times New Roman" w:hAnsi="Times New Roman" w:cs="Times New Roman"/>
                <w:color w:val="000000" w:themeColor="text1"/>
              </w:rPr>
              <w:t>c) Planes de descontaminación aprobados y en tramitación, estado de tramitación de los mismos, con especial énfasis de los correspondientes a las ciudades del sur del país.</w:t>
            </w:r>
          </w:p>
        </w:tc>
      </w:tr>
      <w:tr w:rsidR="004806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0" w:type="dxa"/>
          </w:tcPr>
          <w:p w:rsidR="0048066C" w:rsidRDefault="00CB695E">
            <w:pPr>
              <w:rPr>
                <w:rFonts w:ascii="Times New Roman" w:eastAsia="Times New Roman" w:hAnsi="Times New Roman" w:cs="Times New Roman"/>
              </w:rPr>
            </w:pPr>
            <w:r>
              <w:rPr>
                <w:rFonts w:ascii="Times New Roman" w:eastAsia="Times New Roman" w:hAnsi="Times New Roman" w:cs="Times New Roman"/>
              </w:rPr>
              <w:t>5 abril, 17:15 a 19:15, Sala 312, Valparaíso</w:t>
            </w:r>
          </w:p>
        </w:tc>
        <w:tc>
          <w:tcPr>
            <w:tcW w:w="3137" w:type="dxa"/>
          </w:tcPr>
          <w:p w:rsidR="0048066C" w:rsidRPr="0048066C" w:rsidRDefault="00CB695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rPr>
            </w:pPr>
            <w:r w:rsidRPr="00CB695E">
              <w:rPr>
                <w:rFonts w:ascii="Times New Roman" w:eastAsia="Times New Roman" w:hAnsi="Times New Roman" w:cs="Times New Roman"/>
                <w:color w:val="000000" w:themeColor="text1"/>
              </w:rPr>
              <w:t>Zonas Extremas y Antártica Chilena</w:t>
            </w:r>
          </w:p>
        </w:tc>
        <w:tc>
          <w:tcPr>
            <w:tcW w:w="6378" w:type="dxa"/>
          </w:tcPr>
          <w:p w:rsidR="0048066C" w:rsidRPr="0048066C" w:rsidRDefault="0048066C" w:rsidP="0048066C">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rPr>
            </w:pPr>
            <w:r w:rsidRPr="0048066C">
              <w:rPr>
                <w:rFonts w:ascii="Times New Roman" w:eastAsia="Times New Roman" w:hAnsi="Times New Roman" w:cs="Times New Roman"/>
                <w:color w:val="000000" w:themeColor="text1"/>
              </w:rPr>
              <w:t xml:space="preserve">La sesión tiene por objeto recibir en audiencia al señor Aarón </w:t>
            </w:r>
            <w:proofErr w:type="spellStart"/>
            <w:r w:rsidRPr="0048066C">
              <w:rPr>
                <w:rFonts w:ascii="Times New Roman" w:eastAsia="Times New Roman" w:hAnsi="Times New Roman" w:cs="Times New Roman"/>
                <w:color w:val="000000" w:themeColor="text1"/>
              </w:rPr>
              <w:t>Cavieres</w:t>
            </w:r>
            <w:proofErr w:type="spellEnd"/>
            <w:r w:rsidRPr="0048066C">
              <w:rPr>
                <w:rFonts w:ascii="Times New Roman" w:eastAsia="Times New Roman" w:hAnsi="Times New Roman" w:cs="Times New Roman"/>
                <w:color w:val="000000" w:themeColor="text1"/>
              </w:rPr>
              <w:t xml:space="preserve"> </w:t>
            </w:r>
            <w:proofErr w:type="spellStart"/>
            <w:r w:rsidRPr="0048066C">
              <w:rPr>
                <w:rFonts w:ascii="Times New Roman" w:eastAsia="Times New Roman" w:hAnsi="Times New Roman" w:cs="Times New Roman"/>
                <w:color w:val="000000" w:themeColor="text1"/>
              </w:rPr>
              <w:t>Cancino</w:t>
            </w:r>
            <w:proofErr w:type="spellEnd"/>
            <w:r w:rsidRPr="0048066C">
              <w:rPr>
                <w:rFonts w:ascii="Times New Roman" w:eastAsia="Times New Roman" w:hAnsi="Times New Roman" w:cs="Times New Roman"/>
                <w:color w:val="000000" w:themeColor="text1"/>
              </w:rPr>
              <w:t xml:space="preserve">, Director Ejecutivo de la Corporación Nacional Forestal (CONAF), y al señor Leonel Quintana Vargas, Director Regional CONAF Arica y Parinacota, a fin de que se refieran a las acciones de resguardo y protección que dicha entidad ha desarrollado a fin de garantizar la debida protección de los parques nacionales y la conservación de su flora y fauna, en especial, respecto del Salar de </w:t>
            </w:r>
            <w:proofErr w:type="spellStart"/>
            <w:r w:rsidRPr="0048066C">
              <w:rPr>
                <w:rFonts w:ascii="Times New Roman" w:eastAsia="Times New Roman" w:hAnsi="Times New Roman" w:cs="Times New Roman"/>
                <w:color w:val="000000" w:themeColor="text1"/>
              </w:rPr>
              <w:t>Surire</w:t>
            </w:r>
            <w:proofErr w:type="spellEnd"/>
            <w:r w:rsidRPr="0048066C">
              <w:rPr>
                <w:rFonts w:ascii="Times New Roman" w:eastAsia="Times New Roman" w:hAnsi="Times New Roman" w:cs="Times New Roman"/>
                <w:color w:val="000000" w:themeColor="text1"/>
              </w:rPr>
              <w:t xml:space="preserve"> en la Región de Arica y Parinacota, y el Parque Nacional Torres del </w:t>
            </w:r>
            <w:proofErr w:type="spellStart"/>
            <w:r w:rsidRPr="0048066C">
              <w:rPr>
                <w:rFonts w:ascii="Times New Roman" w:eastAsia="Times New Roman" w:hAnsi="Times New Roman" w:cs="Times New Roman"/>
                <w:color w:val="000000" w:themeColor="text1"/>
              </w:rPr>
              <w:t>Paine</w:t>
            </w:r>
            <w:proofErr w:type="spellEnd"/>
            <w:r w:rsidRPr="0048066C">
              <w:rPr>
                <w:rFonts w:ascii="Times New Roman" w:eastAsia="Times New Roman" w:hAnsi="Times New Roman" w:cs="Times New Roman"/>
                <w:color w:val="000000" w:themeColor="text1"/>
              </w:rPr>
              <w:t>, en la Región de Magallanes y Antártica Chilena.</w:t>
            </w:r>
          </w:p>
        </w:tc>
      </w:tr>
    </w:tbl>
    <w:p w:rsidR="0098042E" w:rsidRDefault="0098042E">
      <w:pPr>
        <w:jc w:val="both"/>
      </w:pPr>
    </w:p>
    <w:p w:rsidR="003B4C8C" w:rsidRDefault="00913041">
      <w:pPr>
        <w:jc w:val="both"/>
      </w:pPr>
      <w:r>
        <w:rPr>
          <w:rFonts w:ascii="Times New Roman" w:eastAsia="Times New Roman" w:hAnsi="Times New Roman" w:cs="Times New Roman"/>
          <w:b/>
          <w:color w:val="538135"/>
        </w:rPr>
        <w:t>Tabla Cámara de Diputados</w:t>
      </w:r>
    </w:p>
    <w:tbl>
      <w:tblPr>
        <w:tblStyle w:val="a3"/>
        <w:tblW w:w="13271" w:type="dxa"/>
        <w:tblInd w:w="-4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593"/>
        <w:gridCol w:w="2560"/>
        <w:gridCol w:w="8118"/>
      </w:tblGrid>
      <w:tr w:rsidR="003B4C8C" w:rsidTr="00F51AE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93" w:type="dxa"/>
          </w:tcPr>
          <w:p w:rsidR="003B4C8C" w:rsidRDefault="003B4C8C">
            <w:pPr>
              <w:contextualSpacing w:val="0"/>
            </w:pPr>
          </w:p>
        </w:tc>
        <w:tc>
          <w:tcPr>
            <w:tcW w:w="2560" w:type="dxa"/>
          </w:tcPr>
          <w:p w:rsidR="003B4C8C" w:rsidRDefault="003B4C8C">
            <w:pPr>
              <w:contextualSpacing w:val="0"/>
              <w:cnfStyle w:val="100000000000" w:firstRow="1" w:lastRow="0" w:firstColumn="0" w:lastColumn="0" w:oddVBand="0" w:evenVBand="0" w:oddHBand="0" w:evenHBand="0" w:firstRowFirstColumn="0" w:firstRowLastColumn="0" w:lastRowFirstColumn="0" w:lastRowLastColumn="0"/>
            </w:pPr>
          </w:p>
        </w:tc>
        <w:tc>
          <w:tcPr>
            <w:tcW w:w="8118" w:type="dxa"/>
          </w:tcPr>
          <w:p w:rsidR="003B4C8C" w:rsidRDefault="003B4C8C">
            <w:pPr>
              <w:spacing w:line="276" w:lineRule="auto"/>
              <w:contextualSpacing w:val="0"/>
              <w:jc w:val="both"/>
              <w:cnfStyle w:val="100000000000" w:firstRow="1" w:lastRow="0" w:firstColumn="0" w:lastColumn="0" w:oddVBand="0" w:evenVBand="0" w:oddHBand="0" w:evenHBand="0" w:firstRowFirstColumn="0" w:firstRowLastColumn="0" w:lastRowFirstColumn="0" w:lastRowLastColumn="0"/>
            </w:pPr>
          </w:p>
        </w:tc>
      </w:tr>
      <w:tr w:rsidR="003B4C8C" w:rsidTr="00F5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rsidR="003B4C8C" w:rsidRDefault="00CB695E">
            <w:pPr>
              <w:contextualSpacing w:val="0"/>
            </w:pPr>
            <w:r>
              <w:rPr>
                <w:rFonts w:ascii="Times New Roman" w:eastAsia="Times New Roman" w:hAnsi="Times New Roman" w:cs="Times New Roman"/>
              </w:rPr>
              <w:t>4 Abril, 16:30 a 18:30</w:t>
            </w:r>
          </w:p>
        </w:tc>
        <w:tc>
          <w:tcPr>
            <w:tcW w:w="2560" w:type="dxa"/>
          </w:tcPr>
          <w:p w:rsidR="003B4C8C" w:rsidRPr="00F51AE1" w:rsidRDefault="00CB695E">
            <w:pPr>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eastAsia="Times New Roman" w:hAnsi="Times New Roman" w:cs="Times New Roman"/>
                <w:color w:val="000000" w:themeColor="text1"/>
              </w:rPr>
              <w:t>Sesión Especial</w:t>
            </w:r>
          </w:p>
        </w:tc>
        <w:tc>
          <w:tcPr>
            <w:tcW w:w="8118" w:type="dxa"/>
          </w:tcPr>
          <w:p w:rsidR="00CB695E" w:rsidRPr="00CB695E" w:rsidRDefault="00CB695E" w:rsidP="00CB69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B695E">
              <w:rPr>
                <w:rFonts w:ascii="Times New Roman" w:hAnsi="Times New Roman" w:cs="Times New Roman"/>
                <w:color w:val="000000" w:themeColor="text1"/>
              </w:rPr>
              <w:t>Objeto: “analizar las graves</w:t>
            </w:r>
            <w:r>
              <w:rPr>
                <w:rFonts w:ascii="Times New Roman" w:hAnsi="Times New Roman" w:cs="Times New Roman"/>
                <w:color w:val="000000" w:themeColor="text1"/>
              </w:rPr>
              <w:t xml:space="preserve"> denuncias de errores, vicios e </w:t>
            </w:r>
            <w:r w:rsidRPr="00CB695E">
              <w:rPr>
                <w:rFonts w:ascii="Times New Roman" w:hAnsi="Times New Roman" w:cs="Times New Roman"/>
                <w:color w:val="000000" w:themeColor="text1"/>
              </w:rPr>
              <w:t>irregularidades en el proceso de eva</w:t>
            </w:r>
            <w:r>
              <w:rPr>
                <w:rFonts w:ascii="Times New Roman" w:hAnsi="Times New Roman" w:cs="Times New Roman"/>
                <w:color w:val="000000" w:themeColor="text1"/>
              </w:rPr>
              <w:t xml:space="preserve">luación ambiental del </w:t>
            </w:r>
            <w:r w:rsidRPr="00CB695E">
              <w:rPr>
                <w:rFonts w:ascii="Times New Roman" w:hAnsi="Times New Roman" w:cs="Times New Roman"/>
                <w:color w:val="000000" w:themeColor="text1"/>
              </w:rPr>
              <w:t>proyecto minero denominado Dominga, en la región de</w:t>
            </w:r>
          </w:p>
          <w:p w:rsidR="00CB695E" w:rsidRPr="00CB695E" w:rsidRDefault="00CB695E" w:rsidP="00CB69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B695E">
              <w:rPr>
                <w:rFonts w:ascii="Times New Roman" w:hAnsi="Times New Roman" w:cs="Times New Roman"/>
                <w:color w:val="000000" w:themeColor="text1"/>
              </w:rPr>
              <w:t>Coquimbo.”.</w:t>
            </w:r>
          </w:p>
          <w:p w:rsidR="00CB695E" w:rsidRDefault="00CB695E" w:rsidP="00CB69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p w:rsidR="00CB695E" w:rsidRPr="00CB695E" w:rsidRDefault="00CB695E" w:rsidP="00CB69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B695E">
              <w:rPr>
                <w:rFonts w:ascii="Times New Roman" w:hAnsi="Times New Roman" w:cs="Times New Roman"/>
                <w:color w:val="000000" w:themeColor="text1"/>
              </w:rPr>
              <w:t xml:space="preserve">Invitados: la Ministra de </w:t>
            </w:r>
            <w:r>
              <w:rPr>
                <w:rFonts w:ascii="Times New Roman" w:hAnsi="Times New Roman" w:cs="Times New Roman"/>
                <w:color w:val="000000" w:themeColor="text1"/>
              </w:rPr>
              <w:t xml:space="preserve">Minería y el Ministro del Medio </w:t>
            </w:r>
            <w:r w:rsidRPr="00CB695E">
              <w:rPr>
                <w:rFonts w:ascii="Times New Roman" w:hAnsi="Times New Roman" w:cs="Times New Roman"/>
                <w:color w:val="000000" w:themeColor="text1"/>
              </w:rPr>
              <w:t>Ambiente, el Director Ejecu</w:t>
            </w:r>
            <w:r>
              <w:rPr>
                <w:rFonts w:ascii="Times New Roman" w:hAnsi="Times New Roman" w:cs="Times New Roman"/>
                <w:color w:val="000000" w:themeColor="text1"/>
              </w:rPr>
              <w:t xml:space="preserve">tivo de la Corporación Nacional </w:t>
            </w:r>
            <w:r w:rsidRPr="00CB695E">
              <w:rPr>
                <w:rFonts w:ascii="Times New Roman" w:hAnsi="Times New Roman" w:cs="Times New Roman"/>
                <w:color w:val="000000" w:themeColor="text1"/>
              </w:rPr>
              <w:t>Forestal y el Director Ejecutivo del Servicio de Evaluación</w:t>
            </w:r>
          </w:p>
          <w:p w:rsidR="0098042E" w:rsidRPr="00F51AE1" w:rsidRDefault="00CB695E" w:rsidP="00CB695E">
            <w:pPr>
              <w:spacing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B695E">
              <w:rPr>
                <w:rFonts w:ascii="Times New Roman" w:hAnsi="Times New Roman" w:cs="Times New Roman"/>
                <w:color w:val="000000" w:themeColor="text1"/>
              </w:rPr>
              <w:t>Ambiental.</w:t>
            </w:r>
          </w:p>
        </w:tc>
      </w:tr>
    </w:tbl>
    <w:p w:rsidR="003B4C8C" w:rsidRDefault="003B4C8C">
      <w:pPr>
        <w:jc w:val="both"/>
      </w:pPr>
      <w:bookmarkStart w:id="0" w:name="_GoBack"/>
      <w:bookmarkEnd w:id="0"/>
    </w:p>
    <w:sectPr w:rsidR="003B4C8C">
      <w:pgSz w:w="15840" w:h="12240"/>
      <w:pgMar w:top="1701" w:right="1417" w:bottom="1701" w:left="14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22622"/>
    <w:multiLevelType w:val="hybridMultilevel"/>
    <w:tmpl w:val="5C66362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BBF1E8D"/>
    <w:multiLevelType w:val="hybridMultilevel"/>
    <w:tmpl w:val="E79AB35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1822C16"/>
    <w:multiLevelType w:val="hybridMultilevel"/>
    <w:tmpl w:val="E806C50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2F946C3"/>
    <w:multiLevelType w:val="hybridMultilevel"/>
    <w:tmpl w:val="1328534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5896ABD"/>
    <w:multiLevelType w:val="hybridMultilevel"/>
    <w:tmpl w:val="9666475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CL" w:vendorID="64" w:dllVersion="6" w:nlCheck="1" w:checkStyle="0"/>
  <w:activeWritingStyle w:appName="MSWord" w:lang="es-CL" w:vendorID="64" w:dllVersion="0" w:nlCheck="1" w:checkStyle="0"/>
  <w:activeWritingStyle w:appName="MSWord" w:lang="es-CL"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8C"/>
    <w:rsid w:val="00035FB8"/>
    <w:rsid w:val="00251CE6"/>
    <w:rsid w:val="002C5625"/>
    <w:rsid w:val="003B4C8C"/>
    <w:rsid w:val="003C1CF9"/>
    <w:rsid w:val="004155E8"/>
    <w:rsid w:val="0048066C"/>
    <w:rsid w:val="00604C66"/>
    <w:rsid w:val="0075317E"/>
    <w:rsid w:val="007C5B43"/>
    <w:rsid w:val="008904B9"/>
    <w:rsid w:val="00903C70"/>
    <w:rsid w:val="00913041"/>
    <w:rsid w:val="00973EB7"/>
    <w:rsid w:val="0098042E"/>
    <w:rsid w:val="009954C1"/>
    <w:rsid w:val="009C0E91"/>
    <w:rsid w:val="00BA3C51"/>
    <w:rsid w:val="00BB757E"/>
    <w:rsid w:val="00BC5B4E"/>
    <w:rsid w:val="00BE3ADA"/>
    <w:rsid w:val="00BE76FE"/>
    <w:rsid w:val="00C14C71"/>
    <w:rsid w:val="00C56EA5"/>
    <w:rsid w:val="00CA314D"/>
    <w:rsid w:val="00CB695E"/>
    <w:rsid w:val="00CF4D17"/>
    <w:rsid w:val="00DD5932"/>
    <w:rsid w:val="00EA356D"/>
    <w:rsid w:val="00F51A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70E8C"/>
  <w15:docId w15:val="{62ADA2CC-7CAA-4365-892B-632CF3E2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contextualSpacing/>
    </w:pPr>
    <w:rPr>
      <w:color w:val="2F5496"/>
    </w:rPr>
    <w:tblPr>
      <w:tblStyleRowBandSize w:val="1"/>
      <w:tblStyleColBandSize w:val="1"/>
      <w:tblCellMar>
        <w:left w:w="115" w:type="dxa"/>
        <w:right w:w="115" w:type="dxa"/>
      </w:tblCellMar>
    </w:tblPr>
    <w:tcPr>
      <w:shd w:val="clear" w:color="auto" w:fill="E2EFD9"/>
    </w:tcPr>
    <w:tblStylePr w:type="firstRow">
      <w:pPr>
        <w:contextualSpacing/>
      </w:pPr>
      <w:rPr>
        <w:b/>
        <w:color w:val="FFFFFF"/>
      </w:rPr>
      <w:tblPr/>
      <w:tcPr>
        <w:tcBorders>
          <w:top w:val="single" w:sz="4" w:space="0" w:color="FFFFFF"/>
          <w:left w:val="single" w:sz="4" w:space="0" w:color="FFFFFF"/>
          <w:right w:val="single" w:sz="4" w:space="0" w:color="FFFFFF"/>
          <w:insideH w:val="nil"/>
          <w:insideV w:val="nil"/>
        </w:tcBorders>
        <w:shd w:val="clear" w:color="auto" w:fill="5B9BD5"/>
        <w:tcMar>
          <w:top w:w="0" w:type="nil"/>
          <w:left w:w="115" w:type="dxa"/>
          <w:bottom w:w="0" w:type="nil"/>
          <w:right w:w="115" w:type="dxa"/>
        </w:tcMar>
      </w:tcPr>
    </w:tblStylePr>
    <w:tblStylePr w:type="lastRow">
      <w:pPr>
        <w:contextualSpacing/>
      </w:pPr>
      <w:rPr>
        <w:b/>
        <w:color w:val="FFFFFF"/>
      </w:rPr>
      <w:tblPr/>
      <w:tcPr>
        <w:tcBorders>
          <w:left w:val="single" w:sz="4" w:space="0" w:color="FFFFFF"/>
          <w:bottom w:val="single" w:sz="4" w:space="0" w:color="FFFFFF"/>
          <w:right w:val="single" w:sz="4" w:space="0" w:color="FFFFFF"/>
          <w:insideH w:val="nil"/>
          <w:insideV w:val="nil"/>
        </w:tcBorders>
        <w:shd w:val="clear" w:color="auto" w:fill="5B9BD5"/>
        <w:tcMar>
          <w:top w:w="0" w:type="nil"/>
          <w:left w:w="115" w:type="dxa"/>
          <w:bottom w:w="0" w:type="nil"/>
          <w:right w:w="115" w:type="dxa"/>
        </w:tcMar>
      </w:tcPr>
    </w:tblStylePr>
    <w:tblStylePr w:type="firstCol">
      <w:pPr>
        <w:contextualSpacing/>
      </w:pPr>
      <w:rPr>
        <w:b/>
        <w:color w:val="FFFFFF"/>
      </w:rPr>
      <w:tblPr/>
      <w:tcPr>
        <w:tcBorders>
          <w:top w:val="single" w:sz="4" w:space="0" w:color="FFFFFF"/>
          <w:left w:val="single" w:sz="4" w:space="0" w:color="FFFFFF"/>
          <w:bottom w:val="single" w:sz="4" w:space="0" w:color="FFFFFF"/>
          <w:insideV w:val="nil"/>
        </w:tcBorders>
        <w:shd w:val="clear" w:color="auto" w:fill="5B9BD5"/>
        <w:tcMar>
          <w:top w:w="0" w:type="nil"/>
          <w:left w:w="115" w:type="dxa"/>
          <w:bottom w:w="0" w:type="nil"/>
          <w:right w:w="115" w:type="dxa"/>
        </w:tcMar>
      </w:tcPr>
    </w:tblStylePr>
    <w:tblStylePr w:type="lastCol">
      <w:pPr>
        <w:contextualSpacing/>
      </w:pPr>
      <w:rPr>
        <w:b/>
        <w:color w:val="FFFFFF"/>
      </w:rPr>
      <w:tblPr/>
      <w:tcPr>
        <w:tcBorders>
          <w:top w:val="single" w:sz="4" w:space="0" w:color="FFFFFF"/>
          <w:bottom w:val="single" w:sz="4" w:space="0" w:color="FFFFFF"/>
          <w:right w:val="single" w:sz="4" w:space="0" w:color="FFFFFF"/>
          <w:insideV w:val="nil"/>
        </w:tcBorders>
        <w:shd w:val="clear" w:color="auto" w:fill="5B9BD5"/>
        <w:tcMar>
          <w:top w:w="0" w:type="nil"/>
          <w:left w:w="115" w:type="dxa"/>
          <w:bottom w:w="0" w:type="nil"/>
          <w:right w:w="115" w:type="dxa"/>
        </w:tcMar>
      </w:tcPr>
    </w:tblStylePr>
    <w:tblStylePr w:type="band1Vert">
      <w:pPr>
        <w:contextualSpacing/>
      </w:pPr>
      <w:tblPr/>
      <w:tcPr>
        <w:shd w:val="clear" w:color="auto" w:fill="BDD6EE"/>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shd w:val="clear" w:color="auto" w:fill="BDD6EE"/>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spacing w:after="0" w:line="240" w:lineRule="auto"/>
      <w:contextualSpacing/>
    </w:pPr>
    <w:rPr>
      <w:color w:val="2F5496"/>
    </w:rPr>
    <w:tblPr>
      <w:tblStyleRowBandSize w:val="1"/>
      <w:tblStyleColBandSize w:val="1"/>
      <w:tblCellMar>
        <w:left w:w="115" w:type="dxa"/>
        <w:right w:w="115" w:type="dxa"/>
      </w:tblCellMar>
    </w:tblPr>
    <w:tcPr>
      <w:shd w:val="clear" w:color="auto" w:fill="E2EFD9"/>
    </w:tcPr>
    <w:tblStylePr w:type="firstRow">
      <w:pPr>
        <w:contextualSpacing/>
      </w:pPr>
      <w:rPr>
        <w:b/>
        <w:color w:val="FFFFFF"/>
      </w:rPr>
      <w:tblPr/>
      <w:tcPr>
        <w:tcBorders>
          <w:top w:val="single" w:sz="4" w:space="0" w:color="FFFFFF"/>
          <w:left w:val="single" w:sz="4" w:space="0" w:color="FFFFFF"/>
          <w:right w:val="single" w:sz="4" w:space="0" w:color="FFFFFF"/>
          <w:insideH w:val="nil"/>
          <w:insideV w:val="nil"/>
        </w:tcBorders>
        <w:shd w:val="clear" w:color="auto" w:fill="5B9BD5"/>
        <w:tcMar>
          <w:top w:w="0" w:type="nil"/>
          <w:left w:w="115" w:type="dxa"/>
          <w:bottom w:w="0" w:type="nil"/>
          <w:right w:w="115" w:type="dxa"/>
        </w:tcMar>
      </w:tcPr>
    </w:tblStylePr>
    <w:tblStylePr w:type="lastRow">
      <w:pPr>
        <w:contextualSpacing/>
      </w:pPr>
      <w:rPr>
        <w:b/>
        <w:color w:val="FFFFFF"/>
      </w:rPr>
      <w:tblPr/>
      <w:tcPr>
        <w:tcBorders>
          <w:left w:val="single" w:sz="4" w:space="0" w:color="FFFFFF"/>
          <w:bottom w:val="single" w:sz="4" w:space="0" w:color="FFFFFF"/>
          <w:right w:val="single" w:sz="4" w:space="0" w:color="FFFFFF"/>
          <w:insideH w:val="nil"/>
          <w:insideV w:val="nil"/>
        </w:tcBorders>
        <w:shd w:val="clear" w:color="auto" w:fill="5B9BD5"/>
        <w:tcMar>
          <w:top w:w="0" w:type="nil"/>
          <w:left w:w="115" w:type="dxa"/>
          <w:bottom w:w="0" w:type="nil"/>
          <w:right w:w="115" w:type="dxa"/>
        </w:tcMar>
      </w:tcPr>
    </w:tblStylePr>
    <w:tblStylePr w:type="firstCol">
      <w:pPr>
        <w:contextualSpacing/>
      </w:pPr>
      <w:rPr>
        <w:b/>
        <w:color w:val="FFFFFF"/>
      </w:rPr>
      <w:tblPr/>
      <w:tcPr>
        <w:tcBorders>
          <w:top w:val="single" w:sz="4" w:space="0" w:color="FFFFFF"/>
          <w:left w:val="single" w:sz="4" w:space="0" w:color="FFFFFF"/>
          <w:bottom w:val="single" w:sz="4" w:space="0" w:color="FFFFFF"/>
          <w:insideV w:val="nil"/>
        </w:tcBorders>
        <w:shd w:val="clear" w:color="auto" w:fill="5B9BD5"/>
        <w:tcMar>
          <w:top w:w="0" w:type="nil"/>
          <w:left w:w="115" w:type="dxa"/>
          <w:bottom w:w="0" w:type="nil"/>
          <w:right w:w="115" w:type="dxa"/>
        </w:tcMar>
      </w:tcPr>
    </w:tblStylePr>
    <w:tblStylePr w:type="lastCol">
      <w:pPr>
        <w:contextualSpacing/>
      </w:pPr>
      <w:rPr>
        <w:b/>
        <w:color w:val="FFFFFF"/>
      </w:rPr>
      <w:tblPr/>
      <w:tcPr>
        <w:tcBorders>
          <w:top w:val="single" w:sz="4" w:space="0" w:color="FFFFFF"/>
          <w:bottom w:val="single" w:sz="4" w:space="0" w:color="FFFFFF"/>
          <w:right w:val="single" w:sz="4" w:space="0" w:color="FFFFFF"/>
          <w:insideV w:val="nil"/>
        </w:tcBorders>
        <w:shd w:val="clear" w:color="auto" w:fill="5B9BD5"/>
        <w:tcMar>
          <w:top w:w="0" w:type="nil"/>
          <w:left w:w="115" w:type="dxa"/>
          <w:bottom w:w="0" w:type="nil"/>
          <w:right w:w="115" w:type="dxa"/>
        </w:tcMar>
      </w:tcPr>
    </w:tblStylePr>
    <w:tblStylePr w:type="band1Vert">
      <w:pPr>
        <w:contextualSpacing/>
      </w:pPr>
      <w:tblPr/>
      <w:tcPr>
        <w:shd w:val="clear" w:color="auto" w:fill="BDD6EE"/>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shd w:val="clear" w:color="auto" w:fill="BDD6EE"/>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spacing w:after="0" w:line="240" w:lineRule="auto"/>
      <w:contextualSpacing/>
    </w:pPr>
    <w:rPr>
      <w:color w:val="2F5496"/>
    </w:rPr>
    <w:tblPr>
      <w:tblStyleRowBandSize w:val="1"/>
      <w:tblStyleColBandSize w:val="1"/>
      <w:tblCellMar>
        <w:left w:w="115" w:type="dxa"/>
        <w:right w:w="115" w:type="dxa"/>
      </w:tblCellMar>
    </w:tblPr>
    <w:tcPr>
      <w:shd w:val="clear" w:color="auto" w:fill="E2EFD9"/>
    </w:tcPr>
    <w:tblStylePr w:type="firstRow">
      <w:pPr>
        <w:contextualSpacing/>
      </w:pPr>
      <w:rPr>
        <w:b/>
        <w:color w:val="FFFFFF"/>
      </w:rPr>
      <w:tblPr/>
      <w:tcPr>
        <w:tcBorders>
          <w:top w:val="single" w:sz="4" w:space="0" w:color="FFFFFF"/>
          <w:left w:val="single" w:sz="4" w:space="0" w:color="FFFFFF"/>
          <w:right w:val="single" w:sz="4" w:space="0" w:color="FFFFFF"/>
          <w:insideH w:val="nil"/>
          <w:insideV w:val="nil"/>
        </w:tcBorders>
        <w:shd w:val="clear" w:color="auto" w:fill="5B9BD5"/>
        <w:tcMar>
          <w:top w:w="0" w:type="nil"/>
          <w:left w:w="115" w:type="dxa"/>
          <w:bottom w:w="0" w:type="nil"/>
          <w:right w:w="115" w:type="dxa"/>
        </w:tcMar>
      </w:tcPr>
    </w:tblStylePr>
    <w:tblStylePr w:type="lastRow">
      <w:pPr>
        <w:contextualSpacing/>
      </w:pPr>
      <w:rPr>
        <w:b/>
        <w:color w:val="FFFFFF"/>
      </w:rPr>
      <w:tblPr/>
      <w:tcPr>
        <w:tcBorders>
          <w:left w:val="single" w:sz="4" w:space="0" w:color="FFFFFF"/>
          <w:bottom w:val="single" w:sz="4" w:space="0" w:color="FFFFFF"/>
          <w:right w:val="single" w:sz="4" w:space="0" w:color="FFFFFF"/>
          <w:insideH w:val="nil"/>
          <w:insideV w:val="nil"/>
        </w:tcBorders>
        <w:shd w:val="clear" w:color="auto" w:fill="5B9BD5"/>
        <w:tcMar>
          <w:top w:w="0" w:type="nil"/>
          <w:left w:w="115" w:type="dxa"/>
          <w:bottom w:w="0" w:type="nil"/>
          <w:right w:w="115" w:type="dxa"/>
        </w:tcMar>
      </w:tcPr>
    </w:tblStylePr>
    <w:tblStylePr w:type="firstCol">
      <w:pPr>
        <w:contextualSpacing/>
      </w:pPr>
      <w:rPr>
        <w:b/>
        <w:color w:val="FFFFFF"/>
      </w:rPr>
      <w:tblPr/>
      <w:tcPr>
        <w:tcBorders>
          <w:top w:val="single" w:sz="4" w:space="0" w:color="FFFFFF"/>
          <w:left w:val="single" w:sz="4" w:space="0" w:color="FFFFFF"/>
          <w:bottom w:val="single" w:sz="4" w:space="0" w:color="FFFFFF"/>
          <w:insideV w:val="nil"/>
        </w:tcBorders>
        <w:shd w:val="clear" w:color="auto" w:fill="5B9BD5"/>
        <w:tcMar>
          <w:top w:w="0" w:type="nil"/>
          <w:left w:w="115" w:type="dxa"/>
          <w:bottom w:w="0" w:type="nil"/>
          <w:right w:w="115" w:type="dxa"/>
        </w:tcMar>
      </w:tcPr>
    </w:tblStylePr>
    <w:tblStylePr w:type="lastCol">
      <w:pPr>
        <w:contextualSpacing/>
      </w:pPr>
      <w:rPr>
        <w:b/>
        <w:color w:val="FFFFFF"/>
      </w:rPr>
      <w:tblPr/>
      <w:tcPr>
        <w:tcBorders>
          <w:top w:val="single" w:sz="4" w:space="0" w:color="FFFFFF"/>
          <w:bottom w:val="single" w:sz="4" w:space="0" w:color="FFFFFF"/>
          <w:right w:val="single" w:sz="4" w:space="0" w:color="FFFFFF"/>
          <w:insideV w:val="nil"/>
        </w:tcBorders>
        <w:shd w:val="clear" w:color="auto" w:fill="5B9BD5"/>
        <w:tcMar>
          <w:top w:w="0" w:type="nil"/>
          <w:left w:w="115" w:type="dxa"/>
          <w:bottom w:w="0" w:type="nil"/>
          <w:right w:w="115" w:type="dxa"/>
        </w:tcMar>
      </w:tcPr>
    </w:tblStylePr>
    <w:tblStylePr w:type="band1Vert">
      <w:pPr>
        <w:contextualSpacing/>
      </w:pPr>
      <w:tblPr/>
      <w:tcPr>
        <w:shd w:val="clear" w:color="auto" w:fill="BDD6EE"/>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shd w:val="clear" w:color="auto" w:fill="BDD6EE"/>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pPr>
      <w:spacing w:after="0" w:line="240" w:lineRule="auto"/>
      <w:contextualSpacing/>
    </w:pPr>
    <w:rPr>
      <w:color w:val="2F5496"/>
    </w:rPr>
    <w:tblPr>
      <w:tblStyleRowBandSize w:val="1"/>
      <w:tblStyleColBandSize w:val="1"/>
      <w:tblCellMar>
        <w:left w:w="115" w:type="dxa"/>
        <w:right w:w="115" w:type="dxa"/>
      </w:tblCellMar>
    </w:tblPr>
    <w:tcPr>
      <w:shd w:val="clear" w:color="auto" w:fill="E2EFD9"/>
    </w:tcPr>
    <w:tblStylePr w:type="firstRow">
      <w:pPr>
        <w:contextualSpacing/>
      </w:pPr>
      <w:rPr>
        <w:b/>
        <w:color w:val="FFFFFF"/>
      </w:rPr>
      <w:tblPr/>
      <w:tcPr>
        <w:tcBorders>
          <w:top w:val="single" w:sz="4" w:space="0" w:color="FFFFFF"/>
          <w:left w:val="single" w:sz="4" w:space="0" w:color="FFFFFF"/>
          <w:right w:val="single" w:sz="4" w:space="0" w:color="FFFFFF"/>
          <w:insideH w:val="nil"/>
          <w:insideV w:val="nil"/>
        </w:tcBorders>
        <w:shd w:val="clear" w:color="auto" w:fill="70AD47"/>
        <w:tcMar>
          <w:top w:w="0" w:type="nil"/>
          <w:left w:w="115" w:type="dxa"/>
          <w:bottom w:w="0" w:type="nil"/>
          <w:right w:w="115" w:type="dxa"/>
        </w:tcMar>
      </w:tcPr>
    </w:tblStylePr>
    <w:tblStylePr w:type="lastRow">
      <w:pPr>
        <w:contextualSpacing/>
      </w:pPr>
      <w:rPr>
        <w:b/>
        <w:color w:val="FFFFFF"/>
      </w:rPr>
      <w:tblPr/>
      <w:tcPr>
        <w:tcBorders>
          <w:left w:val="single" w:sz="4" w:space="0" w:color="FFFFFF"/>
          <w:bottom w:val="single" w:sz="4" w:space="0" w:color="FFFFFF"/>
          <w:right w:val="single" w:sz="4" w:space="0" w:color="FFFFFF"/>
          <w:insideH w:val="nil"/>
          <w:insideV w:val="nil"/>
        </w:tcBorders>
        <w:shd w:val="clear" w:color="auto" w:fill="70AD47"/>
        <w:tcMar>
          <w:top w:w="0" w:type="nil"/>
          <w:left w:w="115" w:type="dxa"/>
          <w:bottom w:w="0" w:type="nil"/>
          <w:right w:w="115" w:type="dxa"/>
        </w:tcMar>
      </w:tcPr>
    </w:tblStylePr>
    <w:tblStylePr w:type="firstCol">
      <w:pPr>
        <w:contextualSpacing/>
      </w:pPr>
      <w:rPr>
        <w:b/>
        <w:color w:val="FFFFFF"/>
      </w:rPr>
      <w:tblPr/>
      <w:tcPr>
        <w:tcBorders>
          <w:top w:val="single" w:sz="4" w:space="0" w:color="FFFFFF"/>
          <w:left w:val="single" w:sz="4" w:space="0" w:color="FFFFFF"/>
          <w:bottom w:val="single" w:sz="4" w:space="0" w:color="FFFFFF"/>
          <w:insideV w:val="nil"/>
        </w:tcBorders>
        <w:shd w:val="clear" w:color="auto" w:fill="70AD47"/>
        <w:tcMar>
          <w:top w:w="0" w:type="nil"/>
          <w:left w:w="115" w:type="dxa"/>
          <w:bottom w:w="0" w:type="nil"/>
          <w:right w:w="115" w:type="dxa"/>
        </w:tcMar>
      </w:tcPr>
    </w:tblStylePr>
    <w:tblStylePr w:type="lastCol">
      <w:pPr>
        <w:contextualSpacing/>
      </w:pPr>
      <w:rPr>
        <w:b/>
        <w:color w:val="FFFFFF"/>
      </w:rPr>
      <w:tblPr/>
      <w:tcPr>
        <w:tcBorders>
          <w:top w:val="single" w:sz="4" w:space="0" w:color="FFFFFF"/>
          <w:bottom w:val="single" w:sz="4" w:space="0" w:color="FFFFFF"/>
          <w:right w:val="single" w:sz="4" w:space="0" w:color="FFFFFF"/>
          <w:insideV w:val="nil"/>
        </w:tcBorders>
        <w:shd w:val="clear" w:color="auto" w:fill="70AD47"/>
        <w:tcMar>
          <w:top w:w="0" w:type="nil"/>
          <w:left w:w="115" w:type="dxa"/>
          <w:bottom w:w="0" w:type="nil"/>
          <w:right w:w="115" w:type="dxa"/>
        </w:tcMar>
      </w:tcPr>
    </w:tblStylePr>
    <w:tblStylePr w:type="band1Vert">
      <w:pPr>
        <w:contextualSpacing/>
      </w:pPr>
      <w:tblPr/>
      <w:tcPr>
        <w:shd w:val="clear" w:color="auto" w:fill="C5E0B3"/>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shd w:val="clear" w:color="auto" w:fill="C5E0B3"/>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pPr>
      <w:spacing w:after="0" w:line="240" w:lineRule="auto"/>
      <w:contextualSpacing/>
    </w:pPr>
    <w:rPr>
      <w:color w:val="2F5496"/>
    </w:rPr>
    <w:tblPr>
      <w:tblStyleRowBandSize w:val="1"/>
      <w:tblStyleColBandSize w:val="1"/>
      <w:tblCellMar>
        <w:left w:w="115" w:type="dxa"/>
        <w:right w:w="115" w:type="dxa"/>
      </w:tblCellMar>
    </w:tblPr>
    <w:tcPr>
      <w:shd w:val="clear" w:color="auto" w:fill="E2EFD9"/>
    </w:tcPr>
    <w:tblStylePr w:type="firstRow">
      <w:pPr>
        <w:contextualSpacing/>
      </w:pPr>
      <w:rPr>
        <w:b/>
        <w:color w:val="FFFFFF"/>
      </w:rPr>
      <w:tblPr/>
      <w:tcPr>
        <w:tcBorders>
          <w:top w:val="single" w:sz="4" w:space="0" w:color="FFFFFF"/>
          <w:left w:val="single" w:sz="4" w:space="0" w:color="FFFFFF"/>
          <w:right w:val="single" w:sz="4" w:space="0" w:color="FFFFFF"/>
          <w:insideH w:val="nil"/>
          <w:insideV w:val="nil"/>
        </w:tcBorders>
        <w:shd w:val="clear" w:color="auto" w:fill="70AD47"/>
        <w:tcMar>
          <w:top w:w="0" w:type="nil"/>
          <w:left w:w="115" w:type="dxa"/>
          <w:bottom w:w="0" w:type="nil"/>
          <w:right w:w="115" w:type="dxa"/>
        </w:tcMar>
      </w:tcPr>
    </w:tblStylePr>
    <w:tblStylePr w:type="lastRow">
      <w:pPr>
        <w:contextualSpacing/>
      </w:pPr>
      <w:rPr>
        <w:b/>
        <w:color w:val="FFFFFF"/>
      </w:rPr>
      <w:tblPr/>
      <w:tcPr>
        <w:tcBorders>
          <w:left w:val="single" w:sz="4" w:space="0" w:color="FFFFFF"/>
          <w:bottom w:val="single" w:sz="4" w:space="0" w:color="FFFFFF"/>
          <w:right w:val="single" w:sz="4" w:space="0" w:color="FFFFFF"/>
          <w:insideH w:val="nil"/>
          <w:insideV w:val="nil"/>
        </w:tcBorders>
        <w:shd w:val="clear" w:color="auto" w:fill="70AD47"/>
        <w:tcMar>
          <w:top w:w="0" w:type="nil"/>
          <w:left w:w="115" w:type="dxa"/>
          <w:bottom w:w="0" w:type="nil"/>
          <w:right w:w="115" w:type="dxa"/>
        </w:tcMar>
      </w:tcPr>
    </w:tblStylePr>
    <w:tblStylePr w:type="firstCol">
      <w:pPr>
        <w:contextualSpacing/>
      </w:pPr>
      <w:rPr>
        <w:b/>
        <w:color w:val="FFFFFF"/>
      </w:rPr>
      <w:tblPr/>
      <w:tcPr>
        <w:tcBorders>
          <w:top w:val="single" w:sz="4" w:space="0" w:color="FFFFFF"/>
          <w:left w:val="single" w:sz="4" w:space="0" w:color="FFFFFF"/>
          <w:bottom w:val="single" w:sz="4" w:space="0" w:color="FFFFFF"/>
          <w:insideV w:val="nil"/>
        </w:tcBorders>
        <w:shd w:val="clear" w:color="auto" w:fill="70AD47"/>
        <w:tcMar>
          <w:top w:w="0" w:type="nil"/>
          <w:left w:w="115" w:type="dxa"/>
          <w:bottom w:w="0" w:type="nil"/>
          <w:right w:w="115" w:type="dxa"/>
        </w:tcMar>
      </w:tcPr>
    </w:tblStylePr>
    <w:tblStylePr w:type="lastCol">
      <w:pPr>
        <w:contextualSpacing/>
      </w:pPr>
      <w:rPr>
        <w:b/>
        <w:color w:val="FFFFFF"/>
      </w:rPr>
      <w:tblPr/>
      <w:tcPr>
        <w:tcBorders>
          <w:top w:val="single" w:sz="4" w:space="0" w:color="FFFFFF"/>
          <w:bottom w:val="single" w:sz="4" w:space="0" w:color="FFFFFF"/>
          <w:right w:val="single" w:sz="4" w:space="0" w:color="FFFFFF"/>
          <w:insideV w:val="nil"/>
        </w:tcBorders>
        <w:shd w:val="clear" w:color="auto" w:fill="70AD47"/>
        <w:tcMar>
          <w:top w:w="0" w:type="nil"/>
          <w:left w:w="115" w:type="dxa"/>
          <w:bottom w:w="0" w:type="nil"/>
          <w:right w:w="115" w:type="dxa"/>
        </w:tcMar>
      </w:tcPr>
    </w:tblStylePr>
    <w:tblStylePr w:type="band1Vert">
      <w:pPr>
        <w:contextualSpacing/>
      </w:pPr>
      <w:tblPr/>
      <w:tcPr>
        <w:shd w:val="clear" w:color="auto" w:fill="C5E0B3"/>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shd w:val="clear" w:color="auto" w:fill="C5E0B3"/>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Prrafodelista">
    <w:name w:val="List Paragraph"/>
    <w:basedOn w:val="Normal"/>
    <w:uiPriority w:val="34"/>
    <w:qFormat/>
    <w:rsid w:val="00BA3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316303">
      <w:bodyDiv w:val="1"/>
      <w:marLeft w:val="0"/>
      <w:marRight w:val="0"/>
      <w:marTop w:val="0"/>
      <w:marBottom w:val="0"/>
      <w:divBdr>
        <w:top w:val="none" w:sz="0" w:space="0" w:color="auto"/>
        <w:left w:val="none" w:sz="0" w:space="0" w:color="auto"/>
        <w:bottom w:val="none" w:sz="0" w:space="0" w:color="auto"/>
        <w:right w:val="none" w:sz="0" w:space="0" w:color="auto"/>
      </w:divBdr>
    </w:div>
    <w:div w:id="1476608518">
      <w:bodyDiv w:val="1"/>
      <w:marLeft w:val="0"/>
      <w:marRight w:val="0"/>
      <w:marTop w:val="0"/>
      <w:marBottom w:val="0"/>
      <w:divBdr>
        <w:top w:val="none" w:sz="0" w:space="0" w:color="auto"/>
        <w:left w:val="none" w:sz="0" w:space="0" w:color="auto"/>
        <w:bottom w:val="none" w:sz="0" w:space="0" w:color="auto"/>
        <w:right w:val="none" w:sz="0" w:space="0" w:color="auto"/>
      </w:divBdr>
    </w:div>
    <w:div w:id="1523124334">
      <w:bodyDiv w:val="1"/>
      <w:marLeft w:val="0"/>
      <w:marRight w:val="0"/>
      <w:marTop w:val="0"/>
      <w:marBottom w:val="0"/>
      <w:divBdr>
        <w:top w:val="none" w:sz="0" w:space="0" w:color="auto"/>
        <w:left w:val="none" w:sz="0" w:space="0" w:color="auto"/>
        <w:bottom w:val="none" w:sz="0" w:space="0" w:color="auto"/>
        <w:right w:val="none" w:sz="0" w:space="0" w:color="auto"/>
      </w:divBdr>
    </w:div>
    <w:div w:id="1548955445">
      <w:bodyDiv w:val="1"/>
      <w:marLeft w:val="0"/>
      <w:marRight w:val="0"/>
      <w:marTop w:val="0"/>
      <w:marBottom w:val="0"/>
      <w:divBdr>
        <w:top w:val="none" w:sz="0" w:space="0" w:color="auto"/>
        <w:left w:val="none" w:sz="0" w:space="0" w:color="auto"/>
        <w:bottom w:val="none" w:sz="0" w:space="0" w:color="auto"/>
        <w:right w:val="none" w:sz="0" w:space="0" w:color="auto"/>
      </w:divBdr>
    </w:div>
    <w:div w:id="1732267419">
      <w:bodyDiv w:val="1"/>
      <w:marLeft w:val="0"/>
      <w:marRight w:val="0"/>
      <w:marTop w:val="0"/>
      <w:marBottom w:val="0"/>
      <w:divBdr>
        <w:top w:val="none" w:sz="0" w:space="0" w:color="auto"/>
        <w:left w:val="none" w:sz="0" w:space="0" w:color="auto"/>
        <w:bottom w:val="none" w:sz="0" w:space="0" w:color="auto"/>
        <w:right w:val="none" w:sz="0" w:space="0" w:color="auto"/>
      </w:divBdr>
    </w:div>
    <w:div w:id="1919629276">
      <w:bodyDiv w:val="1"/>
      <w:marLeft w:val="0"/>
      <w:marRight w:val="0"/>
      <w:marTop w:val="0"/>
      <w:marBottom w:val="0"/>
      <w:divBdr>
        <w:top w:val="none" w:sz="0" w:space="0" w:color="auto"/>
        <w:left w:val="none" w:sz="0" w:space="0" w:color="auto"/>
        <w:bottom w:val="none" w:sz="0" w:space="0" w:color="auto"/>
        <w:right w:val="none" w:sz="0" w:space="0" w:color="auto"/>
      </w:divBdr>
    </w:div>
    <w:div w:id="2000840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1332</Words>
  <Characters>7330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Karem Escobar</dc:creator>
  <cp:lastModifiedBy>Karem Escobar</cp:lastModifiedBy>
  <cp:revision>2</cp:revision>
  <dcterms:created xsi:type="dcterms:W3CDTF">2017-04-03T02:25:00Z</dcterms:created>
  <dcterms:modified xsi:type="dcterms:W3CDTF">2017-04-03T02:25:00Z</dcterms:modified>
</cp:coreProperties>
</file>