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Proceso legislativo.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 rojo: explicaciones prescindibles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 ordenamiento a) b) y c) es opcional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Inicio de la ley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Puede ingresar como moción desde la Cámara o el Senado, o bien como mensaje desde el Ejecutivo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Inicio de la tramitación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El proyecto ingresa a la Cámara de Origen. Luego es estudiado por la Cámara Revisora. El Senado y la Cámara pueden cumplir ambas funciones.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Primer trámite constitucional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 Revisión del proyecto por la Cámara de Origen.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 Se envía el proyecto a la comisión correspondiente.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 Se aprueba o rechaza el proyecto en general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(idea de legislar)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En caso de ser aprobado, pueden o no ingresarse indicaciones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(enmiendas, correcciones o cambios)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Luego se discute el proyecto en particular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(artículo por artículo)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Si es aprobado en esta etapa, el proyecto pasa a segundo trámite.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Segundo Trámite Constitucional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a) Revisión del proyecto por la Cámara Revisora.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b) Se procede de igual forma que en primer trámite constitucional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(se asigna a una comisión, se vota en sala la idea de legislar, ingresan indicaciones, se aprueba en forma general y particular)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c) Se aprueba o rechaza el proyecto proveniente de la Cámara de Origen. Si el proyecto se aprueba, es enviado al Presidente de la República para su promulgación.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Tercer Trámite o Comisiones Mixtas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Si la Cámara de Origen y la Cámara Revisora no llegan a un acuerdo sobre la ley, se conforma una comisión con diputados y senadores donde deberán resolver las discordancias.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u w:val="single"/>
          <w:rtl w:val="0"/>
        </w:rPr>
        <w:t xml:space="preserve">Vetos y observaciones del Presidente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: Un proyecto aprobado por ambas cámaras es enviado luego al Presidente para que éste apruebe o rechace.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a) El Presidente puede hacer una observación o veto al proyecto. En este caso el proyecto regresa a la Cámara de Origen.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b) Si ambas cámaras aprueban los cambios, se envía el proyecto al ejecutivo para su promulgación.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c) Si la mayor parte de las cámaras rechaza los cambios, se envía el proyecto al ejecutivo para su promulgación.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d) Si se rechazan las observaciones del ejecutivo, pero no hay quorum (2/3) para ello, no habrá ley sobre las discrepancias.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