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36" w:rsidRDefault="00D31136" w:rsidP="00D31136">
      <w:pPr>
        <w:jc w:val="both"/>
        <w:rPr>
          <w:noProof/>
        </w:rPr>
      </w:pPr>
    </w:p>
    <w:p w:rsidR="00D31136" w:rsidRDefault="003F0AA9" w:rsidP="009B38EA">
      <w:pPr>
        <w:jc w:val="center"/>
        <w:rPr>
          <w:b/>
          <w:u w:val="single"/>
        </w:rPr>
      </w:pPr>
      <w:r w:rsidRPr="003F0AA9">
        <w:rPr>
          <w:b/>
          <w:u w:val="single"/>
        </w:rPr>
        <w:t>EXPOSICIÓN SEMINARIO DESCENTRALIZACIÓN</w:t>
      </w:r>
    </w:p>
    <w:p w:rsidR="003F0AA9" w:rsidRPr="006A739C" w:rsidRDefault="003F0AA9" w:rsidP="009B38EA">
      <w:pPr>
        <w:jc w:val="center"/>
        <w:rPr>
          <w:b/>
          <w:u w:val="single"/>
        </w:rPr>
      </w:pPr>
    </w:p>
    <w:p w:rsidR="003F0AA9" w:rsidRDefault="003F0AA9" w:rsidP="003F0AA9">
      <w:pPr>
        <w:jc w:val="both"/>
      </w:pPr>
      <w:r>
        <w:t>Tengo una convicción profunda sobre la necesidad de descentralizar Chile. Esta convicción y mi visión surge de dos ideas centrales que nos deben mover a todos los actores sociales, políticos, económicos, etc.</w:t>
      </w:r>
    </w:p>
    <w:p w:rsidR="003F0AA9" w:rsidRPr="003F0AA9" w:rsidRDefault="003F0AA9" w:rsidP="003F0AA9">
      <w:pPr>
        <w:pStyle w:val="Prrafodelista"/>
        <w:numPr>
          <w:ilvl w:val="0"/>
          <w:numId w:val="10"/>
        </w:numPr>
        <w:jc w:val="both"/>
        <w:rPr>
          <w:b/>
          <w:u w:val="single"/>
        </w:rPr>
      </w:pPr>
      <w:r w:rsidRPr="003F0AA9">
        <w:rPr>
          <w:b/>
        </w:rPr>
        <w:t>La desigualdad es un factor determinante del Chile de hoy.</w:t>
      </w:r>
    </w:p>
    <w:p w:rsidR="003F0AA9" w:rsidRPr="003F0AA9" w:rsidRDefault="003F0AA9" w:rsidP="003F0AA9">
      <w:pPr>
        <w:pStyle w:val="Prrafodelista"/>
        <w:numPr>
          <w:ilvl w:val="0"/>
          <w:numId w:val="10"/>
        </w:numPr>
        <w:jc w:val="both"/>
        <w:rPr>
          <w:b/>
          <w:u w:val="single"/>
        </w:rPr>
      </w:pPr>
      <w:r w:rsidRPr="003F0AA9">
        <w:rPr>
          <w:b/>
        </w:rPr>
        <w:t>Chile no será desarrollado si no es un país descentralizado</w:t>
      </w:r>
      <w:r>
        <w:rPr>
          <w:b/>
        </w:rPr>
        <w:t>.</w:t>
      </w:r>
    </w:p>
    <w:p w:rsidR="003F0AA9" w:rsidRDefault="003F0AA9" w:rsidP="003F0AA9">
      <w:pPr>
        <w:jc w:val="both"/>
        <w:rPr>
          <w:b/>
          <w:u w:val="single"/>
        </w:rPr>
      </w:pPr>
    </w:p>
    <w:p w:rsidR="003F0AA9" w:rsidRDefault="003F0AA9" w:rsidP="003F0AA9">
      <w:pPr>
        <w:jc w:val="both"/>
      </w:pPr>
      <w:r>
        <w:t>Soy un actor más en una lucha de años que han dado muchos en la política, en la sociedad civil, pero soy un convencido que estamos en un momento en que la descentralización no puede ser un tema nuevamente postergado.</w:t>
      </w:r>
    </w:p>
    <w:p w:rsidR="003F0AA9" w:rsidRDefault="003F0AA9" w:rsidP="003F0AA9">
      <w:pPr>
        <w:ind w:firstLine="708"/>
        <w:jc w:val="both"/>
      </w:pPr>
      <w:r>
        <w:t>¡El momento de la descentralización es ahora!</w:t>
      </w:r>
    </w:p>
    <w:p w:rsidR="003F0AA9" w:rsidRDefault="003F0AA9" w:rsidP="003F0AA9">
      <w:pPr>
        <w:jc w:val="both"/>
      </w:pPr>
    </w:p>
    <w:p w:rsidR="00A5639A" w:rsidRDefault="00A5639A" w:rsidP="003F0AA9">
      <w:pPr>
        <w:jc w:val="both"/>
      </w:pPr>
      <w:r>
        <w:t>Por esto asumí la tarea de conformar la Bancada Regionalista del Senado que actualmente presido. Una bancada regionalista que tiene varias virtudes.</w:t>
      </w:r>
    </w:p>
    <w:p w:rsidR="00A5639A" w:rsidRDefault="00A5639A" w:rsidP="00A5639A">
      <w:pPr>
        <w:pStyle w:val="Prrafodelista"/>
        <w:numPr>
          <w:ilvl w:val="0"/>
          <w:numId w:val="13"/>
        </w:numPr>
        <w:jc w:val="both"/>
      </w:pPr>
      <w:r>
        <w:t>Esta conformada por senadores y senadores de todos los sectores políticos.</w:t>
      </w:r>
    </w:p>
    <w:p w:rsidR="00A5639A" w:rsidRDefault="00A5639A" w:rsidP="00A5639A">
      <w:pPr>
        <w:pStyle w:val="Prrafodelista"/>
        <w:numPr>
          <w:ilvl w:val="0"/>
          <w:numId w:val="13"/>
        </w:numPr>
        <w:jc w:val="both"/>
      </w:pPr>
      <w:r>
        <w:t>Están representadas todas las regiones del país.</w:t>
      </w:r>
    </w:p>
    <w:p w:rsidR="00A5639A" w:rsidRDefault="00A5639A" w:rsidP="00A5639A">
      <w:pPr>
        <w:pStyle w:val="Prrafodelista"/>
        <w:numPr>
          <w:ilvl w:val="0"/>
          <w:numId w:val="13"/>
        </w:numPr>
        <w:jc w:val="both"/>
      </w:pPr>
      <w:r>
        <w:t>Tenemos un norte, una agenda, compromisos claves y definiciones claras.</w:t>
      </w:r>
    </w:p>
    <w:p w:rsidR="00A5639A" w:rsidRDefault="00A5639A" w:rsidP="00A5639A">
      <w:pPr>
        <w:pStyle w:val="Prrafodelista"/>
        <w:numPr>
          <w:ilvl w:val="0"/>
          <w:numId w:val="13"/>
        </w:numPr>
        <w:jc w:val="both"/>
      </w:pPr>
      <w:r>
        <w:t>Esta bancada regionalista del Senado es en sí misma una fuerza política, que junto con la bancada regionalista de la Cámara de Diputados va a empujar la descentralización defendiendo la regionalización.</w:t>
      </w:r>
    </w:p>
    <w:p w:rsidR="00A5639A" w:rsidRDefault="00A5639A" w:rsidP="00A5639A">
      <w:pPr>
        <w:jc w:val="both"/>
      </w:pPr>
    </w:p>
    <w:p w:rsidR="00A5639A" w:rsidRDefault="00A5639A" w:rsidP="00A5639A">
      <w:pPr>
        <w:jc w:val="both"/>
      </w:pPr>
      <w:r>
        <w:t xml:space="preserve">Y a propósito de definiciones claras, me voy a referir a dos ejes fundamentales de las propuestas que estamos trabajando y que le hemos presentado al gobierno: </w:t>
      </w:r>
    </w:p>
    <w:p w:rsidR="00A5639A" w:rsidRDefault="00A5639A" w:rsidP="00A5639A">
      <w:pPr>
        <w:pStyle w:val="Prrafodelista"/>
        <w:numPr>
          <w:ilvl w:val="0"/>
          <w:numId w:val="14"/>
        </w:numPr>
        <w:jc w:val="both"/>
      </w:pPr>
      <w:r>
        <w:t>Transferencia de competencias</w:t>
      </w:r>
    </w:p>
    <w:p w:rsidR="00A5639A" w:rsidRDefault="00A5639A" w:rsidP="00A5639A">
      <w:pPr>
        <w:pStyle w:val="Prrafodelista"/>
        <w:numPr>
          <w:ilvl w:val="0"/>
          <w:numId w:val="14"/>
        </w:numPr>
        <w:jc w:val="both"/>
      </w:pPr>
      <w:r>
        <w:t>Impuestos Regionales o Financiamiento para las Regiones.</w:t>
      </w:r>
    </w:p>
    <w:p w:rsidR="00A5639A" w:rsidRDefault="00A5639A" w:rsidP="00A5639A">
      <w:pPr>
        <w:jc w:val="both"/>
      </w:pPr>
    </w:p>
    <w:p w:rsidR="00A5639A" w:rsidRPr="006A739C" w:rsidRDefault="00A5639A" w:rsidP="00A5639A">
      <w:pPr>
        <w:pStyle w:val="Prrafodelista"/>
        <w:numPr>
          <w:ilvl w:val="0"/>
          <w:numId w:val="15"/>
        </w:numPr>
        <w:jc w:val="both"/>
        <w:rPr>
          <w:b/>
          <w:u w:val="single"/>
        </w:rPr>
      </w:pPr>
      <w:r w:rsidRPr="006A739C">
        <w:rPr>
          <w:b/>
          <w:u w:val="single"/>
        </w:rPr>
        <w:t>Transferencia de competencias:</w:t>
      </w:r>
    </w:p>
    <w:p w:rsidR="00A5639A" w:rsidRDefault="00A5639A" w:rsidP="00A5639A">
      <w:pPr>
        <w:jc w:val="both"/>
      </w:pPr>
      <w:r>
        <w:t>En este tema tenemos una gran oportunidad y al mismo tiempo el desafío de responder a las transferencias de competencias establecidas por ley y que deben responder a las especificidades de los territorios.</w:t>
      </w:r>
    </w:p>
    <w:p w:rsidR="00A5639A" w:rsidRPr="00A5639A" w:rsidRDefault="00A5639A" w:rsidP="00A5639A">
      <w:pPr>
        <w:jc w:val="both"/>
      </w:pPr>
      <w:r>
        <w:t xml:space="preserve">Esto se explica gráficamente en lo siguiente: </w:t>
      </w:r>
    </w:p>
    <w:p w:rsidR="00D31136" w:rsidRDefault="00D31136" w:rsidP="009B38EA">
      <w:pPr>
        <w:jc w:val="center"/>
      </w:pPr>
      <w:r w:rsidRPr="00F22061">
        <w:rPr>
          <w:noProof/>
        </w:rPr>
        <w:lastRenderedPageBreak/>
        <mc:AlternateContent>
          <mc:Choice Requires="wps">
            <w:drawing>
              <wp:anchor distT="0" distB="0" distL="114300" distR="114300" simplePos="0" relativeHeight="251659264" behindDoc="0" locked="0" layoutInCell="1" allowOverlap="1" wp14:anchorId="4271A5D2" wp14:editId="67359309">
                <wp:simplePos x="0" y="0"/>
                <wp:positionH relativeFrom="margin">
                  <wp:posOffset>-649605</wp:posOffset>
                </wp:positionH>
                <wp:positionV relativeFrom="paragraph">
                  <wp:posOffset>291465</wp:posOffset>
                </wp:positionV>
                <wp:extent cx="1992517" cy="1392072"/>
                <wp:effectExtent l="0" t="0" r="8255" b="0"/>
                <wp:wrapNone/>
                <wp:docPr id="7" name="CuadroTexto 6">
                  <a:extLst xmlns:a="http://schemas.openxmlformats.org/drawingml/2006/main">
                    <a:ext uri="{FF2B5EF4-FFF2-40B4-BE49-F238E27FC236}">
                      <a16:creationId xmlns:a16="http://schemas.microsoft.com/office/drawing/2014/main" id="{684D3870-6325-4FA1-BF66-9F79F523B78C}"/>
                    </a:ext>
                  </a:extLst>
                </wp:docPr>
                <wp:cNvGraphicFramePr/>
                <a:graphic xmlns:a="http://schemas.openxmlformats.org/drawingml/2006/main">
                  <a:graphicData uri="http://schemas.microsoft.com/office/word/2010/wordprocessingShape">
                    <wps:wsp>
                      <wps:cNvSpPr txBox="1"/>
                      <wps:spPr>
                        <a:xfrm>
                          <a:off x="0" y="0"/>
                          <a:ext cx="1992517" cy="1392072"/>
                        </a:xfrm>
                        <a:prstGeom prst="rect">
                          <a:avLst/>
                        </a:prstGeom>
                        <a:solidFill>
                          <a:schemeClr val="accent4">
                            <a:lumMod val="75000"/>
                          </a:schemeClr>
                        </a:solidFill>
                      </wps:spPr>
                      <wps:txbx>
                        <w:txbxContent>
                          <w:p w:rsidR="00F22061" w:rsidRPr="009B38EA" w:rsidRDefault="00F22061" w:rsidP="00F22061">
                            <w:pPr>
                              <w:pStyle w:val="NormalWeb"/>
                              <w:spacing w:before="0" w:beforeAutospacing="0" w:after="0" w:afterAutospacing="0"/>
                            </w:pPr>
                            <w:r w:rsidRPr="009B38EA">
                              <w:rPr>
                                <w:rFonts w:asciiTheme="minorHAnsi" w:hAnsi="Calibri" w:cstheme="minorBidi"/>
                                <w:color w:val="FFFFFF" w:themeColor="background1"/>
                                <w:kern w:val="24"/>
                              </w:rPr>
                              <w:t>planes regionales de desarrollo; resolver inversión asociada al FNDR; proyectos inversión; distribución recursos entre municipios; pavimentación de aceras</w:t>
                            </w:r>
                            <w:r w:rsidR="00F2085C">
                              <w:rPr>
                                <w:rFonts w:asciiTheme="minorHAnsi" w:hAnsi="Calibri" w:cstheme="minorBidi"/>
                                <w:color w:val="FFFFFF" w:themeColor="background1"/>
                                <w:kern w:val="24"/>
                              </w:rPr>
                              <w:t xml:space="preserve">, etc.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71A5D2" id="_x0000_t202" coordsize="21600,21600" o:spt="202" path="m,l,21600r21600,l21600,xe">
                <v:stroke joinstyle="miter"/>
                <v:path gradientshapeok="t" o:connecttype="rect"/>
              </v:shapetype>
              <v:shape id="CuadroTexto 6" o:spid="_x0000_s1026" type="#_x0000_t202" style="position:absolute;left:0;text-align:left;margin-left:-51.15pt;margin-top:22.95pt;width:156.9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" fillcolor="#bf8f00 [2407]" stroked="f">
                <v:textbox>
                  <w:txbxContent>
                    <w:p w:rsidR="00F22061" w:rsidRPr="009B38EA" w:rsidRDefault="00F22061" w:rsidP="00F22061">
                      <w:pPr>
                        <w:pStyle w:val="NormalWeb"/>
                        <w:spacing w:before="0" w:beforeAutospacing="0" w:after="0" w:afterAutospacing="0"/>
                      </w:pPr>
                      <w:r w:rsidRPr="009B38EA">
                        <w:rPr>
                          <w:rFonts w:asciiTheme="minorHAnsi" w:hAnsi="Calibri" w:cstheme="minorBidi"/>
                          <w:color w:val="FFFFFF" w:themeColor="background1"/>
                          <w:kern w:val="24"/>
                        </w:rPr>
                        <w:t>planes regionales de desarrollo; resolver inversión asociada al FNDR; proyectos inversión; distribución recursos entre municipios; pavimentación de aceras</w:t>
                      </w:r>
                      <w:r w:rsidR="00F2085C">
                        <w:rPr>
                          <w:rFonts w:asciiTheme="minorHAnsi" w:hAnsi="Calibri" w:cstheme="minorBidi"/>
                          <w:color w:val="FFFFFF" w:themeColor="background1"/>
                          <w:kern w:val="24"/>
                        </w:rPr>
                        <w:t xml:space="preserve">, etc. </w:t>
                      </w:r>
                    </w:p>
                  </w:txbxContent>
                </v:textbox>
                <w10:wrap anchorx="margin"/>
              </v:shape>
            </w:pict>
          </mc:Fallback>
        </mc:AlternateContent>
      </w:r>
    </w:p>
    <w:p w:rsidR="00D31136" w:rsidRDefault="00D31136" w:rsidP="009B38EA">
      <w:pPr>
        <w:jc w:val="center"/>
      </w:pPr>
      <w:r w:rsidRPr="00F22061">
        <w:rPr>
          <w:noProof/>
        </w:rPr>
        <mc:AlternateContent>
          <mc:Choice Requires="wps">
            <w:drawing>
              <wp:anchor distT="0" distB="0" distL="114300" distR="114300" simplePos="0" relativeHeight="251660288" behindDoc="0" locked="0" layoutInCell="1" allowOverlap="1" wp14:anchorId="7A067172" wp14:editId="0D56AF8B">
                <wp:simplePos x="0" y="0"/>
                <wp:positionH relativeFrom="margin">
                  <wp:posOffset>4218305</wp:posOffset>
                </wp:positionH>
                <wp:positionV relativeFrom="paragraph">
                  <wp:posOffset>33020</wp:posOffset>
                </wp:positionV>
                <wp:extent cx="2046605" cy="1351128"/>
                <wp:effectExtent l="0" t="0" r="0" b="1905"/>
                <wp:wrapNone/>
                <wp:docPr id="8" name="CuadroTexto 7">
                  <a:extLst xmlns:a="http://schemas.openxmlformats.org/drawingml/2006/main">
                    <a:ext uri="{FF2B5EF4-FFF2-40B4-BE49-F238E27FC236}">
                      <a16:creationId xmlns:a16="http://schemas.microsoft.com/office/drawing/2014/main" id="{34D44AE0-48E2-4D8E-B258-1C4E71CC35A2}"/>
                    </a:ext>
                  </a:extLst>
                </wp:docPr>
                <wp:cNvGraphicFramePr/>
                <a:graphic xmlns:a="http://schemas.openxmlformats.org/drawingml/2006/main">
                  <a:graphicData uri="http://schemas.microsoft.com/office/word/2010/wordprocessingShape">
                    <wps:wsp>
                      <wps:cNvSpPr txBox="1"/>
                      <wps:spPr>
                        <a:xfrm>
                          <a:off x="0" y="0"/>
                          <a:ext cx="2046605" cy="1351128"/>
                        </a:xfrm>
                        <a:prstGeom prst="rect">
                          <a:avLst/>
                        </a:prstGeom>
                        <a:solidFill>
                          <a:srgbClr val="FF0000"/>
                        </a:solidFill>
                      </wps:spPr>
                      <wps:txbx>
                        <w:txbxContent>
                          <w:p w:rsidR="00F22061" w:rsidRPr="00F22061" w:rsidRDefault="00F22061" w:rsidP="00F22061">
                            <w:pPr>
                              <w:pStyle w:val="NormalWeb"/>
                              <w:spacing w:before="0" w:beforeAutospacing="0" w:after="0" w:afterAutospacing="0"/>
                            </w:pPr>
                            <w:r w:rsidRPr="00F22061">
                              <w:rPr>
                                <w:rFonts w:asciiTheme="minorHAnsi" w:hAnsi="Calibri" w:cstheme="minorBidi"/>
                                <w:color w:val="FFFFFF" w:themeColor="background1"/>
                                <w:kern w:val="24"/>
                              </w:rPr>
                              <w:t xml:space="preserve">Fomento Productivo; Infraestructura y Transporte; así como Desarrollo Social y Humano; Áreas metropolitanas; planificación y ordenamiento territorial (PROT); </w:t>
                            </w:r>
                            <w:proofErr w:type="spellStart"/>
                            <w:r w:rsidRPr="00F22061">
                              <w:rPr>
                                <w:rFonts w:asciiTheme="minorHAnsi" w:hAnsi="Calibri" w:cstheme="minorBidi"/>
                                <w:color w:val="FFFFFF" w:themeColor="background1"/>
                                <w:kern w:val="24"/>
                              </w:rPr>
                              <w:t>etc</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067172" id="CuadroTexto 7" o:spid="_x0000_s1027" type="#_x0000_t202" style="position:absolute;left:0;text-align:left;margin-left:332.15pt;margin-top:2.6pt;width:161.15pt;height:10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" fillcolor="red" stroked="f">
                <v:textbox>
                  <w:txbxContent>
                    <w:p w:rsidR="00F22061" w:rsidRPr="00F22061" w:rsidRDefault="00F22061" w:rsidP="00F22061">
                      <w:pPr>
                        <w:pStyle w:val="NormalWeb"/>
                        <w:spacing w:before="0" w:beforeAutospacing="0" w:after="0" w:afterAutospacing="0"/>
                      </w:pPr>
                      <w:r w:rsidRPr="00F22061">
                        <w:rPr>
                          <w:rFonts w:asciiTheme="minorHAnsi" w:hAnsi="Calibri" w:cstheme="minorBidi"/>
                          <w:color w:val="FFFFFF" w:themeColor="background1"/>
                          <w:kern w:val="24"/>
                        </w:rPr>
                        <w:t xml:space="preserve">Fomento Productivo; Infraestructura y Transporte; así como Desarrollo Social y Humano; Áreas metropolitanas; planificación y ordenamiento territorial (PROT); </w:t>
                      </w:r>
                      <w:proofErr w:type="spellStart"/>
                      <w:r w:rsidRPr="00F22061">
                        <w:rPr>
                          <w:rFonts w:asciiTheme="minorHAnsi" w:hAnsi="Calibri" w:cstheme="minorBidi"/>
                          <w:color w:val="FFFFFF" w:themeColor="background1"/>
                          <w:kern w:val="24"/>
                        </w:rPr>
                        <w:t>etc</w:t>
                      </w:r>
                      <w:proofErr w:type="spellEnd"/>
                    </w:p>
                  </w:txbxContent>
                </v:textbox>
                <w10:wrap anchorx="margin"/>
              </v:shape>
            </w:pict>
          </mc:Fallback>
        </mc:AlternateContent>
      </w:r>
    </w:p>
    <w:p w:rsidR="00D31136" w:rsidRDefault="00D31136" w:rsidP="009B38EA">
      <w:pPr>
        <w:jc w:val="center"/>
      </w:pPr>
    </w:p>
    <w:p w:rsidR="00E82894" w:rsidRDefault="009B38EA" w:rsidP="009B38EA">
      <w:pPr>
        <w:jc w:val="center"/>
      </w:pPr>
      <w:r w:rsidRPr="00F22061">
        <w:rPr>
          <w:noProof/>
        </w:rPr>
        <w:drawing>
          <wp:inline distT="0" distB="0" distL="0" distR="0" wp14:anchorId="2C41785C" wp14:editId="66B33CC2">
            <wp:extent cx="4353560" cy="3043451"/>
            <wp:effectExtent l="0" t="0" r="0" b="0"/>
            <wp:docPr id="1" name="Diagrama 1">
              <a:extLst xmlns:a="http://schemas.openxmlformats.org/drawingml/2006/main">
                <a:ext uri="{FF2B5EF4-FFF2-40B4-BE49-F238E27FC236}">
                  <a16:creationId xmlns:a16="http://schemas.microsoft.com/office/drawing/2014/main" id="{E38ACC28-18B5-4DC9-AD42-97FA2777BBD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085C" w:rsidRDefault="00D31136" w:rsidP="009B38EA">
      <w:pPr>
        <w:jc w:val="center"/>
      </w:pPr>
      <w:r w:rsidRPr="00F22061">
        <w:rPr>
          <w:noProof/>
        </w:rPr>
        <mc:AlternateContent>
          <mc:Choice Requires="wps">
            <w:drawing>
              <wp:anchor distT="0" distB="0" distL="114300" distR="114300" simplePos="0" relativeHeight="251661312" behindDoc="0" locked="0" layoutInCell="1" allowOverlap="1" wp14:anchorId="5DCED11B" wp14:editId="6238F32A">
                <wp:simplePos x="0" y="0"/>
                <wp:positionH relativeFrom="margin">
                  <wp:posOffset>2294890</wp:posOffset>
                </wp:positionH>
                <wp:positionV relativeFrom="paragraph">
                  <wp:posOffset>53340</wp:posOffset>
                </wp:positionV>
                <wp:extent cx="1149685" cy="369332"/>
                <wp:effectExtent l="0" t="0" r="0" b="0"/>
                <wp:wrapNone/>
                <wp:docPr id="10" name="CuadroTexto 9">
                  <a:extLst xmlns:a="http://schemas.openxmlformats.org/drawingml/2006/main">
                    <a:ext uri="{FF2B5EF4-FFF2-40B4-BE49-F238E27FC236}">
                      <a16:creationId xmlns:a16="http://schemas.microsoft.com/office/drawing/2014/main" id="{18A540AA-C57C-4EFD-9FC2-EF1638CB1F0B}"/>
                    </a:ext>
                  </a:extLst>
                </wp:docPr>
                <wp:cNvGraphicFramePr/>
                <a:graphic xmlns:a="http://schemas.openxmlformats.org/drawingml/2006/main">
                  <a:graphicData uri="http://schemas.microsoft.com/office/word/2010/wordprocessingShape">
                    <wps:wsp>
                      <wps:cNvSpPr txBox="1"/>
                      <wps:spPr>
                        <a:xfrm>
                          <a:off x="0" y="0"/>
                          <a:ext cx="1149685" cy="369332"/>
                        </a:xfrm>
                        <a:prstGeom prst="rect">
                          <a:avLst/>
                        </a:prstGeom>
                        <a:solidFill>
                          <a:schemeClr val="accent1"/>
                        </a:solidFill>
                      </wps:spPr>
                      <wps:txbx>
                        <w:txbxContent>
                          <w:p w:rsidR="00F22061" w:rsidRPr="00F2085C" w:rsidRDefault="00F22061" w:rsidP="00F2085C">
                            <w:pPr>
                              <w:pStyle w:val="NormalWeb"/>
                              <w:spacing w:before="0" w:beforeAutospacing="0" w:after="0" w:afterAutospacing="0"/>
                              <w:jc w:val="center"/>
                            </w:pPr>
                            <w:r w:rsidRPr="00F2085C">
                              <w:rPr>
                                <w:rFonts w:asciiTheme="minorHAnsi" w:hAnsi="Calibri" w:cstheme="minorBidi"/>
                                <w:color w:val="FFFFFF" w:themeColor="background1"/>
                                <w:kern w:val="24"/>
                              </w:rPr>
                              <w:t xml:space="preserve">De </w:t>
                            </w:r>
                            <w:proofErr w:type="gramStart"/>
                            <w:r w:rsidRPr="00F2085C">
                              <w:rPr>
                                <w:rFonts w:asciiTheme="minorHAnsi" w:hAnsi="Calibri" w:cstheme="minorBidi"/>
                                <w:color w:val="FFFFFF" w:themeColor="background1"/>
                                <w:kern w:val="24"/>
                              </w:rPr>
                              <w:t xml:space="preserve">Oficio </w:t>
                            </w:r>
                            <w:r w:rsidR="00F2085C">
                              <w:rPr>
                                <w:rFonts w:asciiTheme="minorHAnsi" w:hAnsi="Calibri" w:cstheme="minorBidi"/>
                                <w:color w:val="FFFFFF" w:themeColor="background1"/>
                                <w:kern w:val="24"/>
                              </w:rPr>
                              <w:t xml:space="preserve"> (</w:t>
                            </w:r>
                            <w:proofErr w:type="gramEnd"/>
                            <w:r w:rsidR="00F2085C">
                              <w:rPr>
                                <w:rFonts w:asciiTheme="minorHAnsi" w:hAnsi="Calibri" w:cstheme="minorBidi"/>
                                <w:color w:val="FFFFFF" w:themeColor="background1"/>
                                <w:kern w:val="24"/>
                              </w:rPr>
                              <w:t>2020-2022)</w:t>
                            </w:r>
                          </w:p>
                        </w:txbxContent>
                      </wps:txbx>
                      <wps:bodyPr wrap="square" rtlCol="0">
                        <a:spAutoFit/>
                      </wps:bodyPr>
                    </wps:wsp>
                  </a:graphicData>
                </a:graphic>
              </wp:anchor>
            </w:drawing>
          </mc:Choice>
          <mc:Fallback>
            <w:pict>
              <v:shape w14:anchorId="5DCED11B" id="CuadroTexto 9" o:spid="_x0000_s1028" type="#_x0000_t202" style="position:absolute;left:0;text-align:left;margin-left:180.7pt;margin-top:4.2pt;width:90.55pt;height:29.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" fillcolor="#4472c4 [3204]" stroked="f">
                <v:textbox style="mso-fit-shape-to-text:t">
                  <w:txbxContent>
                    <w:p w:rsidR="00F22061" w:rsidRPr="00F2085C" w:rsidRDefault="00F22061" w:rsidP="00F2085C">
                      <w:pPr>
                        <w:pStyle w:val="NormalWeb"/>
                        <w:spacing w:before="0" w:beforeAutospacing="0" w:after="0" w:afterAutospacing="0"/>
                        <w:jc w:val="center"/>
                      </w:pPr>
                      <w:r w:rsidRPr="00F2085C">
                        <w:rPr>
                          <w:rFonts w:asciiTheme="minorHAnsi" w:hAnsi="Calibri" w:cstheme="minorBidi"/>
                          <w:color w:val="FFFFFF" w:themeColor="background1"/>
                          <w:kern w:val="24"/>
                        </w:rPr>
                        <w:t xml:space="preserve">De </w:t>
                      </w:r>
                      <w:proofErr w:type="gramStart"/>
                      <w:r w:rsidRPr="00F2085C">
                        <w:rPr>
                          <w:rFonts w:asciiTheme="minorHAnsi" w:hAnsi="Calibri" w:cstheme="minorBidi"/>
                          <w:color w:val="FFFFFF" w:themeColor="background1"/>
                          <w:kern w:val="24"/>
                        </w:rPr>
                        <w:t xml:space="preserve">Oficio </w:t>
                      </w:r>
                      <w:r w:rsidR="00F2085C">
                        <w:rPr>
                          <w:rFonts w:asciiTheme="minorHAnsi" w:hAnsi="Calibri" w:cstheme="minorBidi"/>
                          <w:color w:val="FFFFFF" w:themeColor="background1"/>
                          <w:kern w:val="24"/>
                        </w:rPr>
                        <w:t xml:space="preserve"> (</w:t>
                      </w:r>
                      <w:proofErr w:type="gramEnd"/>
                      <w:r w:rsidR="00F2085C">
                        <w:rPr>
                          <w:rFonts w:asciiTheme="minorHAnsi" w:hAnsi="Calibri" w:cstheme="minorBidi"/>
                          <w:color w:val="FFFFFF" w:themeColor="background1"/>
                          <w:kern w:val="24"/>
                        </w:rPr>
                        <w:t>2020-2022)</w:t>
                      </w:r>
                    </w:p>
                  </w:txbxContent>
                </v:textbox>
                <w10:wrap anchorx="margin"/>
              </v:shape>
            </w:pict>
          </mc:Fallback>
        </mc:AlternateContent>
      </w:r>
    </w:p>
    <w:p w:rsidR="00F2085C" w:rsidRDefault="00F2085C" w:rsidP="009B38EA">
      <w:pPr>
        <w:jc w:val="center"/>
      </w:pPr>
    </w:p>
    <w:p w:rsidR="00F2085C" w:rsidRDefault="00F2085C" w:rsidP="009B38EA">
      <w:pPr>
        <w:jc w:val="center"/>
      </w:pPr>
    </w:p>
    <w:p w:rsidR="00D56389" w:rsidRDefault="00D56389" w:rsidP="002E305F">
      <w:pPr>
        <w:pStyle w:val="Prrafodelista"/>
        <w:numPr>
          <w:ilvl w:val="0"/>
          <w:numId w:val="8"/>
        </w:numPr>
        <w:jc w:val="both"/>
      </w:pPr>
      <w:r>
        <w:t xml:space="preserve">Existen 23 </w:t>
      </w:r>
      <w:r w:rsidRPr="00D56389">
        <w:t>Competencias históricas de carácter limitado, con poca incidencia en el desarrollo concreto de los territorios y con escaso poder para determinar regionalmente políticas, planes y programas</w:t>
      </w:r>
      <w:r>
        <w:t>.</w:t>
      </w:r>
    </w:p>
    <w:p w:rsidR="00D56389" w:rsidRDefault="00D56389" w:rsidP="002E305F">
      <w:pPr>
        <w:pStyle w:val="Prrafodelista"/>
        <w:numPr>
          <w:ilvl w:val="0"/>
          <w:numId w:val="8"/>
        </w:numPr>
        <w:jc w:val="both"/>
      </w:pPr>
      <w:r>
        <w:t xml:space="preserve">Se han determinado </w:t>
      </w:r>
      <w:r w:rsidRPr="00D56389">
        <w:t>54 nuevas competencias amplias y con posibilidades de ejecutar innovaciones territoriales en diversos ámbitos del quehacer regional sujetas a la coordinación nacional-regional</w:t>
      </w:r>
      <w:r>
        <w:t>.</w:t>
      </w:r>
    </w:p>
    <w:p w:rsidR="00D56389" w:rsidRPr="00D56389" w:rsidRDefault="00D56389" w:rsidP="002E305F">
      <w:pPr>
        <w:pStyle w:val="Prrafodelista"/>
        <w:numPr>
          <w:ilvl w:val="0"/>
          <w:numId w:val="8"/>
        </w:numPr>
        <w:jc w:val="both"/>
      </w:pPr>
      <w:r>
        <w:t xml:space="preserve">El legislador acordó </w:t>
      </w:r>
      <w:r w:rsidRPr="00D56389">
        <w:t>28 competencias de oficio concordadas con diversos sectores (Corfo, Sercotec, MDS-</w:t>
      </w:r>
      <w:proofErr w:type="spellStart"/>
      <w:r w:rsidRPr="00D56389">
        <w:t>Fosis</w:t>
      </w:r>
      <w:proofErr w:type="spellEnd"/>
      <w:r w:rsidRPr="00D56389">
        <w:t>, Minvu-Serviu, MTT) impulsadas con un carácter gradual y escalable 2018-2022</w:t>
      </w:r>
      <w:r>
        <w:t>.</w:t>
      </w:r>
    </w:p>
    <w:p w:rsidR="00D56389" w:rsidRDefault="00D56389" w:rsidP="009B38EA">
      <w:pPr>
        <w:jc w:val="center"/>
      </w:pPr>
    </w:p>
    <w:tbl>
      <w:tblPr>
        <w:tblStyle w:val="Tablaconcuadrcula"/>
        <w:tblW w:w="0" w:type="auto"/>
        <w:tblLook w:val="04A0" w:firstRow="1" w:lastRow="0" w:firstColumn="1" w:lastColumn="0" w:noHBand="0" w:noVBand="1"/>
      </w:tblPr>
      <w:tblGrid>
        <w:gridCol w:w="421"/>
        <w:gridCol w:w="6237"/>
      </w:tblGrid>
      <w:tr w:rsidR="00F2085C" w:rsidTr="00D56389">
        <w:tc>
          <w:tcPr>
            <w:tcW w:w="421" w:type="dxa"/>
            <w:shd w:val="clear" w:color="auto" w:fill="CC9900"/>
          </w:tcPr>
          <w:p w:rsidR="00F2085C" w:rsidRDefault="00F2085C" w:rsidP="00F2085C">
            <w:pPr>
              <w:jc w:val="both"/>
            </w:pPr>
          </w:p>
        </w:tc>
        <w:tc>
          <w:tcPr>
            <w:tcW w:w="6237" w:type="dxa"/>
          </w:tcPr>
          <w:p w:rsidR="00F2085C" w:rsidRDefault="00F2085C" w:rsidP="00F2085C">
            <w:pPr>
              <w:jc w:val="both"/>
            </w:pPr>
            <w:r>
              <w:t>Competencias originales Ley Gobiernos Regionales</w:t>
            </w:r>
            <w:r w:rsidR="00D56389">
              <w:t xml:space="preserve"> (19.175)</w:t>
            </w:r>
            <w:r>
              <w:t xml:space="preserve"> </w:t>
            </w:r>
          </w:p>
        </w:tc>
      </w:tr>
      <w:tr w:rsidR="00F2085C" w:rsidTr="00D56389">
        <w:tc>
          <w:tcPr>
            <w:tcW w:w="421" w:type="dxa"/>
            <w:shd w:val="clear" w:color="auto" w:fill="FF0000"/>
          </w:tcPr>
          <w:p w:rsidR="00F2085C" w:rsidRDefault="00F2085C" w:rsidP="00F2085C">
            <w:pPr>
              <w:jc w:val="both"/>
            </w:pPr>
          </w:p>
        </w:tc>
        <w:tc>
          <w:tcPr>
            <w:tcW w:w="6237" w:type="dxa"/>
          </w:tcPr>
          <w:p w:rsidR="00F2085C" w:rsidRDefault="00F2085C" w:rsidP="00F2085C">
            <w:pPr>
              <w:jc w:val="both"/>
            </w:pPr>
            <w:r>
              <w:t xml:space="preserve">Nuevas Competencias </w:t>
            </w:r>
            <w:r w:rsidR="00D56389">
              <w:t>según Ley 21.074</w:t>
            </w:r>
          </w:p>
        </w:tc>
      </w:tr>
      <w:tr w:rsidR="00F2085C" w:rsidTr="00D56389">
        <w:tc>
          <w:tcPr>
            <w:tcW w:w="421" w:type="dxa"/>
            <w:shd w:val="clear" w:color="auto" w:fill="4472C4" w:themeFill="accent1"/>
          </w:tcPr>
          <w:p w:rsidR="00F2085C" w:rsidRDefault="00F2085C" w:rsidP="00F2085C">
            <w:pPr>
              <w:jc w:val="both"/>
            </w:pPr>
          </w:p>
        </w:tc>
        <w:tc>
          <w:tcPr>
            <w:tcW w:w="6237" w:type="dxa"/>
          </w:tcPr>
          <w:p w:rsidR="00F2085C" w:rsidRDefault="00D56389" w:rsidP="00F2085C">
            <w:pPr>
              <w:jc w:val="both"/>
            </w:pPr>
            <w:r>
              <w:t>Competencias por Oficio (2020-2022)</w:t>
            </w:r>
          </w:p>
        </w:tc>
      </w:tr>
    </w:tbl>
    <w:p w:rsidR="00F2085C" w:rsidRDefault="00F2085C" w:rsidP="00F2085C">
      <w:pPr>
        <w:jc w:val="both"/>
      </w:pPr>
    </w:p>
    <w:p w:rsidR="00A5639A" w:rsidRPr="00A5639A" w:rsidRDefault="00A5639A" w:rsidP="00A5639A">
      <w:pPr>
        <w:pStyle w:val="Prrafodelista"/>
        <w:numPr>
          <w:ilvl w:val="1"/>
          <w:numId w:val="15"/>
        </w:numPr>
        <w:rPr>
          <w:b/>
        </w:rPr>
      </w:pPr>
      <w:r w:rsidRPr="00A5639A">
        <w:rPr>
          <w:b/>
        </w:rPr>
        <w:lastRenderedPageBreak/>
        <w:t>Nuestra propuesta en materia de Transferencia de Competencias:</w:t>
      </w:r>
    </w:p>
    <w:p w:rsidR="00A5639A" w:rsidRDefault="00A5639A" w:rsidP="00F2085C"/>
    <w:p w:rsidR="00F2085C" w:rsidRDefault="00F2085C" w:rsidP="00F2085C">
      <w:r w:rsidRPr="00F2085C">
        <w:t xml:space="preserve">Proponemos un </w:t>
      </w:r>
      <w:r w:rsidRPr="00F2085C">
        <w:rPr>
          <w:b/>
        </w:rPr>
        <w:t>Perfeccionamiento Transferencia de Competencias</w:t>
      </w:r>
      <w:r w:rsidRPr="00F2085C">
        <w:t xml:space="preserve"> a los </w:t>
      </w:r>
      <w:proofErr w:type="spellStart"/>
      <w:r w:rsidRPr="00F2085C">
        <w:t>GoRes</w:t>
      </w:r>
      <w:proofErr w:type="spellEnd"/>
      <w:r w:rsidR="00A5639A">
        <w:t xml:space="preserve"> (3 ejes)</w:t>
      </w:r>
    </w:p>
    <w:p w:rsidR="005B3B76" w:rsidRPr="00F2085C" w:rsidRDefault="00516EF4" w:rsidP="00F2085C">
      <w:pPr>
        <w:numPr>
          <w:ilvl w:val="0"/>
          <w:numId w:val="2"/>
        </w:numPr>
        <w:jc w:val="both"/>
      </w:pPr>
      <w:r w:rsidRPr="00F2085C">
        <w:t xml:space="preserve">El gobierno regional debe contar con reales atribuciones y facultades: competencias por Oficio (2020-2022). </w:t>
      </w:r>
    </w:p>
    <w:p w:rsidR="005B3B76" w:rsidRPr="00F2085C" w:rsidRDefault="00516EF4" w:rsidP="00F2085C">
      <w:pPr>
        <w:numPr>
          <w:ilvl w:val="0"/>
          <w:numId w:val="2"/>
        </w:numPr>
        <w:jc w:val="both"/>
      </w:pPr>
      <w:r w:rsidRPr="00F2085C">
        <w:t xml:space="preserve">Las competencias deben ser </w:t>
      </w:r>
      <w:r w:rsidRPr="00F2085C">
        <w:rPr>
          <w:b/>
          <w:bCs/>
        </w:rPr>
        <w:t xml:space="preserve">temáticamente proporcionales </w:t>
      </w:r>
      <w:r w:rsidRPr="00F2085C">
        <w:t xml:space="preserve">a la acción ministerial/servicio que se ejecuta desde el nivel central en la región. Por ejemplo, si hay una facultad de un ministerio en diseñar licitaciones, evaluar ofertas y decidir adjudicaciones el </w:t>
      </w:r>
      <w:proofErr w:type="spellStart"/>
      <w:r w:rsidRPr="00F2085C">
        <w:t>GoRe</w:t>
      </w:r>
      <w:proofErr w:type="spellEnd"/>
      <w:r w:rsidRPr="00F2085C">
        <w:t xml:space="preserve"> no puede sólo</w:t>
      </w:r>
      <w:r w:rsidR="00A5639A">
        <w:t xml:space="preserve"> </w:t>
      </w:r>
      <w:r w:rsidRPr="00F2085C">
        <w:t>“acompañar” el proceso.</w:t>
      </w:r>
    </w:p>
    <w:p w:rsidR="005B3B76" w:rsidRPr="00F2085C" w:rsidRDefault="00516EF4" w:rsidP="00F2085C">
      <w:pPr>
        <w:numPr>
          <w:ilvl w:val="0"/>
          <w:numId w:val="2"/>
        </w:numPr>
        <w:jc w:val="both"/>
      </w:pPr>
      <w:r w:rsidRPr="00F2085C">
        <w:t xml:space="preserve">Las competencias deben contar con una expresión </w:t>
      </w:r>
      <w:r w:rsidRPr="00F2085C">
        <w:rPr>
          <w:b/>
          <w:bCs/>
        </w:rPr>
        <w:t xml:space="preserve">presupuestaria suficiente </w:t>
      </w:r>
      <w:r w:rsidRPr="00F2085C">
        <w:t xml:space="preserve">que permita a los gobiernos regionales avanzar desde la participación, planificación y promoción hacia una capacidad de decisión, asignación y ejecución de </w:t>
      </w:r>
      <w:proofErr w:type="gramStart"/>
      <w:r w:rsidRPr="00F2085C">
        <w:t>los mismos</w:t>
      </w:r>
      <w:proofErr w:type="gramEnd"/>
      <w:r w:rsidRPr="00F2085C">
        <w:t xml:space="preserve">. No podemos permitir que se transfieran competencias a los </w:t>
      </w:r>
      <w:proofErr w:type="spellStart"/>
      <w:r w:rsidRPr="00F2085C">
        <w:t>GoRes</w:t>
      </w:r>
      <w:proofErr w:type="spellEnd"/>
      <w:r w:rsidRPr="00F2085C">
        <w:t xml:space="preserve"> con menos del 2% de la decisión hoy del presupuesto sectorial como ocurre con algunos servicios. </w:t>
      </w:r>
    </w:p>
    <w:p w:rsidR="005B3B76" w:rsidRPr="00F2085C" w:rsidRDefault="00516EF4" w:rsidP="00F2085C">
      <w:pPr>
        <w:numPr>
          <w:ilvl w:val="0"/>
          <w:numId w:val="2"/>
        </w:numPr>
        <w:jc w:val="both"/>
      </w:pPr>
      <w:r w:rsidRPr="00F2085C">
        <w:t xml:space="preserve">Las competencias transferidas deben ajustarse a un </w:t>
      </w:r>
      <w:r w:rsidRPr="00F2085C">
        <w:rPr>
          <w:b/>
          <w:bCs/>
        </w:rPr>
        <w:t xml:space="preserve">plan de financiamiento y de ingresos regionales acordes a las nuevas facultades </w:t>
      </w:r>
      <w:r w:rsidRPr="00F2085C">
        <w:t xml:space="preserve">de los </w:t>
      </w:r>
      <w:proofErr w:type="spellStart"/>
      <w:r w:rsidRPr="00F2085C">
        <w:t>GoRes</w:t>
      </w:r>
      <w:proofErr w:type="spellEnd"/>
      <w:r w:rsidRPr="00F2085C">
        <w:t xml:space="preserve">.  </w:t>
      </w:r>
    </w:p>
    <w:p w:rsidR="00F2085C" w:rsidRDefault="00F2085C" w:rsidP="00F2085C">
      <w:pPr>
        <w:jc w:val="both"/>
      </w:pPr>
    </w:p>
    <w:p w:rsidR="006A739C" w:rsidRPr="006A739C" w:rsidRDefault="006A739C" w:rsidP="006A739C">
      <w:pPr>
        <w:pStyle w:val="Prrafodelista"/>
        <w:numPr>
          <w:ilvl w:val="0"/>
          <w:numId w:val="15"/>
        </w:numPr>
        <w:jc w:val="both"/>
        <w:rPr>
          <w:b/>
          <w:u w:val="single"/>
        </w:rPr>
      </w:pPr>
      <w:r w:rsidRPr="006A739C">
        <w:rPr>
          <w:b/>
          <w:u w:val="single"/>
        </w:rPr>
        <w:t>Impuestos Regionales y Financiamiento para las regiones</w:t>
      </w:r>
    </w:p>
    <w:p w:rsidR="006A739C" w:rsidRDefault="006A739C" w:rsidP="00F2085C">
      <w:pPr>
        <w:jc w:val="both"/>
      </w:pPr>
    </w:p>
    <w:p w:rsidR="00F2085C" w:rsidRDefault="00F2085C" w:rsidP="00F2085C">
      <w:pPr>
        <w:jc w:val="both"/>
      </w:pPr>
      <w:r>
        <w:t xml:space="preserve">Debemos </w:t>
      </w:r>
      <w:r w:rsidRPr="00F2085C">
        <w:t xml:space="preserve">legislar sobre los </w:t>
      </w:r>
      <w:r w:rsidRPr="00F2085C">
        <w:rPr>
          <w:b/>
        </w:rPr>
        <w:t xml:space="preserve">Ingresos y Financiamiento de los </w:t>
      </w:r>
      <w:proofErr w:type="spellStart"/>
      <w:r w:rsidRPr="00F2085C">
        <w:rPr>
          <w:b/>
        </w:rPr>
        <w:t>GoRes</w:t>
      </w:r>
      <w:proofErr w:type="spellEnd"/>
    </w:p>
    <w:p w:rsidR="00F2085C" w:rsidRPr="00F2085C" w:rsidRDefault="00F2085C" w:rsidP="00F2085C">
      <w:pPr>
        <w:jc w:val="both"/>
      </w:pPr>
      <w:r>
        <w:t>Hoy e</w:t>
      </w:r>
      <w:r w:rsidRPr="00F2085C">
        <w:t xml:space="preserve">xisten dos tipos de gastos en los </w:t>
      </w:r>
      <w:proofErr w:type="spellStart"/>
      <w:r w:rsidRPr="00F2085C">
        <w:t>GoRes</w:t>
      </w:r>
      <w:proofErr w:type="spellEnd"/>
      <w:r w:rsidRPr="00F2085C">
        <w:t>.</w:t>
      </w:r>
    </w:p>
    <w:p w:rsidR="005B3B76" w:rsidRPr="00F2085C" w:rsidRDefault="00516EF4" w:rsidP="00F2085C">
      <w:pPr>
        <w:numPr>
          <w:ilvl w:val="0"/>
          <w:numId w:val="3"/>
        </w:numPr>
        <w:jc w:val="both"/>
      </w:pPr>
      <w:r w:rsidRPr="00F2085C">
        <w:rPr>
          <w:b/>
          <w:bCs/>
        </w:rPr>
        <w:t xml:space="preserve">Gasto Operacional: </w:t>
      </w:r>
      <w:r w:rsidRPr="00F2085C">
        <w:t>principalmente gasto en personal y compra de bienes y servicios. El 99,5% de los recursos para el gasto de funcionamiento provienen del Presupuesto de la Nación y corresponden a Aporte Fiscal que se materializa desde el Tesoro Público</w:t>
      </w:r>
    </w:p>
    <w:p w:rsidR="005B3B76" w:rsidRPr="00F2085C" w:rsidRDefault="00516EF4" w:rsidP="00F2085C">
      <w:pPr>
        <w:numPr>
          <w:ilvl w:val="1"/>
          <w:numId w:val="3"/>
        </w:numPr>
        <w:jc w:val="both"/>
      </w:pPr>
      <w:r w:rsidRPr="00F2085C">
        <w:t>70% del gasto presupuestado corresponde a gasto de personal</w:t>
      </w:r>
    </w:p>
    <w:p w:rsidR="005B3B76" w:rsidRPr="00F2085C" w:rsidRDefault="00516EF4" w:rsidP="00F2085C">
      <w:pPr>
        <w:numPr>
          <w:ilvl w:val="1"/>
          <w:numId w:val="3"/>
        </w:numPr>
        <w:jc w:val="both"/>
      </w:pPr>
      <w:r w:rsidRPr="00F2085C">
        <w:t>21% del gasto se destina a compras de bienes y servicios</w:t>
      </w:r>
    </w:p>
    <w:p w:rsidR="005B3B76" w:rsidRPr="00F2085C" w:rsidRDefault="00516EF4" w:rsidP="00F2085C">
      <w:pPr>
        <w:numPr>
          <w:ilvl w:val="1"/>
          <w:numId w:val="3"/>
        </w:numPr>
        <w:jc w:val="both"/>
      </w:pPr>
      <w:r w:rsidRPr="00F2085C">
        <w:t>9% del gasto corresponde a transferencias y a adquisición de activos no financieros</w:t>
      </w:r>
    </w:p>
    <w:p w:rsidR="005B3B76" w:rsidRPr="00F2085C" w:rsidRDefault="00516EF4" w:rsidP="00F2085C">
      <w:pPr>
        <w:pStyle w:val="Prrafodelista"/>
        <w:numPr>
          <w:ilvl w:val="0"/>
          <w:numId w:val="6"/>
        </w:numPr>
        <w:jc w:val="both"/>
      </w:pPr>
      <w:r w:rsidRPr="00F2085C">
        <w:rPr>
          <w:b/>
          <w:bCs/>
        </w:rPr>
        <w:t xml:space="preserve">Gasto Inversión: </w:t>
      </w:r>
      <w:r w:rsidRPr="00F2085C">
        <w:t>corresponde a iniciativas de inversión</w:t>
      </w:r>
    </w:p>
    <w:p w:rsidR="005B3B76" w:rsidRPr="00F2085C" w:rsidRDefault="00516EF4" w:rsidP="00F2085C">
      <w:pPr>
        <w:numPr>
          <w:ilvl w:val="1"/>
          <w:numId w:val="3"/>
        </w:numPr>
        <w:jc w:val="both"/>
      </w:pPr>
      <w:r w:rsidRPr="00F2085C">
        <w:t>63% del gasto presupuestado corresponde a iniciativas de inversión</w:t>
      </w:r>
    </w:p>
    <w:p w:rsidR="005B3B76" w:rsidRPr="00F2085C" w:rsidRDefault="00516EF4" w:rsidP="00F2085C">
      <w:pPr>
        <w:numPr>
          <w:ilvl w:val="1"/>
          <w:numId w:val="3"/>
        </w:numPr>
        <w:jc w:val="both"/>
      </w:pPr>
      <w:r w:rsidRPr="00F2085C">
        <w:t>26% del gasto se destina a transferencias de capital</w:t>
      </w:r>
    </w:p>
    <w:p w:rsidR="00F2085C" w:rsidRDefault="00516EF4" w:rsidP="00F2085C">
      <w:pPr>
        <w:numPr>
          <w:ilvl w:val="1"/>
          <w:numId w:val="3"/>
        </w:numPr>
        <w:jc w:val="both"/>
      </w:pPr>
      <w:r w:rsidRPr="00F2085C">
        <w:t>11% del gasto corresponde a transferencias y a adquisición de activos no financieros</w:t>
      </w:r>
    </w:p>
    <w:p w:rsidR="00F2085C" w:rsidRDefault="00F2085C" w:rsidP="00F2085C">
      <w:pPr>
        <w:jc w:val="both"/>
      </w:pPr>
      <w:r>
        <w:lastRenderedPageBreak/>
        <w:t>Proponemos:</w:t>
      </w:r>
    </w:p>
    <w:p w:rsidR="005B3B76" w:rsidRPr="00F2085C" w:rsidRDefault="00516EF4" w:rsidP="00F2085C">
      <w:pPr>
        <w:numPr>
          <w:ilvl w:val="0"/>
          <w:numId w:val="3"/>
        </w:numPr>
        <w:jc w:val="both"/>
      </w:pPr>
      <w:r w:rsidRPr="00F2085C">
        <w:t xml:space="preserve">Nuestros Gobiernos Regionales deberían contar con una </w:t>
      </w:r>
      <w:r w:rsidRPr="00F2085C">
        <w:rPr>
          <w:b/>
          <w:bCs/>
        </w:rPr>
        <w:t>fuente autónoma de financiamiento</w:t>
      </w:r>
      <w:r w:rsidRPr="00F2085C">
        <w:t xml:space="preserve"> cuya decisión de asignación sea plenamente del GORE.</w:t>
      </w:r>
    </w:p>
    <w:p w:rsidR="005B3B76" w:rsidRPr="00F2085C" w:rsidRDefault="00516EF4" w:rsidP="00F2085C">
      <w:pPr>
        <w:numPr>
          <w:ilvl w:val="0"/>
          <w:numId w:val="3"/>
        </w:numPr>
        <w:jc w:val="both"/>
      </w:pPr>
      <w:r w:rsidRPr="00F2085C">
        <w:rPr>
          <w:b/>
          <w:bCs/>
        </w:rPr>
        <w:t xml:space="preserve">Evitar la creación de regiones rezagadas que no tengan fuentes recaudatorias </w:t>
      </w:r>
      <w:r w:rsidRPr="00F2085C">
        <w:t>y que signifique una situación desmedrada con respecto a las que concentren dichas fuentes de recaudación.</w:t>
      </w:r>
    </w:p>
    <w:p w:rsidR="005B3B76" w:rsidRPr="00F2085C" w:rsidRDefault="00516EF4" w:rsidP="00F2085C">
      <w:pPr>
        <w:numPr>
          <w:ilvl w:val="0"/>
          <w:numId w:val="3"/>
        </w:numPr>
        <w:jc w:val="both"/>
      </w:pPr>
      <w:r w:rsidRPr="00F2085C">
        <w:rPr>
          <w:b/>
          <w:bCs/>
        </w:rPr>
        <w:t>Crear un modelo similar al de rentas municipales</w:t>
      </w:r>
      <w:r w:rsidRPr="00F2085C">
        <w:t xml:space="preserve">, en el que se crea una recaudación nacional con un algoritmo de distribución que trata de equiparar el financiamiento entre municipios. La propuesta concreta es crear un </w:t>
      </w:r>
      <w:r w:rsidRPr="00F2085C">
        <w:rPr>
          <w:b/>
          <w:bCs/>
        </w:rPr>
        <w:t>Fondo Común Regional (FCR).</w:t>
      </w:r>
    </w:p>
    <w:p w:rsidR="005B3B76" w:rsidRPr="00F2085C" w:rsidRDefault="00516EF4" w:rsidP="00F2085C">
      <w:pPr>
        <w:numPr>
          <w:ilvl w:val="0"/>
          <w:numId w:val="3"/>
        </w:numPr>
        <w:jc w:val="both"/>
      </w:pPr>
      <w:r w:rsidRPr="00F2085C">
        <w:rPr>
          <w:b/>
          <w:bCs/>
        </w:rPr>
        <w:t xml:space="preserve">El FCR será una fuente de financiamiento de libre asignación por parte del GORE, </w:t>
      </w:r>
      <w:r w:rsidRPr="00F2085C">
        <w:t>quién deberá decidir cuánto se orienta a gasto de funcionamiento y transferencias, por un lado, y por otro, la asignación a proyectos de inversión regionales, y someterlo a la aprobación del CORE.</w:t>
      </w:r>
    </w:p>
    <w:p w:rsidR="005B3B76" w:rsidRPr="00F2085C" w:rsidRDefault="00516EF4" w:rsidP="00F2085C">
      <w:pPr>
        <w:numPr>
          <w:ilvl w:val="1"/>
          <w:numId w:val="3"/>
        </w:numPr>
        <w:jc w:val="both"/>
      </w:pPr>
      <w:r w:rsidRPr="00F2085C">
        <w:t xml:space="preserve">Revisar los derechos, patentes y regalías en cuanto a los montos asociados a la determinación de los cargos base en el caso de patentes mineras, patentes acuícolas, patentes por no uso de derechos de agua e impuestos a casinos de juegos. </w:t>
      </w:r>
    </w:p>
    <w:p w:rsidR="005B3B76" w:rsidRPr="00F2085C" w:rsidRDefault="00516EF4" w:rsidP="00F2085C">
      <w:pPr>
        <w:numPr>
          <w:ilvl w:val="1"/>
          <w:numId w:val="3"/>
        </w:numPr>
        <w:jc w:val="both"/>
      </w:pPr>
      <w:r w:rsidRPr="00F2085C">
        <w:t>Incorporar al FCR la totalidad del impuesto verde a fuentes fijas y móviles, que se reparte entre Gobiernos Regionales y Municipios.</w:t>
      </w:r>
    </w:p>
    <w:p w:rsidR="005B3B76" w:rsidRPr="00F2085C" w:rsidRDefault="00516EF4" w:rsidP="00F2085C">
      <w:pPr>
        <w:numPr>
          <w:ilvl w:val="1"/>
          <w:numId w:val="3"/>
        </w:numPr>
        <w:jc w:val="both"/>
      </w:pPr>
      <w:r w:rsidRPr="00F2085C">
        <w:t>Incorporar el 100% de la recaudación del I</w:t>
      </w:r>
      <w:r>
        <w:t>mpuesto Específico a la Minería</w:t>
      </w:r>
      <w:r w:rsidRPr="00F2085C">
        <w:t xml:space="preserve"> al FCR.</w:t>
      </w:r>
    </w:p>
    <w:p w:rsidR="005B3B76" w:rsidRPr="00F2085C" w:rsidRDefault="00516EF4" w:rsidP="00F2085C">
      <w:pPr>
        <w:numPr>
          <w:ilvl w:val="1"/>
          <w:numId w:val="3"/>
        </w:numPr>
        <w:jc w:val="both"/>
      </w:pPr>
      <w:r w:rsidRPr="00F2085C">
        <w:t xml:space="preserve">Explorar la aplicación de tasas al tonelaje movilizado en puertos y aeropuertos del país, y que se defina una asignación compartida al FCM y al FCR (por </w:t>
      </w:r>
      <w:proofErr w:type="gramStart"/>
      <w:r w:rsidRPr="00F2085C">
        <w:t>ejemplo</w:t>
      </w:r>
      <w:proofErr w:type="gramEnd"/>
      <w:r w:rsidRPr="00F2085C">
        <w:t xml:space="preserve"> USD 1 por ton).</w:t>
      </w:r>
    </w:p>
    <w:p w:rsidR="00F2085C" w:rsidRPr="00F2085C" w:rsidRDefault="00F2085C" w:rsidP="00F2085C">
      <w:pPr>
        <w:ind w:left="720"/>
        <w:jc w:val="both"/>
      </w:pPr>
    </w:p>
    <w:p w:rsidR="00F2085C" w:rsidRPr="00F2085C" w:rsidRDefault="00F2085C" w:rsidP="00F2085C">
      <w:pPr>
        <w:jc w:val="both"/>
      </w:pPr>
    </w:p>
    <w:p w:rsidR="00F2085C" w:rsidRDefault="006A739C" w:rsidP="00F2085C">
      <w:pPr>
        <w:jc w:val="both"/>
        <w:rPr>
          <w:b/>
          <w:u w:val="single"/>
        </w:rPr>
      </w:pPr>
      <w:r w:rsidRPr="006A739C">
        <w:rPr>
          <w:b/>
          <w:u w:val="single"/>
        </w:rPr>
        <w:t>¿Qué hemos avanzado?</w:t>
      </w:r>
    </w:p>
    <w:p w:rsidR="006A739C" w:rsidRPr="006A739C" w:rsidRDefault="006A739C" w:rsidP="006A739C">
      <w:pPr>
        <w:pStyle w:val="Prrafodelista"/>
        <w:numPr>
          <w:ilvl w:val="0"/>
          <w:numId w:val="17"/>
        </w:numPr>
        <w:jc w:val="both"/>
        <w:rPr>
          <w:b/>
          <w:u w:val="single"/>
        </w:rPr>
      </w:pPr>
      <w:r>
        <w:t>A instancias de las bancadas regionalistas del Senado y la Cámara de Diputados se acordó con el gobierno la instalación de una Mesa Técnica para la Descentralización.</w:t>
      </w:r>
    </w:p>
    <w:p w:rsidR="006A739C" w:rsidRPr="006A739C" w:rsidRDefault="006A739C" w:rsidP="006A739C">
      <w:pPr>
        <w:pStyle w:val="Prrafodelista"/>
        <w:numPr>
          <w:ilvl w:val="0"/>
          <w:numId w:val="17"/>
        </w:numPr>
        <w:jc w:val="both"/>
        <w:rPr>
          <w:b/>
          <w:u w:val="single"/>
        </w:rPr>
      </w:pPr>
      <w:r>
        <w:t xml:space="preserve">En Mesa Técnica pedimos que estén considerados con participación activa los equipos técnicos de la Cámara y del Senado, representantes de Centros de Estudios, Universidades, Representantes de la Sociedad Civil, Consejeros Regionales, </w:t>
      </w:r>
      <w:proofErr w:type="gramStart"/>
      <w:r>
        <w:t>Concejales</w:t>
      </w:r>
      <w:proofErr w:type="gramEnd"/>
      <w:r>
        <w:t>, entre otros actores porque nos parece relevante que sean escuchadas todas las voces.</w:t>
      </w:r>
    </w:p>
    <w:p w:rsidR="006A739C" w:rsidRPr="006A739C" w:rsidRDefault="006A739C" w:rsidP="006A739C">
      <w:pPr>
        <w:pStyle w:val="Prrafodelista"/>
        <w:numPr>
          <w:ilvl w:val="0"/>
          <w:numId w:val="17"/>
        </w:numPr>
        <w:jc w:val="both"/>
        <w:rPr>
          <w:b/>
          <w:u w:val="single"/>
        </w:rPr>
      </w:pPr>
      <w:r>
        <w:t>Esta Mesa Técnica tendrá un plazo de 90 días para evacuar un documento con propuestas y medidas que avancen en distintos ámbitos.</w:t>
      </w:r>
    </w:p>
    <w:p w:rsidR="006A739C" w:rsidRPr="006A739C" w:rsidRDefault="006A739C" w:rsidP="006A739C">
      <w:pPr>
        <w:pStyle w:val="Prrafodelista"/>
        <w:numPr>
          <w:ilvl w:val="0"/>
          <w:numId w:val="17"/>
        </w:numPr>
        <w:jc w:val="both"/>
        <w:rPr>
          <w:b/>
          <w:u w:val="single"/>
        </w:rPr>
      </w:pPr>
      <w:r>
        <w:lastRenderedPageBreak/>
        <w:t>El trabajo de esta Mesa Técnica estará focalizado en Capital Humano y participación; Planes Regionales y Ordenamiento Territorial; Financiamiento Regional; y la conformación de un Comité Regional de Descentralización.</w:t>
      </w:r>
    </w:p>
    <w:p w:rsidR="006A739C" w:rsidRDefault="006A739C" w:rsidP="006A739C">
      <w:pPr>
        <w:jc w:val="both"/>
        <w:rPr>
          <w:b/>
          <w:u w:val="single"/>
        </w:rPr>
      </w:pPr>
    </w:p>
    <w:p w:rsidR="006A739C" w:rsidRDefault="006A739C" w:rsidP="006A739C">
      <w:pPr>
        <w:jc w:val="both"/>
        <w:rPr>
          <w:b/>
          <w:u w:val="single"/>
        </w:rPr>
      </w:pPr>
    </w:p>
    <w:p w:rsidR="006A739C" w:rsidRDefault="006A739C" w:rsidP="006A739C">
      <w:pPr>
        <w:jc w:val="both"/>
        <w:rPr>
          <w:b/>
          <w:u w:val="single"/>
        </w:rPr>
      </w:pPr>
      <w:bookmarkStart w:id="0" w:name="_GoBack"/>
      <w:bookmarkEnd w:id="0"/>
    </w:p>
    <w:p w:rsidR="006A739C" w:rsidRPr="006A739C" w:rsidRDefault="006A739C" w:rsidP="006A739C">
      <w:pPr>
        <w:jc w:val="center"/>
        <w:rPr>
          <w:b/>
        </w:rPr>
      </w:pPr>
      <w:r w:rsidRPr="006A739C">
        <w:rPr>
          <w:b/>
        </w:rPr>
        <w:t>Si avanzamos en esta línea con una visión común podremos generar las medidas necesarias para combatir la desigualdad y construir un Chile descentralizado para que sea desarrollado.</w:t>
      </w:r>
    </w:p>
    <w:p w:rsidR="00F2085C" w:rsidRDefault="00F2085C" w:rsidP="00F2085C">
      <w:pPr>
        <w:jc w:val="both"/>
      </w:pPr>
    </w:p>
    <w:p w:rsidR="00F2085C" w:rsidRDefault="00F2085C" w:rsidP="009B38EA">
      <w:pPr>
        <w:jc w:val="center"/>
      </w:pPr>
    </w:p>
    <w:p w:rsidR="00F2085C" w:rsidRDefault="00F2085C" w:rsidP="009B38EA">
      <w:pPr>
        <w:jc w:val="center"/>
      </w:pPr>
    </w:p>
    <w:p w:rsidR="00F2085C" w:rsidRDefault="00F2085C" w:rsidP="00F2085C">
      <w:pPr>
        <w:pStyle w:val="Prrafodelista"/>
        <w:jc w:val="both"/>
      </w:pPr>
    </w:p>
    <w:sectPr w:rsidR="00F2085C" w:rsidSect="009B38EA">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59" w:rsidRDefault="00287559" w:rsidP="00D31136">
      <w:pPr>
        <w:spacing w:after="0" w:line="240" w:lineRule="auto"/>
      </w:pPr>
      <w:r>
        <w:separator/>
      </w:r>
    </w:p>
  </w:endnote>
  <w:endnote w:type="continuationSeparator" w:id="0">
    <w:p w:rsidR="00287559" w:rsidRDefault="00287559" w:rsidP="00D3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59" w:rsidRDefault="00287559" w:rsidP="00D31136">
      <w:pPr>
        <w:spacing w:after="0" w:line="240" w:lineRule="auto"/>
      </w:pPr>
      <w:r>
        <w:separator/>
      </w:r>
    </w:p>
  </w:footnote>
  <w:footnote w:type="continuationSeparator" w:id="0">
    <w:p w:rsidR="00287559" w:rsidRDefault="00287559" w:rsidP="00D3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AA9" w:rsidRDefault="003F0AA9">
    <w:pPr>
      <w:pStyle w:val="Encabezado"/>
    </w:pPr>
    <w:r>
      <w:rPr>
        <w:noProof/>
      </w:rPr>
      <w:drawing>
        <wp:inline distT="0" distB="0" distL="0" distR="0" wp14:anchorId="490F4FCC" wp14:editId="6B751A9A">
          <wp:extent cx="751348" cy="646825"/>
          <wp:effectExtent l="0" t="0" r="0" b="0"/>
          <wp:docPr id="4" name="Imagen 4">
            <a:extLst xmlns:a="http://schemas.openxmlformats.org/drawingml/2006/main">
              <a:ext uri="{FF2B5EF4-FFF2-40B4-BE49-F238E27FC236}">
                <a16:creationId xmlns:a16="http://schemas.microsoft.com/office/drawing/2014/main" id="{3A9C8574-8D02-47CB-B6A8-A5842195E2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FF2B5EF4-FFF2-40B4-BE49-F238E27FC236}">
                        <a16:creationId xmlns:a16="http://schemas.microsoft.com/office/drawing/2014/main" id="{3A9C8574-8D02-47CB-B6A8-A5842195E2C2}"/>
                      </a:ext>
                    </a:extLst>
                  </pic:cNvPr>
                  <pic:cNvPicPr>
                    <a:picLocks noChangeAspect="1"/>
                  </pic:cNvPicPr>
                </pic:nvPicPr>
                <pic:blipFill>
                  <a:blip r:embed="rId1"/>
                  <a:stretch>
                    <a:fillRect/>
                  </a:stretch>
                </pic:blipFill>
                <pic:spPr>
                  <a:xfrm>
                    <a:off x="0" y="0"/>
                    <a:ext cx="775932" cy="667989"/>
                  </a:xfrm>
                  <a:prstGeom prst="rect">
                    <a:avLst/>
                  </a:prstGeom>
                </pic:spPr>
              </pic:pic>
            </a:graphicData>
          </a:graphic>
        </wp:inline>
      </w:drawing>
    </w:r>
    <w:r>
      <w:rPr>
        <w:noProof/>
      </w:rPr>
      <w:drawing>
        <wp:inline distT="0" distB="0" distL="0" distR="0" wp14:anchorId="1263B491" wp14:editId="1612E7A9">
          <wp:extent cx="1099185" cy="619587"/>
          <wp:effectExtent l="0" t="0" r="0" b="9525"/>
          <wp:docPr id="6" name="Imagen 6">
            <a:extLst xmlns:a="http://schemas.openxmlformats.org/drawingml/2006/main">
              <a:ext uri="{FF2B5EF4-FFF2-40B4-BE49-F238E27FC236}">
                <a16:creationId xmlns:a16="http://schemas.microsoft.com/office/drawing/2014/main" id="{C5E2FD49-307A-4CFE-9B62-5933CB08E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a:extLst>
                      <a:ext uri="{FF2B5EF4-FFF2-40B4-BE49-F238E27FC236}">
                        <a16:creationId xmlns:a16="http://schemas.microsoft.com/office/drawing/2014/main" id="{C5E2FD49-307A-4CFE-9B62-5933CB08E8A3}"/>
                      </a:ext>
                    </a:extLst>
                  </pic:cNvPr>
                  <pic:cNvPicPr>
                    <a:picLocks noChangeAspect="1"/>
                  </pic:cNvPicPr>
                </pic:nvPicPr>
                <pic:blipFill rotWithShape="1">
                  <a:blip r:embed="rId2"/>
                  <a:srcRect t="55916" b="4381"/>
                  <a:stretch/>
                </pic:blipFill>
                <pic:spPr>
                  <a:xfrm>
                    <a:off x="0" y="0"/>
                    <a:ext cx="1141010" cy="643163"/>
                  </a:xfrm>
                  <a:prstGeom prst="rect">
                    <a:avLst/>
                  </a:prstGeom>
                </pic:spPr>
              </pic:pic>
            </a:graphicData>
          </a:graphic>
        </wp:inline>
      </w:drawing>
    </w:r>
  </w:p>
  <w:p w:rsidR="003F0AA9" w:rsidRDefault="003F0A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12F8"/>
    <w:multiLevelType w:val="hybridMultilevel"/>
    <w:tmpl w:val="D20E2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D44387D"/>
    <w:multiLevelType w:val="hybridMultilevel"/>
    <w:tmpl w:val="C4A21E62"/>
    <w:lvl w:ilvl="0" w:tplc="F6EA04F4">
      <w:start w:val="1"/>
      <w:numFmt w:val="bullet"/>
      <w:lvlText w:val="•"/>
      <w:lvlJc w:val="left"/>
      <w:pPr>
        <w:tabs>
          <w:tab w:val="num" w:pos="720"/>
        </w:tabs>
        <w:ind w:left="720" w:hanging="360"/>
      </w:pPr>
      <w:rPr>
        <w:rFonts w:ascii="Arial" w:hAnsi="Arial" w:hint="default"/>
      </w:rPr>
    </w:lvl>
    <w:lvl w:ilvl="1" w:tplc="727C92FE">
      <w:start w:val="206"/>
      <w:numFmt w:val="bullet"/>
      <w:lvlText w:val="o"/>
      <w:lvlJc w:val="left"/>
      <w:pPr>
        <w:tabs>
          <w:tab w:val="num" w:pos="1440"/>
        </w:tabs>
        <w:ind w:left="1440" w:hanging="360"/>
      </w:pPr>
      <w:rPr>
        <w:rFonts w:ascii="Courier New" w:hAnsi="Courier New" w:hint="default"/>
      </w:rPr>
    </w:lvl>
    <w:lvl w:ilvl="2" w:tplc="9F04FE2C" w:tentative="1">
      <w:start w:val="1"/>
      <w:numFmt w:val="bullet"/>
      <w:lvlText w:val="•"/>
      <w:lvlJc w:val="left"/>
      <w:pPr>
        <w:tabs>
          <w:tab w:val="num" w:pos="2160"/>
        </w:tabs>
        <w:ind w:left="2160" w:hanging="360"/>
      </w:pPr>
      <w:rPr>
        <w:rFonts w:ascii="Arial" w:hAnsi="Arial" w:hint="default"/>
      </w:rPr>
    </w:lvl>
    <w:lvl w:ilvl="3" w:tplc="6FFEE302" w:tentative="1">
      <w:start w:val="1"/>
      <w:numFmt w:val="bullet"/>
      <w:lvlText w:val="•"/>
      <w:lvlJc w:val="left"/>
      <w:pPr>
        <w:tabs>
          <w:tab w:val="num" w:pos="2880"/>
        </w:tabs>
        <w:ind w:left="2880" w:hanging="360"/>
      </w:pPr>
      <w:rPr>
        <w:rFonts w:ascii="Arial" w:hAnsi="Arial" w:hint="default"/>
      </w:rPr>
    </w:lvl>
    <w:lvl w:ilvl="4" w:tplc="447A7996" w:tentative="1">
      <w:start w:val="1"/>
      <w:numFmt w:val="bullet"/>
      <w:lvlText w:val="•"/>
      <w:lvlJc w:val="left"/>
      <w:pPr>
        <w:tabs>
          <w:tab w:val="num" w:pos="3600"/>
        </w:tabs>
        <w:ind w:left="3600" w:hanging="360"/>
      </w:pPr>
      <w:rPr>
        <w:rFonts w:ascii="Arial" w:hAnsi="Arial" w:hint="default"/>
      </w:rPr>
    </w:lvl>
    <w:lvl w:ilvl="5" w:tplc="05AA9C80" w:tentative="1">
      <w:start w:val="1"/>
      <w:numFmt w:val="bullet"/>
      <w:lvlText w:val="•"/>
      <w:lvlJc w:val="left"/>
      <w:pPr>
        <w:tabs>
          <w:tab w:val="num" w:pos="4320"/>
        </w:tabs>
        <w:ind w:left="4320" w:hanging="360"/>
      </w:pPr>
      <w:rPr>
        <w:rFonts w:ascii="Arial" w:hAnsi="Arial" w:hint="default"/>
      </w:rPr>
    </w:lvl>
    <w:lvl w:ilvl="6" w:tplc="61463B74" w:tentative="1">
      <w:start w:val="1"/>
      <w:numFmt w:val="bullet"/>
      <w:lvlText w:val="•"/>
      <w:lvlJc w:val="left"/>
      <w:pPr>
        <w:tabs>
          <w:tab w:val="num" w:pos="5040"/>
        </w:tabs>
        <w:ind w:left="5040" w:hanging="360"/>
      </w:pPr>
      <w:rPr>
        <w:rFonts w:ascii="Arial" w:hAnsi="Arial" w:hint="default"/>
      </w:rPr>
    </w:lvl>
    <w:lvl w:ilvl="7" w:tplc="41E6A0D2" w:tentative="1">
      <w:start w:val="1"/>
      <w:numFmt w:val="bullet"/>
      <w:lvlText w:val="•"/>
      <w:lvlJc w:val="left"/>
      <w:pPr>
        <w:tabs>
          <w:tab w:val="num" w:pos="5760"/>
        </w:tabs>
        <w:ind w:left="5760" w:hanging="360"/>
      </w:pPr>
      <w:rPr>
        <w:rFonts w:ascii="Arial" w:hAnsi="Arial" w:hint="default"/>
      </w:rPr>
    </w:lvl>
    <w:lvl w:ilvl="8" w:tplc="26BEA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76370"/>
    <w:multiLevelType w:val="hybridMultilevel"/>
    <w:tmpl w:val="355A2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E7580D"/>
    <w:multiLevelType w:val="hybridMultilevel"/>
    <w:tmpl w:val="885841D2"/>
    <w:lvl w:ilvl="0" w:tplc="A8320D16">
      <w:start w:val="1"/>
      <w:numFmt w:val="bullet"/>
      <w:lvlText w:val="•"/>
      <w:lvlJc w:val="left"/>
      <w:pPr>
        <w:tabs>
          <w:tab w:val="num" w:pos="720"/>
        </w:tabs>
        <w:ind w:left="720" w:hanging="360"/>
      </w:pPr>
      <w:rPr>
        <w:rFonts w:ascii="Arial" w:hAnsi="Arial" w:hint="default"/>
      </w:rPr>
    </w:lvl>
    <w:lvl w:ilvl="1" w:tplc="7084DD32" w:tentative="1">
      <w:start w:val="1"/>
      <w:numFmt w:val="bullet"/>
      <w:lvlText w:val="•"/>
      <w:lvlJc w:val="left"/>
      <w:pPr>
        <w:tabs>
          <w:tab w:val="num" w:pos="1440"/>
        </w:tabs>
        <w:ind w:left="1440" w:hanging="360"/>
      </w:pPr>
      <w:rPr>
        <w:rFonts w:ascii="Arial" w:hAnsi="Arial" w:hint="default"/>
      </w:rPr>
    </w:lvl>
    <w:lvl w:ilvl="2" w:tplc="45DEC15C" w:tentative="1">
      <w:start w:val="1"/>
      <w:numFmt w:val="bullet"/>
      <w:lvlText w:val="•"/>
      <w:lvlJc w:val="left"/>
      <w:pPr>
        <w:tabs>
          <w:tab w:val="num" w:pos="2160"/>
        </w:tabs>
        <w:ind w:left="2160" w:hanging="360"/>
      </w:pPr>
      <w:rPr>
        <w:rFonts w:ascii="Arial" w:hAnsi="Arial" w:hint="default"/>
      </w:rPr>
    </w:lvl>
    <w:lvl w:ilvl="3" w:tplc="7B16673C" w:tentative="1">
      <w:start w:val="1"/>
      <w:numFmt w:val="bullet"/>
      <w:lvlText w:val="•"/>
      <w:lvlJc w:val="left"/>
      <w:pPr>
        <w:tabs>
          <w:tab w:val="num" w:pos="2880"/>
        </w:tabs>
        <w:ind w:left="2880" w:hanging="360"/>
      </w:pPr>
      <w:rPr>
        <w:rFonts w:ascii="Arial" w:hAnsi="Arial" w:hint="default"/>
      </w:rPr>
    </w:lvl>
    <w:lvl w:ilvl="4" w:tplc="CAD26E88" w:tentative="1">
      <w:start w:val="1"/>
      <w:numFmt w:val="bullet"/>
      <w:lvlText w:val="•"/>
      <w:lvlJc w:val="left"/>
      <w:pPr>
        <w:tabs>
          <w:tab w:val="num" w:pos="3600"/>
        </w:tabs>
        <w:ind w:left="3600" w:hanging="360"/>
      </w:pPr>
      <w:rPr>
        <w:rFonts w:ascii="Arial" w:hAnsi="Arial" w:hint="default"/>
      </w:rPr>
    </w:lvl>
    <w:lvl w:ilvl="5" w:tplc="F31ADC0C" w:tentative="1">
      <w:start w:val="1"/>
      <w:numFmt w:val="bullet"/>
      <w:lvlText w:val="•"/>
      <w:lvlJc w:val="left"/>
      <w:pPr>
        <w:tabs>
          <w:tab w:val="num" w:pos="4320"/>
        </w:tabs>
        <w:ind w:left="4320" w:hanging="360"/>
      </w:pPr>
      <w:rPr>
        <w:rFonts w:ascii="Arial" w:hAnsi="Arial" w:hint="default"/>
      </w:rPr>
    </w:lvl>
    <w:lvl w:ilvl="6" w:tplc="4790EFE6" w:tentative="1">
      <w:start w:val="1"/>
      <w:numFmt w:val="bullet"/>
      <w:lvlText w:val="•"/>
      <w:lvlJc w:val="left"/>
      <w:pPr>
        <w:tabs>
          <w:tab w:val="num" w:pos="5040"/>
        </w:tabs>
        <w:ind w:left="5040" w:hanging="360"/>
      </w:pPr>
      <w:rPr>
        <w:rFonts w:ascii="Arial" w:hAnsi="Arial" w:hint="default"/>
      </w:rPr>
    </w:lvl>
    <w:lvl w:ilvl="7" w:tplc="E84C328A" w:tentative="1">
      <w:start w:val="1"/>
      <w:numFmt w:val="bullet"/>
      <w:lvlText w:val="•"/>
      <w:lvlJc w:val="left"/>
      <w:pPr>
        <w:tabs>
          <w:tab w:val="num" w:pos="5760"/>
        </w:tabs>
        <w:ind w:left="5760" w:hanging="360"/>
      </w:pPr>
      <w:rPr>
        <w:rFonts w:ascii="Arial" w:hAnsi="Arial" w:hint="default"/>
      </w:rPr>
    </w:lvl>
    <w:lvl w:ilvl="8" w:tplc="3D7879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2624DC"/>
    <w:multiLevelType w:val="hybridMultilevel"/>
    <w:tmpl w:val="A4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4C02A6"/>
    <w:multiLevelType w:val="hybridMultilevel"/>
    <w:tmpl w:val="7CDC80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2D70AE"/>
    <w:multiLevelType w:val="hybridMultilevel"/>
    <w:tmpl w:val="30104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B4F4DCC"/>
    <w:multiLevelType w:val="hybridMultilevel"/>
    <w:tmpl w:val="8DD495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4DC2524E"/>
    <w:multiLevelType w:val="multilevel"/>
    <w:tmpl w:val="ED06B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497365"/>
    <w:multiLevelType w:val="hybridMultilevel"/>
    <w:tmpl w:val="7F1CD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6A401F"/>
    <w:multiLevelType w:val="hybridMultilevel"/>
    <w:tmpl w:val="3F9C8FD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12677DE"/>
    <w:multiLevelType w:val="hybridMultilevel"/>
    <w:tmpl w:val="A9E677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5B01A3"/>
    <w:multiLevelType w:val="hybridMultilevel"/>
    <w:tmpl w:val="0F209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CA6C42"/>
    <w:multiLevelType w:val="hybridMultilevel"/>
    <w:tmpl w:val="86B096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76021B3"/>
    <w:multiLevelType w:val="hybridMultilevel"/>
    <w:tmpl w:val="1C8449D2"/>
    <w:lvl w:ilvl="0" w:tplc="902A3B24">
      <w:start w:val="1"/>
      <w:numFmt w:val="bullet"/>
      <w:lvlText w:val="•"/>
      <w:lvlJc w:val="left"/>
      <w:pPr>
        <w:tabs>
          <w:tab w:val="num" w:pos="720"/>
        </w:tabs>
        <w:ind w:left="720" w:hanging="360"/>
      </w:pPr>
      <w:rPr>
        <w:rFonts w:ascii="Arial" w:hAnsi="Arial" w:hint="default"/>
      </w:rPr>
    </w:lvl>
    <w:lvl w:ilvl="1" w:tplc="29EEE5EE" w:tentative="1">
      <w:start w:val="1"/>
      <w:numFmt w:val="bullet"/>
      <w:lvlText w:val="•"/>
      <w:lvlJc w:val="left"/>
      <w:pPr>
        <w:tabs>
          <w:tab w:val="num" w:pos="1440"/>
        </w:tabs>
        <w:ind w:left="1440" w:hanging="360"/>
      </w:pPr>
      <w:rPr>
        <w:rFonts w:ascii="Arial" w:hAnsi="Arial" w:hint="default"/>
      </w:rPr>
    </w:lvl>
    <w:lvl w:ilvl="2" w:tplc="89982AF6" w:tentative="1">
      <w:start w:val="1"/>
      <w:numFmt w:val="bullet"/>
      <w:lvlText w:val="•"/>
      <w:lvlJc w:val="left"/>
      <w:pPr>
        <w:tabs>
          <w:tab w:val="num" w:pos="2160"/>
        </w:tabs>
        <w:ind w:left="2160" w:hanging="360"/>
      </w:pPr>
      <w:rPr>
        <w:rFonts w:ascii="Arial" w:hAnsi="Arial" w:hint="default"/>
      </w:rPr>
    </w:lvl>
    <w:lvl w:ilvl="3" w:tplc="9DB81F24" w:tentative="1">
      <w:start w:val="1"/>
      <w:numFmt w:val="bullet"/>
      <w:lvlText w:val="•"/>
      <w:lvlJc w:val="left"/>
      <w:pPr>
        <w:tabs>
          <w:tab w:val="num" w:pos="2880"/>
        </w:tabs>
        <w:ind w:left="2880" w:hanging="360"/>
      </w:pPr>
      <w:rPr>
        <w:rFonts w:ascii="Arial" w:hAnsi="Arial" w:hint="default"/>
      </w:rPr>
    </w:lvl>
    <w:lvl w:ilvl="4" w:tplc="0446701C" w:tentative="1">
      <w:start w:val="1"/>
      <w:numFmt w:val="bullet"/>
      <w:lvlText w:val="•"/>
      <w:lvlJc w:val="left"/>
      <w:pPr>
        <w:tabs>
          <w:tab w:val="num" w:pos="3600"/>
        </w:tabs>
        <w:ind w:left="3600" w:hanging="360"/>
      </w:pPr>
      <w:rPr>
        <w:rFonts w:ascii="Arial" w:hAnsi="Arial" w:hint="default"/>
      </w:rPr>
    </w:lvl>
    <w:lvl w:ilvl="5" w:tplc="83D2A138" w:tentative="1">
      <w:start w:val="1"/>
      <w:numFmt w:val="bullet"/>
      <w:lvlText w:val="•"/>
      <w:lvlJc w:val="left"/>
      <w:pPr>
        <w:tabs>
          <w:tab w:val="num" w:pos="4320"/>
        </w:tabs>
        <w:ind w:left="4320" w:hanging="360"/>
      </w:pPr>
      <w:rPr>
        <w:rFonts w:ascii="Arial" w:hAnsi="Arial" w:hint="default"/>
      </w:rPr>
    </w:lvl>
    <w:lvl w:ilvl="6" w:tplc="4DF2B90A" w:tentative="1">
      <w:start w:val="1"/>
      <w:numFmt w:val="bullet"/>
      <w:lvlText w:val="•"/>
      <w:lvlJc w:val="left"/>
      <w:pPr>
        <w:tabs>
          <w:tab w:val="num" w:pos="5040"/>
        </w:tabs>
        <w:ind w:left="5040" w:hanging="360"/>
      </w:pPr>
      <w:rPr>
        <w:rFonts w:ascii="Arial" w:hAnsi="Arial" w:hint="default"/>
      </w:rPr>
    </w:lvl>
    <w:lvl w:ilvl="7" w:tplc="5D5E4072" w:tentative="1">
      <w:start w:val="1"/>
      <w:numFmt w:val="bullet"/>
      <w:lvlText w:val="•"/>
      <w:lvlJc w:val="left"/>
      <w:pPr>
        <w:tabs>
          <w:tab w:val="num" w:pos="5760"/>
        </w:tabs>
        <w:ind w:left="5760" w:hanging="360"/>
      </w:pPr>
      <w:rPr>
        <w:rFonts w:ascii="Arial" w:hAnsi="Arial" w:hint="default"/>
      </w:rPr>
    </w:lvl>
    <w:lvl w:ilvl="8" w:tplc="CDA01A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4D3ECB"/>
    <w:multiLevelType w:val="hybridMultilevel"/>
    <w:tmpl w:val="6AD84D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2E4A2E"/>
    <w:multiLevelType w:val="hybridMultilevel"/>
    <w:tmpl w:val="FF062714"/>
    <w:lvl w:ilvl="0" w:tplc="B4906988">
      <w:start w:val="1"/>
      <w:numFmt w:val="bullet"/>
      <w:lvlText w:val=""/>
      <w:lvlJc w:val="left"/>
      <w:pPr>
        <w:tabs>
          <w:tab w:val="num" w:pos="720"/>
        </w:tabs>
        <w:ind w:left="720" w:hanging="360"/>
      </w:pPr>
      <w:rPr>
        <w:rFonts w:ascii="Wingdings" w:hAnsi="Wingdings" w:hint="default"/>
      </w:rPr>
    </w:lvl>
    <w:lvl w:ilvl="1" w:tplc="F49CCA2A">
      <w:start w:val="206"/>
      <w:numFmt w:val="bullet"/>
      <w:lvlText w:val="o"/>
      <w:lvlJc w:val="left"/>
      <w:pPr>
        <w:tabs>
          <w:tab w:val="num" w:pos="1440"/>
        </w:tabs>
        <w:ind w:left="1440" w:hanging="360"/>
      </w:pPr>
      <w:rPr>
        <w:rFonts w:ascii="Courier New" w:hAnsi="Courier New" w:hint="default"/>
      </w:rPr>
    </w:lvl>
    <w:lvl w:ilvl="2" w:tplc="44640420" w:tentative="1">
      <w:start w:val="1"/>
      <w:numFmt w:val="bullet"/>
      <w:lvlText w:val=""/>
      <w:lvlJc w:val="left"/>
      <w:pPr>
        <w:tabs>
          <w:tab w:val="num" w:pos="2160"/>
        </w:tabs>
        <w:ind w:left="2160" w:hanging="360"/>
      </w:pPr>
      <w:rPr>
        <w:rFonts w:ascii="Wingdings" w:hAnsi="Wingdings" w:hint="default"/>
      </w:rPr>
    </w:lvl>
    <w:lvl w:ilvl="3" w:tplc="7C1807CE" w:tentative="1">
      <w:start w:val="1"/>
      <w:numFmt w:val="bullet"/>
      <w:lvlText w:val=""/>
      <w:lvlJc w:val="left"/>
      <w:pPr>
        <w:tabs>
          <w:tab w:val="num" w:pos="2880"/>
        </w:tabs>
        <w:ind w:left="2880" w:hanging="360"/>
      </w:pPr>
      <w:rPr>
        <w:rFonts w:ascii="Wingdings" w:hAnsi="Wingdings" w:hint="default"/>
      </w:rPr>
    </w:lvl>
    <w:lvl w:ilvl="4" w:tplc="D2EC5C64" w:tentative="1">
      <w:start w:val="1"/>
      <w:numFmt w:val="bullet"/>
      <w:lvlText w:val=""/>
      <w:lvlJc w:val="left"/>
      <w:pPr>
        <w:tabs>
          <w:tab w:val="num" w:pos="3600"/>
        </w:tabs>
        <w:ind w:left="3600" w:hanging="360"/>
      </w:pPr>
      <w:rPr>
        <w:rFonts w:ascii="Wingdings" w:hAnsi="Wingdings" w:hint="default"/>
      </w:rPr>
    </w:lvl>
    <w:lvl w:ilvl="5" w:tplc="EEA025A0" w:tentative="1">
      <w:start w:val="1"/>
      <w:numFmt w:val="bullet"/>
      <w:lvlText w:val=""/>
      <w:lvlJc w:val="left"/>
      <w:pPr>
        <w:tabs>
          <w:tab w:val="num" w:pos="4320"/>
        </w:tabs>
        <w:ind w:left="4320" w:hanging="360"/>
      </w:pPr>
      <w:rPr>
        <w:rFonts w:ascii="Wingdings" w:hAnsi="Wingdings" w:hint="default"/>
      </w:rPr>
    </w:lvl>
    <w:lvl w:ilvl="6" w:tplc="B6B4B316" w:tentative="1">
      <w:start w:val="1"/>
      <w:numFmt w:val="bullet"/>
      <w:lvlText w:val=""/>
      <w:lvlJc w:val="left"/>
      <w:pPr>
        <w:tabs>
          <w:tab w:val="num" w:pos="5040"/>
        </w:tabs>
        <w:ind w:left="5040" w:hanging="360"/>
      </w:pPr>
      <w:rPr>
        <w:rFonts w:ascii="Wingdings" w:hAnsi="Wingdings" w:hint="default"/>
      </w:rPr>
    </w:lvl>
    <w:lvl w:ilvl="7" w:tplc="DAE4E3D4" w:tentative="1">
      <w:start w:val="1"/>
      <w:numFmt w:val="bullet"/>
      <w:lvlText w:val=""/>
      <w:lvlJc w:val="left"/>
      <w:pPr>
        <w:tabs>
          <w:tab w:val="num" w:pos="5760"/>
        </w:tabs>
        <w:ind w:left="5760" w:hanging="360"/>
      </w:pPr>
      <w:rPr>
        <w:rFonts w:ascii="Wingdings" w:hAnsi="Wingdings" w:hint="default"/>
      </w:rPr>
    </w:lvl>
    <w:lvl w:ilvl="8" w:tplc="01BA9ED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6"/>
  </w:num>
  <w:num w:numId="4">
    <w:abstractNumId w:val="3"/>
  </w:num>
  <w:num w:numId="5">
    <w:abstractNumId w:val="1"/>
  </w:num>
  <w:num w:numId="6">
    <w:abstractNumId w:val="5"/>
  </w:num>
  <w:num w:numId="7">
    <w:abstractNumId w:val="10"/>
  </w:num>
  <w:num w:numId="8">
    <w:abstractNumId w:val="2"/>
  </w:num>
  <w:num w:numId="9">
    <w:abstractNumId w:val="15"/>
  </w:num>
  <w:num w:numId="10">
    <w:abstractNumId w:val="0"/>
  </w:num>
  <w:num w:numId="11">
    <w:abstractNumId w:val="6"/>
  </w:num>
  <w:num w:numId="12">
    <w:abstractNumId w:val="7"/>
  </w:num>
  <w:num w:numId="13">
    <w:abstractNumId w:val="11"/>
  </w:num>
  <w:num w:numId="14">
    <w:abstractNumId w:val="4"/>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61"/>
    <w:rsid w:val="00287559"/>
    <w:rsid w:val="002E305F"/>
    <w:rsid w:val="003F0AA9"/>
    <w:rsid w:val="00516EF4"/>
    <w:rsid w:val="005B3B76"/>
    <w:rsid w:val="00696226"/>
    <w:rsid w:val="006A739C"/>
    <w:rsid w:val="009B38EA"/>
    <w:rsid w:val="00A5639A"/>
    <w:rsid w:val="00D31136"/>
    <w:rsid w:val="00D56389"/>
    <w:rsid w:val="00E82894"/>
    <w:rsid w:val="00F2085C"/>
    <w:rsid w:val="00F220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BB03"/>
  <w15:chartTrackingRefBased/>
  <w15:docId w15:val="{D8543CBC-8BBF-4E3F-8564-7B72102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2061"/>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Prrafodelista">
    <w:name w:val="List Paragraph"/>
    <w:basedOn w:val="Normal"/>
    <w:uiPriority w:val="34"/>
    <w:qFormat/>
    <w:rsid w:val="00F2085C"/>
    <w:pPr>
      <w:ind w:left="720"/>
      <w:contextualSpacing/>
    </w:pPr>
  </w:style>
  <w:style w:type="table" w:styleId="Tablaconcuadrcula">
    <w:name w:val="Table Grid"/>
    <w:basedOn w:val="Tablanormal"/>
    <w:uiPriority w:val="39"/>
    <w:rsid w:val="00F2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36"/>
  </w:style>
  <w:style w:type="paragraph" w:styleId="Piedepgina">
    <w:name w:val="footer"/>
    <w:basedOn w:val="Normal"/>
    <w:link w:val="PiedepginaCar"/>
    <w:uiPriority w:val="99"/>
    <w:unhideWhenUsed/>
    <w:rsid w:val="00D31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91631">
      <w:bodyDiv w:val="1"/>
      <w:marLeft w:val="0"/>
      <w:marRight w:val="0"/>
      <w:marTop w:val="0"/>
      <w:marBottom w:val="0"/>
      <w:divBdr>
        <w:top w:val="none" w:sz="0" w:space="0" w:color="auto"/>
        <w:left w:val="none" w:sz="0" w:space="0" w:color="auto"/>
        <w:bottom w:val="none" w:sz="0" w:space="0" w:color="auto"/>
        <w:right w:val="none" w:sz="0" w:space="0" w:color="auto"/>
      </w:divBdr>
      <w:divsChild>
        <w:div w:id="750086339">
          <w:marLeft w:val="360"/>
          <w:marRight w:val="0"/>
          <w:marTop w:val="200"/>
          <w:marBottom w:val="0"/>
          <w:divBdr>
            <w:top w:val="none" w:sz="0" w:space="0" w:color="auto"/>
            <w:left w:val="none" w:sz="0" w:space="0" w:color="auto"/>
            <w:bottom w:val="none" w:sz="0" w:space="0" w:color="auto"/>
            <w:right w:val="none" w:sz="0" w:space="0" w:color="auto"/>
          </w:divBdr>
        </w:div>
        <w:div w:id="56905809">
          <w:marLeft w:val="360"/>
          <w:marRight w:val="0"/>
          <w:marTop w:val="200"/>
          <w:marBottom w:val="0"/>
          <w:divBdr>
            <w:top w:val="none" w:sz="0" w:space="0" w:color="auto"/>
            <w:left w:val="none" w:sz="0" w:space="0" w:color="auto"/>
            <w:bottom w:val="none" w:sz="0" w:space="0" w:color="auto"/>
            <w:right w:val="none" w:sz="0" w:space="0" w:color="auto"/>
          </w:divBdr>
        </w:div>
        <w:div w:id="632175178">
          <w:marLeft w:val="360"/>
          <w:marRight w:val="0"/>
          <w:marTop w:val="200"/>
          <w:marBottom w:val="0"/>
          <w:divBdr>
            <w:top w:val="none" w:sz="0" w:space="0" w:color="auto"/>
            <w:left w:val="none" w:sz="0" w:space="0" w:color="auto"/>
            <w:bottom w:val="none" w:sz="0" w:space="0" w:color="auto"/>
            <w:right w:val="none" w:sz="0" w:space="0" w:color="auto"/>
          </w:divBdr>
        </w:div>
        <w:div w:id="721289296">
          <w:marLeft w:val="360"/>
          <w:marRight w:val="0"/>
          <w:marTop w:val="200"/>
          <w:marBottom w:val="0"/>
          <w:divBdr>
            <w:top w:val="none" w:sz="0" w:space="0" w:color="auto"/>
            <w:left w:val="none" w:sz="0" w:space="0" w:color="auto"/>
            <w:bottom w:val="none" w:sz="0" w:space="0" w:color="auto"/>
            <w:right w:val="none" w:sz="0" w:space="0" w:color="auto"/>
          </w:divBdr>
        </w:div>
      </w:divsChild>
    </w:div>
    <w:div w:id="660549810">
      <w:bodyDiv w:val="1"/>
      <w:marLeft w:val="0"/>
      <w:marRight w:val="0"/>
      <w:marTop w:val="0"/>
      <w:marBottom w:val="0"/>
      <w:divBdr>
        <w:top w:val="none" w:sz="0" w:space="0" w:color="auto"/>
        <w:left w:val="none" w:sz="0" w:space="0" w:color="auto"/>
        <w:bottom w:val="none" w:sz="0" w:space="0" w:color="auto"/>
        <w:right w:val="none" w:sz="0" w:space="0" w:color="auto"/>
      </w:divBdr>
    </w:div>
    <w:div w:id="1027877973">
      <w:bodyDiv w:val="1"/>
      <w:marLeft w:val="0"/>
      <w:marRight w:val="0"/>
      <w:marTop w:val="0"/>
      <w:marBottom w:val="0"/>
      <w:divBdr>
        <w:top w:val="none" w:sz="0" w:space="0" w:color="auto"/>
        <w:left w:val="none" w:sz="0" w:space="0" w:color="auto"/>
        <w:bottom w:val="none" w:sz="0" w:space="0" w:color="auto"/>
        <w:right w:val="none" w:sz="0" w:space="0" w:color="auto"/>
      </w:divBdr>
      <w:divsChild>
        <w:div w:id="1139759532">
          <w:marLeft w:val="360"/>
          <w:marRight w:val="0"/>
          <w:marTop w:val="200"/>
          <w:marBottom w:val="0"/>
          <w:divBdr>
            <w:top w:val="none" w:sz="0" w:space="0" w:color="auto"/>
            <w:left w:val="none" w:sz="0" w:space="0" w:color="auto"/>
            <w:bottom w:val="none" w:sz="0" w:space="0" w:color="auto"/>
            <w:right w:val="none" w:sz="0" w:space="0" w:color="auto"/>
          </w:divBdr>
        </w:div>
        <w:div w:id="1780296209">
          <w:marLeft w:val="1080"/>
          <w:marRight w:val="0"/>
          <w:marTop w:val="100"/>
          <w:marBottom w:val="0"/>
          <w:divBdr>
            <w:top w:val="none" w:sz="0" w:space="0" w:color="auto"/>
            <w:left w:val="none" w:sz="0" w:space="0" w:color="auto"/>
            <w:bottom w:val="none" w:sz="0" w:space="0" w:color="auto"/>
            <w:right w:val="none" w:sz="0" w:space="0" w:color="auto"/>
          </w:divBdr>
        </w:div>
        <w:div w:id="1224097133">
          <w:marLeft w:val="1080"/>
          <w:marRight w:val="0"/>
          <w:marTop w:val="100"/>
          <w:marBottom w:val="0"/>
          <w:divBdr>
            <w:top w:val="none" w:sz="0" w:space="0" w:color="auto"/>
            <w:left w:val="none" w:sz="0" w:space="0" w:color="auto"/>
            <w:bottom w:val="none" w:sz="0" w:space="0" w:color="auto"/>
            <w:right w:val="none" w:sz="0" w:space="0" w:color="auto"/>
          </w:divBdr>
        </w:div>
        <w:div w:id="1519274715">
          <w:marLeft w:val="1080"/>
          <w:marRight w:val="0"/>
          <w:marTop w:val="100"/>
          <w:marBottom w:val="0"/>
          <w:divBdr>
            <w:top w:val="none" w:sz="0" w:space="0" w:color="auto"/>
            <w:left w:val="none" w:sz="0" w:space="0" w:color="auto"/>
            <w:bottom w:val="none" w:sz="0" w:space="0" w:color="auto"/>
            <w:right w:val="none" w:sz="0" w:space="0" w:color="auto"/>
          </w:divBdr>
        </w:div>
        <w:div w:id="745953331">
          <w:marLeft w:val="1080"/>
          <w:marRight w:val="0"/>
          <w:marTop w:val="100"/>
          <w:marBottom w:val="0"/>
          <w:divBdr>
            <w:top w:val="none" w:sz="0" w:space="0" w:color="auto"/>
            <w:left w:val="none" w:sz="0" w:space="0" w:color="auto"/>
            <w:bottom w:val="none" w:sz="0" w:space="0" w:color="auto"/>
            <w:right w:val="none" w:sz="0" w:space="0" w:color="auto"/>
          </w:divBdr>
        </w:div>
      </w:divsChild>
    </w:div>
    <w:div w:id="1421172538">
      <w:bodyDiv w:val="1"/>
      <w:marLeft w:val="0"/>
      <w:marRight w:val="0"/>
      <w:marTop w:val="0"/>
      <w:marBottom w:val="0"/>
      <w:divBdr>
        <w:top w:val="none" w:sz="0" w:space="0" w:color="auto"/>
        <w:left w:val="none" w:sz="0" w:space="0" w:color="auto"/>
        <w:bottom w:val="none" w:sz="0" w:space="0" w:color="auto"/>
        <w:right w:val="none" w:sz="0" w:space="0" w:color="auto"/>
      </w:divBdr>
    </w:div>
    <w:div w:id="1581984933">
      <w:bodyDiv w:val="1"/>
      <w:marLeft w:val="0"/>
      <w:marRight w:val="0"/>
      <w:marTop w:val="0"/>
      <w:marBottom w:val="0"/>
      <w:divBdr>
        <w:top w:val="none" w:sz="0" w:space="0" w:color="auto"/>
        <w:left w:val="none" w:sz="0" w:space="0" w:color="auto"/>
        <w:bottom w:val="none" w:sz="0" w:space="0" w:color="auto"/>
        <w:right w:val="none" w:sz="0" w:space="0" w:color="auto"/>
      </w:divBdr>
      <w:divsChild>
        <w:div w:id="1880164825">
          <w:marLeft w:val="547"/>
          <w:marRight w:val="0"/>
          <w:marTop w:val="200"/>
          <w:marBottom w:val="0"/>
          <w:divBdr>
            <w:top w:val="none" w:sz="0" w:space="0" w:color="auto"/>
            <w:left w:val="none" w:sz="0" w:space="0" w:color="auto"/>
            <w:bottom w:val="none" w:sz="0" w:space="0" w:color="auto"/>
            <w:right w:val="none" w:sz="0" w:space="0" w:color="auto"/>
          </w:divBdr>
        </w:div>
        <w:div w:id="1124156029">
          <w:marLeft w:val="1080"/>
          <w:marRight w:val="0"/>
          <w:marTop w:val="100"/>
          <w:marBottom w:val="0"/>
          <w:divBdr>
            <w:top w:val="none" w:sz="0" w:space="0" w:color="auto"/>
            <w:left w:val="none" w:sz="0" w:space="0" w:color="auto"/>
            <w:bottom w:val="none" w:sz="0" w:space="0" w:color="auto"/>
            <w:right w:val="none" w:sz="0" w:space="0" w:color="auto"/>
          </w:divBdr>
        </w:div>
        <w:div w:id="315690007">
          <w:marLeft w:val="1080"/>
          <w:marRight w:val="0"/>
          <w:marTop w:val="100"/>
          <w:marBottom w:val="0"/>
          <w:divBdr>
            <w:top w:val="none" w:sz="0" w:space="0" w:color="auto"/>
            <w:left w:val="none" w:sz="0" w:space="0" w:color="auto"/>
            <w:bottom w:val="none" w:sz="0" w:space="0" w:color="auto"/>
            <w:right w:val="none" w:sz="0" w:space="0" w:color="auto"/>
          </w:divBdr>
        </w:div>
        <w:div w:id="2044016302">
          <w:marLeft w:val="1080"/>
          <w:marRight w:val="0"/>
          <w:marTop w:val="100"/>
          <w:marBottom w:val="0"/>
          <w:divBdr>
            <w:top w:val="none" w:sz="0" w:space="0" w:color="auto"/>
            <w:left w:val="none" w:sz="0" w:space="0" w:color="auto"/>
            <w:bottom w:val="none" w:sz="0" w:space="0" w:color="auto"/>
            <w:right w:val="none" w:sz="0" w:space="0" w:color="auto"/>
          </w:divBdr>
        </w:div>
        <w:div w:id="385569905">
          <w:marLeft w:val="547"/>
          <w:marRight w:val="0"/>
          <w:marTop w:val="200"/>
          <w:marBottom w:val="0"/>
          <w:divBdr>
            <w:top w:val="none" w:sz="0" w:space="0" w:color="auto"/>
            <w:left w:val="none" w:sz="0" w:space="0" w:color="auto"/>
            <w:bottom w:val="none" w:sz="0" w:space="0" w:color="auto"/>
            <w:right w:val="none" w:sz="0" w:space="0" w:color="auto"/>
          </w:divBdr>
        </w:div>
        <w:div w:id="1154031569">
          <w:marLeft w:val="1080"/>
          <w:marRight w:val="0"/>
          <w:marTop w:val="100"/>
          <w:marBottom w:val="0"/>
          <w:divBdr>
            <w:top w:val="none" w:sz="0" w:space="0" w:color="auto"/>
            <w:left w:val="none" w:sz="0" w:space="0" w:color="auto"/>
            <w:bottom w:val="none" w:sz="0" w:space="0" w:color="auto"/>
            <w:right w:val="none" w:sz="0" w:space="0" w:color="auto"/>
          </w:divBdr>
        </w:div>
        <w:div w:id="446852622">
          <w:marLeft w:val="1080"/>
          <w:marRight w:val="0"/>
          <w:marTop w:val="100"/>
          <w:marBottom w:val="0"/>
          <w:divBdr>
            <w:top w:val="none" w:sz="0" w:space="0" w:color="auto"/>
            <w:left w:val="none" w:sz="0" w:space="0" w:color="auto"/>
            <w:bottom w:val="none" w:sz="0" w:space="0" w:color="auto"/>
            <w:right w:val="none" w:sz="0" w:space="0" w:color="auto"/>
          </w:divBdr>
        </w:div>
        <w:div w:id="2058504660">
          <w:marLeft w:val="1080"/>
          <w:marRight w:val="0"/>
          <w:marTop w:val="100"/>
          <w:marBottom w:val="0"/>
          <w:divBdr>
            <w:top w:val="none" w:sz="0" w:space="0" w:color="auto"/>
            <w:left w:val="none" w:sz="0" w:space="0" w:color="auto"/>
            <w:bottom w:val="none" w:sz="0" w:space="0" w:color="auto"/>
            <w:right w:val="none" w:sz="0" w:space="0" w:color="auto"/>
          </w:divBdr>
        </w:div>
      </w:divsChild>
    </w:div>
    <w:div w:id="1610623198">
      <w:bodyDiv w:val="1"/>
      <w:marLeft w:val="0"/>
      <w:marRight w:val="0"/>
      <w:marTop w:val="0"/>
      <w:marBottom w:val="0"/>
      <w:divBdr>
        <w:top w:val="none" w:sz="0" w:space="0" w:color="auto"/>
        <w:left w:val="none" w:sz="0" w:space="0" w:color="auto"/>
        <w:bottom w:val="none" w:sz="0" w:space="0" w:color="auto"/>
        <w:right w:val="none" w:sz="0" w:space="0" w:color="auto"/>
      </w:divBdr>
      <w:divsChild>
        <w:div w:id="1466463415">
          <w:marLeft w:val="360"/>
          <w:marRight w:val="0"/>
          <w:marTop w:val="200"/>
          <w:marBottom w:val="0"/>
          <w:divBdr>
            <w:top w:val="none" w:sz="0" w:space="0" w:color="auto"/>
            <w:left w:val="none" w:sz="0" w:space="0" w:color="auto"/>
            <w:bottom w:val="none" w:sz="0" w:space="0" w:color="auto"/>
            <w:right w:val="none" w:sz="0" w:space="0" w:color="auto"/>
          </w:divBdr>
        </w:div>
        <w:div w:id="14578412">
          <w:marLeft w:val="360"/>
          <w:marRight w:val="0"/>
          <w:marTop w:val="200"/>
          <w:marBottom w:val="0"/>
          <w:divBdr>
            <w:top w:val="none" w:sz="0" w:space="0" w:color="auto"/>
            <w:left w:val="none" w:sz="0" w:space="0" w:color="auto"/>
            <w:bottom w:val="none" w:sz="0" w:space="0" w:color="auto"/>
            <w:right w:val="none" w:sz="0" w:space="0" w:color="auto"/>
          </w:divBdr>
        </w:div>
        <w:div w:id="1890652407">
          <w:marLeft w:val="360"/>
          <w:marRight w:val="0"/>
          <w:marTop w:val="200"/>
          <w:marBottom w:val="0"/>
          <w:divBdr>
            <w:top w:val="none" w:sz="0" w:space="0" w:color="auto"/>
            <w:left w:val="none" w:sz="0" w:space="0" w:color="auto"/>
            <w:bottom w:val="none" w:sz="0" w:space="0" w:color="auto"/>
            <w:right w:val="none" w:sz="0" w:space="0" w:color="auto"/>
          </w:divBdr>
        </w:div>
      </w:divsChild>
    </w:div>
    <w:div w:id="2044015710">
      <w:bodyDiv w:val="1"/>
      <w:marLeft w:val="0"/>
      <w:marRight w:val="0"/>
      <w:marTop w:val="0"/>
      <w:marBottom w:val="0"/>
      <w:divBdr>
        <w:top w:val="none" w:sz="0" w:space="0" w:color="auto"/>
        <w:left w:val="none" w:sz="0" w:space="0" w:color="auto"/>
        <w:bottom w:val="none" w:sz="0" w:space="0" w:color="auto"/>
        <w:right w:val="none" w:sz="0" w:space="0" w:color="auto"/>
      </w:divBdr>
    </w:div>
    <w:div w:id="2056004100">
      <w:bodyDiv w:val="1"/>
      <w:marLeft w:val="0"/>
      <w:marRight w:val="0"/>
      <w:marTop w:val="0"/>
      <w:marBottom w:val="0"/>
      <w:divBdr>
        <w:top w:val="none" w:sz="0" w:space="0" w:color="auto"/>
        <w:left w:val="none" w:sz="0" w:space="0" w:color="auto"/>
        <w:bottom w:val="none" w:sz="0" w:space="0" w:color="auto"/>
        <w:right w:val="none" w:sz="0" w:space="0" w:color="auto"/>
      </w:divBdr>
      <w:divsChild>
        <w:div w:id="2091609375">
          <w:marLeft w:val="360"/>
          <w:marRight w:val="0"/>
          <w:marTop w:val="200"/>
          <w:marBottom w:val="0"/>
          <w:divBdr>
            <w:top w:val="none" w:sz="0" w:space="0" w:color="auto"/>
            <w:left w:val="none" w:sz="0" w:space="0" w:color="auto"/>
            <w:bottom w:val="none" w:sz="0" w:space="0" w:color="auto"/>
            <w:right w:val="none" w:sz="0" w:space="0" w:color="auto"/>
          </w:divBdr>
        </w:div>
        <w:div w:id="1509059379">
          <w:marLeft w:val="360"/>
          <w:marRight w:val="0"/>
          <w:marTop w:val="200"/>
          <w:marBottom w:val="0"/>
          <w:divBdr>
            <w:top w:val="none" w:sz="0" w:space="0" w:color="auto"/>
            <w:left w:val="none" w:sz="0" w:space="0" w:color="auto"/>
            <w:bottom w:val="none" w:sz="0" w:space="0" w:color="auto"/>
            <w:right w:val="none" w:sz="0" w:space="0" w:color="auto"/>
          </w:divBdr>
        </w:div>
        <w:div w:id="11799236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1FE98-BEA5-4542-8F94-2303F25A5D5F}" type="doc">
      <dgm:prSet loTypeId="urn:microsoft.com/office/officeart/2005/8/layout/cycle8" loCatId="cycle" qsTypeId="urn:microsoft.com/office/officeart/2005/8/quickstyle/simple1" qsCatId="simple" csTypeId="urn:microsoft.com/office/officeart/2005/8/colors/accent1_2" csCatId="accent1" phldr="1"/>
      <dgm:spPr/>
    </dgm:pt>
    <dgm:pt modelId="{9B7C328E-73C3-42E6-B527-3E07817FAA98}">
      <dgm:prSet phldrT="[Texto]"/>
      <dgm:spPr/>
      <dgm:t>
        <a:bodyPr/>
        <a:lstStyle/>
        <a:p>
          <a:pPr algn="ctr"/>
          <a:r>
            <a:rPr lang="es-CL" dirty="0"/>
            <a:t>28</a:t>
          </a:r>
        </a:p>
      </dgm:t>
    </dgm:pt>
    <dgm:pt modelId="{C7EA6B0C-F5BD-4261-809C-FDF984F37537}" type="parTrans" cxnId="{2942E3F6-7F04-4BC4-8313-04B88AAA056E}">
      <dgm:prSet/>
      <dgm:spPr/>
      <dgm:t>
        <a:bodyPr/>
        <a:lstStyle/>
        <a:p>
          <a:pPr algn="ctr"/>
          <a:endParaRPr lang="es-CL"/>
        </a:p>
      </dgm:t>
    </dgm:pt>
    <dgm:pt modelId="{2E944AF8-60F9-46CC-B282-7BCEB0F3FA1D}" type="sibTrans" cxnId="{2942E3F6-7F04-4BC4-8313-04B88AAA056E}">
      <dgm:prSet/>
      <dgm:spPr/>
      <dgm:t>
        <a:bodyPr/>
        <a:lstStyle/>
        <a:p>
          <a:pPr algn="ctr"/>
          <a:endParaRPr lang="es-CL"/>
        </a:p>
      </dgm:t>
    </dgm:pt>
    <dgm:pt modelId="{D7DACE89-6919-4143-9B3B-33DFE061A42C}">
      <dgm:prSet phldrT="[Texto]"/>
      <dgm:spPr>
        <a:solidFill>
          <a:schemeClr val="accent4">
            <a:lumMod val="75000"/>
          </a:schemeClr>
        </a:solidFill>
      </dgm:spPr>
      <dgm:t>
        <a:bodyPr/>
        <a:lstStyle/>
        <a:p>
          <a:pPr algn="ctr"/>
          <a:r>
            <a:rPr lang="es-CL" dirty="0"/>
            <a:t>23</a:t>
          </a:r>
        </a:p>
      </dgm:t>
    </dgm:pt>
    <dgm:pt modelId="{3F713537-F3DA-43F9-A200-C298396EAFBF}" type="parTrans" cxnId="{1847CB5D-3E68-4269-ACC8-FF5B857EBC22}">
      <dgm:prSet/>
      <dgm:spPr/>
      <dgm:t>
        <a:bodyPr/>
        <a:lstStyle/>
        <a:p>
          <a:pPr algn="ctr"/>
          <a:endParaRPr lang="es-CL"/>
        </a:p>
      </dgm:t>
    </dgm:pt>
    <dgm:pt modelId="{DC8A0EDE-B391-463D-858B-23ACDCD41A35}" type="sibTrans" cxnId="{1847CB5D-3E68-4269-ACC8-FF5B857EBC22}">
      <dgm:prSet/>
      <dgm:spPr/>
      <dgm:t>
        <a:bodyPr/>
        <a:lstStyle/>
        <a:p>
          <a:pPr algn="ctr"/>
          <a:endParaRPr lang="es-CL"/>
        </a:p>
      </dgm:t>
    </dgm:pt>
    <dgm:pt modelId="{601DCFB5-8438-49FB-A17D-40E202B32279}">
      <dgm:prSet phldrT="[Texto]"/>
      <dgm:spPr>
        <a:solidFill>
          <a:srgbClr val="FF0000"/>
        </a:solidFill>
      </dgm:spPr>
      <dgm:t>
        <a:bodyPr/>
        <a:lstStyle/>
        <a:p>
          <a:pPr algn="ctr"/>
          <a:r>
            <a:rPr lang="es-CL" dirty="0"/>
            <a:t>54</a:t>
          </a:r>
        </a:p>
      </dgm:t>
    </dgm:pt>
    <dgm:pt modelId="{A00C4CA1-6E60-42CF-B30B-C635A4B4F455}" type="sibTrans" cxnId="{1EC5F3D0-531C-40B5-BD95-BF6776F6D534}">
      <dgm:prSet/>
      <dgm:spPr/>
      <dgm:t>
        <a:bodyPr/>
        <a:lstStyle/>
        <a:p>
          <a:pPr algn="ctr"/>
          <a:endParaRPr lang="es-CL"/>
        </a:p>
      </dgm:t>
    </dgm:pt>
    <dgm:pt modelId="{89965A2B-C052-4948-9EAA-F29B1E0C6418}" type="parTrans" cxnId="{1EC5F3D0-531C-40B5-BD95-BF6776F6D534}">
      <dgm:prSet/>
      <dgm:spPr/>
      <dgm:t>
        <a:bodyPr/>
        <a:lstStyle/>
        <a:p>
          <a:pPr algn="ctr"/>
          <a:endParaRPr lang="es-CL"/>
        </a:p>
      </dgm:t>
    </dgm:pt>
    <dgm:pt modelId="{4B9242C7-9C91-4D82-A140-A2ECC4C6B4E2}" type="pres">
      <dgm:prSet presAssocID="{6601FE98-BEA5-4542-8F94-2303F25A5D5F}" presName="compositeShape" presStyleCnt="0">
        <dgm:presLayoutVars>
          <dgm:chMax val="7"/>
          <dgm:dir/>
          <dgm:resizeHandles val="exact"/>
        </dgm:presLayoutVars>
      </dgm:prSet>
      <dgm:spPr/>
    </dgm:pt>
    <dgm:pt modelId="{C9608864-7B9E-4362-ACBE-9E50172ADE35}" type="pres">
      <dgm:prSet presAssocID="{6601FE98-BEA5-4542-8F94-2303F25A5D5F}" presName="wedge1" presStyleLbl="node1" presStyleIdx="0" presStyleCnt="3" custLinFactNeighborY="868"/>
      <dgm:spPr/>
    </dgm:pt>
    <dgm:pt modelId="{7844E8BF-F7E5-42F7-94B9-F0FD6D405D34}" type="pres">
      <dgm:prSet presAssocID="{6601FE98-BEA5-4542-8F94-2303F25A5D5F}" presName="dummy1a" presStyleCnt="0"/>
      <dgm:spPr/>
    </dgm:pt>
    <dgm:pt modelId="{782B0C44-0367-468E-8D5E-FA2C2E8D48EB}" type="pres">
      <dgm:prSet presAssocID="{6601FE98-BEA5-4542-8F94-2303F25A5D5F}" presName="dummy1b" presStyleCnt="0"/>
      <dgm:spPr/>
    </dgm:pt>
    <dgm:pt modelId="{8522DE7B-F359-469A-877A-73067859046C}" type="pres">
      <dgm:prSet presAssocID="{6601FE98-BEA5-4542-8F94-2303F25A5D5F}" presName="wedge1Tx" presStyleLbl="node1" presStyleIdx="0" presStyleCnt="3">
        <dgm:presLayoutVars>
          <dgm:chMax val="0"/>
          <dgm:chPref val="0"/>
          <dgm:bulletEnabled val="1"/>
        </dgm:presLayoutVars>
      </dgm:prSet>
      <dgm:spPr/>
    </dgm:pt>
    <dgm:pt modelId="{5AC7C259-1EA1-47C0-825F-DF7075B94C53}" type="pres">
      <dgm:prSet presAssocID="{6601FE98-BEA5-4542-8F94-2303F25A5D5F}" presName="wedge2" presStyleLbl="node1" presStyleIdx="1" presStyleCnt="3" custLinFactNeighborX="-869" custLinFactNeighborY="-434"/>
      <dgm:spPr/>
    </dgm:pt>
    <dgm:pt modelId="{E12888A7-97AC-4A69-A8F6-54770DF8A1CE}" type="pres">
      <dgm:prSet presAssocID="{6601FE98-BEA5-4542-8F94-2303F25A5D5F}" presName="dummy2a" presStyleCnt="0"/>
      <dgm:spPr/>
    </dgm:pt>
    <dgm:pt modelId="{E0F617A9-D076-4480-8B78-1D9F42E776B7}" type="pres">
      <dgm:prSet presAssocID="{6601FE98-BEA5-4542-8F94-2303F25A5D5F}" presName="dummy2b" presStyleCnt="0"/>
      <dgm:spPr/>
    </dgm:pt>
    <dgm:pt modelId="{B2960C7A-F742-4AF1-B2CD-7DCB35BE5E5A}" type="pres">
      <dgm:prSet presAssocID="{6601FE98-BEA5-4542-8F94-2303F25A5D5F}" presName="wedge2Tx" presStyleLbl="node1" presStyleIdx="1" presStyleCnt="3">
        <dgm:presLayoutVars>
          <dgm:chMax val="0"/>
          <dgm:chPref val="0"/>
          <dgm:bulletEnabled val="1"/>
        </dgm:presLayoutVars>
      </dgm:prSet>
      <dgm:spPr/>
    </dgm:pt>
    <dgm:pt modelId="{EDB328B6-43B4-437B-80C5-6E7117064EF0}" type="pres">
      <dgm:prSet presAssocID="{6601FE98-BEA5-4542-8F94-2303F25A5D5F}" presName="wedge3" presStyleLbl="node1" presStyleIdx="2" presStyleCnt="3"/>
      <dgm:spPr/>
    </dgm:pt>
    <dgm:pt modelId="{F3FD8C41-26F5-4108-88F7-2AA6576B7B6A}" type="pres">
      <dgm:prSet presAssocID="{6601FE98-BEA5-4542-8F94-2303F25A5D5F}" presName="dummy3a" presStyleCnt="0"/>
      <dgm:spPr/>
    </dgm:pt>
    <dgm:pt modelId="{E835BA1E-1C38-4BE9-89A4-5AEC6067DB5C}" type="pres">
      <dgm:prSet presAssocID="{6601FE98-BEA5-4542-8F94-2303F25A5D5F}" presName="dummy3b" presStyleCnt="0"/>
      <dgm:spPr/>
    </dgm:pt>
    <dgm:pt modelId="{C9C6BCED-887A-4F51-9E11-C742C76F3C37}" type="pres">
      <dgm:prSet presAssocID="{6601FE98-BEA5-4542-8F94-2303F25A5D5F}" presName="wedge3Tx" presStyleLbl="node1" presStyleIdx="2" presStyleCnt="3">
        <dgm:presLayoutVars>
          <dgm:chMax val="0"/>
          <dgm:chPref val="0"/>
          <dgm:bulletEnabled val="1"/>
        </dgm:presLayoutVars>
      </dgm:prSet>
      <dgm:spPr/>
    </dgm:pt>
    <dgm:pt modelId="{FA7B627A-3434-4ADC-BC77-EB74309D3F34}" type="pres">
      <dgm:prSet presAssocID="{A00C4CA1-6E60-42CF-B30B-C635A4B4F455}" presName="arrowWedge1" presStyleLbl="fgSibTrans2D1" presStyleIdx="0" presStyleCnt="3"/>
      <dgm:spPr/>
    </dgm:pt>
    <dgm:pt modelId="{1434388A-3C1F-4813-A57B-5D1E4EA02A9F}" type="pres">
      <dgm:prSet presAssocID="{2E944AF8-60F9-46CC-B282-7BCEB0F3FA1D}" presName="arrowWedge2" presStyleLbl="fgSibTrans2D1" presStyleIdx="1" presStyleCnt="3" custLinFactNeighborX="-386" custLinFactNeighborY="-1159"/>
      <dgm:spPr/>
    </dgm:pt>
    <dgm:pt modelId="{41FBBBC3-1CD5-4E4E-8C71-AC2A560BBA51}" type="pres">
      <dgm:prSet presAssocID="{DC8A0EDE-B391-463D-858B-23ACDCD41A35}" presName="arrowWedge3" presStyleLbl="fgSibTrans2D1" presStyleIdx="2" presStyleCnt="3"/>
      <dgm:spPr/>
    </dgm:pt>
  </dgm:ptLst>
  <dgm:cxnLst>
    <dgm:cxn modelId="{A7AF5D3C-79C4-4596-8C2E-61AE12035D8F}" type="presOf" srcId="{D7DACE89-6919-4143-9B3B-33DFE061A42C}" destId="{EDB328B6-43B4-437B-80C5-6E7117064EF0}" srcOrd="0" destOrd="0" presId="urn:microsoft.com/office/officeart/2005/8/layout/cycle8"/>
    <dgm:cxn modelId="{1847CB5D-3E68-4269-ACC8-FF5B857EBC22}" srcId="{6601FE98-BEA5-4542-8F94-2303F25A5D5F}" destId="{D7DACE89-6919-4143-9B3B-33DFE061A42C}" srcOrd="2" destOrd="0" parTransId="{3F713537-F3DA-43F9-A200-C298396EAFBF}" sibTransId="{DC8A0EDE-B391-463D-858B-23ACDCD41A35}"/>
    <dgm:cxn modelId="{0A5DA86C-6BAC-4128-9A55-B508991DA6A2}" type="presOf" srcId="{9B7C328E-73C3-42E6-B527-3E07817FAA98}" destId="{5AC7C259-1EA1-47C0-825F-DF7075B94C53}" srcOrd="0" destOrd="0" presId="urn:microsoft.com/office/officeart/2005/8/layout/cycle8"/>
    <dgm:cxn modelId="{52C46DA0-BF07-4207-887A-AB73E09437B8}" type="presOf" srcId="{601DCFB5-8438-49FB-A17D-40E202B32279}" destId="{8522DE7B-F359-469A-877A-73067859046C}" srcOrd="1" destOrd="0" presId="urn:microsoft.com/office/officeart/2005/8/layout/cycle8"/>
    <dgm:cxn modelId="{FCE4F7A6-FC1B-4D77-8226-5746617F60F0}" type="presOf" srcId="{D7DACE89-6919-4143-9B3B-33DFE061A42C}" destId="{C9C6BCED-887A-4F51-9E11-C742C76F3C37}" srcOrd="1" destOrd="0" presId="urn:microsoft.com/office/officeart/2005/8/layout/cycle8"/>
    <dgm:cxn modelId="{E08214BE-6AD1-4025-B85F-C91349257123}" type="presOf" srcId="{601DCFB5-8438-49FB-A17D-40E202B32279}" destId="{C9608864-7B9E-4362-ACBE-9E50172ADE35}" srcOrd="0" destOrd="0" presId="urn:microsoft.com/office/officeart/2005/8/layout/cycle8"/>
    <dgm:cxn modelId="{1EC5F3D0-531C-40B5-BD95-BF6776F6D534}" srcId="{6601FE98-BEA5-4542-8F94-2303F25A5D5F}" destId="{601DCFB5-8438-49FB-A17D-40E202B32279}" srcOrd="0" destOrd="0" parTransId="{89965A2B-C052-4948-9EAA-F29B1E0C6418}" sibTransId="{A00C4CA1-6E60-42CF-B30B-C635A4B4F455}"/>
    <dgm:cxn modelId="{6436A9E8-7052-40E8-BCC2-4D113D418651}" type="presOf" srcId="{9B7C328E-73C3-42E6-B527-3E07817FAA98}" destId="{B2960C7A-F742-4AF1-B2CD-7DCB35BE5E5A}" srcOrd="1" destOrd="0" presId="urn:microsoft.com/office/officeart/2005/8/layout/cycle8"/>
    <dgm:cxn modelId="{988396F3-D773-4D9D-B629-1122DD0DFDA3}" type="presOf" srcId="{6601FE98-BEA5-4542-8F94-2303F25A5D5F}" destId="{4B9242C7-9C91-4D82-A140-A2ECC4C6B4E2}" srcOrd="0" destOrd="0" presId="urn:microsoft.com/office/officeart/2005/8/layout/cycle8"/>
    <dgm:cxn modelId="{2942E3F6-7F04-4BC4-8313-04B88AAA056E}" srcId="{6601FE98-BEA5-4542-8F94-2303F25A5D5F}" destId="{9B7C328E-73C3-42E6-B527-3E07817FAA98}" srcOrd="1" destOrd="0" parTransId="{C7EA6B0C-F5BD-4261-809C-FDF984F37537}" sibTransId="{2E944AF8-60F9-46CC-B282-7BCEB0F3FA1D}"/>
    <dgm:cxn modelId="{2BE57CFA-7560-455C-BC13-5AFFFFCA2EFB}" type="presParOf" srcId="{4B9242C7-9C91-4D82-A140-A2ECC4C6B4E2}" destId="{C9608864-7B9E-4362-ACBE-9E50172ADE35}" srcOrd="0" destOrd="0" presId="urn:microsoft.com/office/officeart/2005/8/layout/cycle8"/>
    <dgm:cxn modelId="{FBDBDF7E-BF4D-4C19-8B8B-D7FC890F32E1}" type="presParOf" srcId="{4B9242C7-9C91-4D82-A140-A2ECC4C6B4E2}" destId="{7844E8BF-F7E5-42F7-94B9-F0FD6D405D34}" srcOrd="1" destOrd="0" presId="urn:microsoft.com/office/officeart/2005/8/layout/cycle8"/>
    <dgm:cxn modelId="{19927EC3-367C-4282-8645-1CF614257CB9}" type="presParOf" srcId="{4B9242C7-9C91-4D82-A140-A2ECC4C6B4E2}" destId="{782B0C44-0367-468E-8D5E-FA2C2E8D48EB}" srcOrd="2" destOrd="0" presId="urn:microsoft.com/office/officeart/2005/8/layout/cycle8"/>
    <dgm:cxn modelId="{093615E3-BF43-4CCB-AEFC-613FFD9EF5EE}" type="presParOf" srcId="{4B9242C7-9C91-4D82-A140-A2ECC4C6B4E2}" destId="{8522DE7B-F359-469A-877A-73067859046C}" srcOrd="3" destOrd="0" presId="urn:microsoft.com/office/officeart/2005/8/layout/cycle8"/>
    <dgm:cxn modelId="{FA36F4EE-2B9C-4007-AFB9-7817EC5C85F2}" type="presParOf" srcId="{4B9242C7-9C91-4D82-A140-A2ECC4C6B4E2}" destId="{5AC7C259-1EA1-47C0-825F-DF7075B94C53}" srcOrd="4" destOrd="0" presId="urn:microsoft.com/office/officeart/2005/8/layout/cycle8"/>
    <dgm:cxn modelId="{523EC5AF-068E-4431-AF53-7939CA90153C}" type="presParOf" srcId="{4B9242C7-9C91-4D82-A140-A2ECC4C6B4E2}" destId="{E12888A7-97AC-4A69-A8F6-54770DF8A1CE}" srcOrd="5" destOrd="0" presId="urn:microsoft.com/office/officeart/2005/8/layout/cycle8"/>
    <dgm:cxn modelId="{408E989D-237C-43A7-A8B0-DB5F6D596633}" type="presParOf" srcId="{4B9242C7-9C91-4D82-A140-A2ECC4C6B4E2}" destId="{E0F617A9-D076-4480-8B78-1D9F42E776B7}" srcOrd="6" destOrd="0" presId="urn:microsoft.com/office/officeart/2005/8/layout/cycle8"/>
    <dgm:cxn modelId="{2454CB7C-42BB-420A-A939-C6AAF199292A}" type="presParOf" srcId="{4B9242C7-9C91-4D82-A140-A2ECC4C6B4E2}" destId="{B2960C7A-F742-4AF1-B2CD-7DCB35BE5E5A}" srcOrd="7" destOrd="0" presId="urn:microsoft.com/office/officeart/2005/8/layout/cycle8"/>
    <dgm:cxn modelId="{6E34A8D1-9BB1-4EF8-9C87-8C0A72DD4D6E}" type="presParOf" srcId="{4B9242C7-9C91-4D82-A140-A2ECC4C6B4E2}" destId="{EDB328B6-43B4-437B-80C5-6E7117064EF0}" srcOrd="8" destOrd="0" presId="urn:microsoft.com/office/officeart/2005/8/layout/cycle8"/>
    <dgm:cxn modelId="{4E408093-BAE3-4B1E-9F18-1D4F59B5A54F}" type="presParOf" srcId="{4B9242C7-9C91-4D82-A140-A2ECC4C6B4E2}" destId="{F3FD8C41-26F5-4108-88F7-2AA6576B7B6A}" srcOrd="9" destOrd="0" presId="urn:microsoft.com/office/officeart/2005/8/layout/cycle8"/>
    <dgm:cxn modelId="{30D02658-9BB4-403E-91F7-BC976F4CAE91}" type="presParOf" srcId="{4B9242C7-9C91-4D82-A140-A2ECC4C6B4E2}" destId="{E835BA1E-1C38-4BE9-89A4-5AEC6067DB5C}" srcOrd="10" destOrd="0" presId="urn:microsoft.com/office/officeart/2005/8/layout/cycle8"/>
    <dgm:cxn modelId="{38C03E18-D351-4CE5-A1E3-AEAD9251557F}" type="presParOf" srcId="{4B9242C7-9C91-4D82-A140-A2ECC4C6B4E2}" destId="{C9C6BCED-887A-4F51-9E11-C742C76F3C37}" srcOrd="11" destOrd="0" presId="urn:microsoft.com/office/officeart/2005/8/layout/cycle8"/>
    <dgm:cxn modelId="{2E4554B2-BFA3-48BF-BC5C-6E9C5B019E27}" type="presParOf" srcId="{4B9242C7-9C91-4D82-A140-A2ECC4C6B4E2}" destId="{FA7B627A-3434-4ADC-BC77-EB74309D3F34}" srcOrd="12" destOrd="0" presId="urn:microsoft.com/office/officeart/2005/8/layout/cycle8"/>
    <dgm:cxn modelId="{3E572460-0532-4DBD-A374-DA9C906AC27A}" type="presParOf" srcId="{4B9242C7-9C91-4D82-A140-A2ECC4C6B4E2}" destId="{1434388A-3C1F-4813-A57B-5D1E4EA02A9F}" srcOrd="13" destOrd="0" presId="urn:microsoft.com/office/officeart/2005/8/layout/cycle8"/>
    <dgm:cxn modelId="{AB3735EA-0BED-4283-86B9-9E010DFE718B}" type="presParOf" srcId="{4B9242C7-9C91-4D82-A140-A2ECC4C6B4E2}" destId="{41FBBBC3-1CD5-4E4E-8C71-AC2A560BBA51}"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08864-7B9E-4362-ACBE-9E50172ADE35}">
      <dsp:nvSpPr>
        <dsp:cNvPr id="0" name=""/>
        <dsp:cNvSpPr/>
      </dsp:nvSpPr>
      <dsp:spPr>
        <a:xfrm>
          <a:off x="951182" y="220014"/>
          <a:ext cx="2556498" cy="2556498"/>
        </a:xfrm>
        <a:prstGeom prst="pie">
          <a:avLst>
            <a:gd name="adj1" fmla="val 16200000"/>
            <a:gd name="adj2" fmla="val 180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s-CL" sz="4000" kern="1200" dirty="0"/>
            <a:t>54</a:t>
          </a:r>
        </a:p>
      </dsp:txBody>
      <dsp:txXfrm>
        <a:off x="2298518" y="761749"/>
        <a:ext cx="913035" cy="760862"/>
      </dsp:txXfrm>
    </dsp:sp>
    <dsp:sp modelId="{5AC7C259-1EA1-47C0-825F-DF7075B94C53}">
      <dsp:nvSpPr>
        <dsp:cNvPr id="0" name=""/>
        <dsp:cNvSpPr/>
      </dsp:nvSpPr>
      <dsp:spPr>
        <a:xfrm>
          <a:off x="876314" y="278032"/>
          <a:ext cx="2556498" cy="255649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s-CL" sz="4000" kern="1200" dirty="0"/>
            <a:t>28</a:t>
          </a:r>
        </a:p>
      </dsp:txBody>
      <dsp:txXfrm>
        <a:off x="1485004" y="1936713"/>
        <a:ext cx="1369552" cy="669559"/>
      </dsp:txXfrm>
    </dsp:sp>
    <dsp:sp modelId="{EDB328B6-43B4-437B-80C5-6E7117064EF0}">
      <dsp:nvSpPr>
        <dsp:cNvPr id="0" name=""/>
        <dsp:cNvSpPr/>
      </dsp:nvSpPr>
      <dsp:spPr>
        <a:xfrm>
          <a:off x="845878" y="197824"/>
          <a:ext cx="2556498" cy="2556498"/>
        </a:xfrm>
        <a:prstGeom prst="pie">
          <a:avLst>
            <a:gd name="adj1" fmla="val 9000000"/>
            <a:gd name="adj2" fmla="val 1620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s-CL" sz="4000" kern="1200" dirty="0"/>
            <a:t>23</a:t>
          </a:r>
        </a:p>
      </dsp:txBody>
      <dsp:txXfrm>
        <a:off x="1142006" y="739558"/>
        <a:ext cx="913035" cy="760862"/>
      </dsp:txXfrm>
    </dsp:sp>
    <dsp:sp modelId="{FA7B627A-3434-4ADC-BC77-EB74309D3F34}">
      <dsp:nvSpPr>
        <dsp:cNvPr id="0" name=""/>
        <dsp:cNvSpPr/>
      </dsp:nvSpPr>
      <dsp:spPr>
        <a:xfrm>
          <a:off x="793133" y="61755"/>
          <a:ext cx="2873017" cy="287301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34388A-3C1F-4813-A57B-5D1E4EA02A9F}">
      <dsp:nvSpPr>
        <dsp:cNvPr id="0" name=""/>
        <dsp:cNvSpPr/>
      </dsp:nvSpPr>
      <dsp:spPr>
        <a:xfrm>
          <a:off x="706965" y="86313"/>
          <a:ext cx="2873017" cy="287301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FBBBC3-1CD5-4E4E-8C71-AC2A560BBA51}">
      <dsp:nvSpPr>
        <dsp:cNvPr id="0" name=""/>
        <dsp:cNvSpPr/>
      </dsp:nvSpPr>
      <dsp:spPr>
        <a:xfrm>
          <a:off x="687408" y="39564"/>
          <a:ext cx="2873017" cy="287301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C295-69BA-47D1-8943-8469ED67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Maritza Canobra</cp:lastModifiedBy>
  <cp:revision>2</cp:revision>
  <dcterms:created xsi:type="dcterms:W3CDTF">2018-08-01T22:47:00Z</dcterms:created>
  <dcterms:modified xsi:type="dcterms:W3CDTF">2018-08-01T22:47:00Z</dcterms:modified>
</cp:coreProperties>
</file>