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58" w:rsidRDefault="001B49BA" w:rsidP="00A455D9">
      <w:pPr>
        <w:jc w:val="center"/>
        <w:rPr>
          <w:rFonts w:ascii="Arial" w:hAnsi="Arial" w:cs="Arial"/>
          <w:b/>
          <w:sz w:val="32"/>
          <w:szCs w:val="32"/>
        </w:rPr>
      </w:pPr>
      <w:r>
        <w:rPr>
          <w:rFonts w:ascii="Arial" w:hAnsi="Arial" w:cs="Arial"/>
          <w:b/>
          <w:sz w:val="32"/>
          <w:szCs w:val="32"/>
        </w:rPr>
        <w:t xml:space="preserve"> Borrador de p</w:t>
      </w:r>
      <w:r w:rsidR="00991158" w:rsidRPr="00A455D9">
        <w:rPr>
          <w:rFonts w:ascii="Arial" w:hAnsi="Arial" w:cs="Arial"/>
          <w:b/>
          <w:sz w:val="32"/>
          <w:szCs w:val="32"/>
        </w:rPr>
        <w:t>ropuesta de intervención en sala por propuesta de reforma constitucional de recursos hídricos</w:t>
      </w:r>
    </w:p>
    <w:p w:rsidR="00677417" w:rsidRDefault="00677417" w:rsidP="002E14B1">
      <w:pPr>
        <w:spacing w:line="480" w:lineRule="auto"/>
        <w:jc w:val="both"/>
        <w:rPr>
          <w:rFonts w:ascii="Arial" w:hAnsi="Arial" w:cs="Arial"/>
          <w:b/>
          <w:sz w:val="28"/>
          <w:szCs w:val="28"/>
          <w:u w:val="single"/>
        </w:rPr>
      </w:pPr>
      <w:r>
        <w:rPr>
          <w:rFonts w:ascii="Arial" w:hAnsi="Arial" w:cs="Arial"/>
          <w:b/>
          <w:sz w:val="28"/>
          <w:szCs w:val="28"/>
          <w:u w:val="single"/>
        </w:rPr>
        <w:t>Contexto de cambio climático y sequía</w:t>
      </w:r>
    </w:p>
    <w:p w:rsidR="00677417" w:rsidRDefault="00677417" w:rsidP="002E14B1">
      <w:pPr>
        <w:spacing w:line="480" w:lineRule="auto"/>
        <w:jc w:val="both"/>
        <w:rPr>
          <w:rFonts w:ascii="Arial" w:hAnsi="Arial" w:cs="Arial"/>
          <w:sz w:val="28"/>
          <w:szCs w:val="28"/>
        </w:rPr>
      </w:pPr>
      <w:r>
        <w:rPr>
          <w:rFonts w:ascii="Arial" w:hAnsi="Arial" w:cs="Arial"/>
          <w:sz w:val="28"/>
          <w:szCs w:val="28"/>
        </w:rPr>
        <w:t>Ya para nadie</w:t>
      </w:r>
      <w:r w:rsidR="00474BC5">
        <w:rPr>
          <w:rFonts w:ascii="Arial" w:hAnsi="Arial" w:cs="Arial"/>
          <w:sz w:val="28"/>
          <w:szCs w:val="28"/>
        </w:rPr>
        <w:t xml:space="preserve"> es un misterio </w:t>
      </w:r>
      <w:r w:rsidR="0098119A">
        <w:rPr>
          <w:rFonts w:ascii="Arial" w:hAnsi="Arial" w:cs="Arial"/>
          <w:sz w:val="28"/>
          <w:szCs w:val="28"/>
        </w:rPr>
        <w:t xml:space="preserve">el contexto </w:t>
      </w:r>
      <w:r w:rsidR="005773D6">
        <w:rPr>
          <w:rFonts w:ascii="Arial" w:hAnsi="Arial" w:cs="Arial"/>
          <w:sz w:val="28"/>
          <w:szCs w:val="28"/>
        </w:rPr>
        <w:t>de</w:t>
      </w:r>
      <w:r w:rsidR="0098119A">
        <w:rPr>
          <w:rFonts w:ascii="Arial" w:hAnsi="Arial" w:cs="Arial"/>
          <w:sz w:val="28"/>
          <w:szCs w:val="28"/>
        </w:rPr>
        <w:t xml:space="preserve"> cambio climático </w:t>
      </w:r>
      <w:r w:rsidR="005773D6">
        <w:rPr>
          <w:rFonts w:ascii="Arial" w:hAnsi="Arial" w:cs="Arial"/>
          <w:sz w:val="28"/>
          <w:szCs w:val="28"/>
        </w:rPr>
        <w:t xml:space="preserve">en que se encuentra el mundo y el país. </w:t>
      </w:r>
      <w:r w:rsidR="0098119A">
        <w:rPr>
          <w:rFonts w:ascii="Arial" w:hAnsi="Arial" w:cs="Arial"/>
          <w:sz w:val="28"/>
          <w:szCs w:val="28"/>
        </w:rPr>
        <w:t>De hecho, la fuerte sequía que estamos viviendo es un claro signo visible del cam</w:t>
      </w:r>
      <w:r w:rsidR="005773D6">
        <w:rPr>
          <w:rFonts w:ascii="Arial" w:hAnsi="Arial" w:cs="Arial"/>
          <w:sz w:val="28"/>
          <w:szCs w:val="28"/>
        </w:rPr>
        <w:t xml:space="preserve">bio climático. </w:t>
      </w:r>
      <w:r w:rsidR="00D6614B">
        <w:rPr>
          <w:rFonts w:ascii="Arial" w:hAnsi="Arial" w:cs="Arial"/>
          <w:sz w:val="28"/>
          <w:szCs w:val="28"/>
        </w:rPr>
        <w:t>Pero no se trata sólo de la sequía en sí misma, sino que del hecho de que</w:t>
      </w:r>
      <w:r w:rsidR="0098119A">
        <w:rPr>
          <w:rFonts w:ascii="Arial" w:hAnsi="Arial" w:cs="Arial"/>
          <w:sz w:val="28"/>
          <w:szCs w:val="28"/>
        </w:rPr>
        <w:t xml:space="preserve"> </w:t>
      </w:r>
      <w:r w:rsidR="0098119A" w:rsidRPr="0098119A">
        <w:rPr>
          <w:rFonts w:ascii="Arial" w:hAnsi="Arial" w:cs="Arial"/>
          <w:sz w:val="28"/>
          <w:szCs w:val="28"/>
        </w:rPr>
        <w:t>Chile es</w:t>
      </w:r>
      <w:r w:rsidR="0098119A">
        <w:rPr>
          <w:rFonts w:ascii="Arial" w:hAnsi="Arial" w:cs="Arial"/>
          <w:sz w:val="28"/>
          <w:szCs w:val="28"/>
        </w:rPr>
        <w:t xml:space="preserve"> especialmente</w:t>
      </w:r>
      <w:r w:rsidR="0098119A" w:rsidRPr="0098119A">
        <w:rPr>
          <w:rFonts w:ascii="Arial" w:hAnsi="Arial" w:cs="Arial"/>
          <w:sz w:val="28"/>
          <w:szCs w:val="28"/>
        </w:rPr>
        <w:t xml:space="preserve"> vulnerable a los impactos del cambio climático, debido a su geografía y a sus características socioeconómicas, en particular el alto nivel de desigualdad</w:t>
      </w:r>
      <w:r w:rsidR="00D6614B">
        <w:rPr>
          <w:rStyle w:val="Refdenotaalpie"/>
          <w:rFonts w:ascii="Arial" w:hAnsi="Arial" w:cs="Arial"/>
          <w:sz w:val="28"/>
          <w:szCs w:val="28"/>
        </w:rPr>
        <w:footnoteReference w:id="1"/>
      </w:r>
      <w:r w:rsidR="0098119A">
        <w:rPr>
          <w:rFonts w:ascii="Arial" w:hAnsi="Arial" w:cs="Arial"/>
          <w:sz w:val="28"/>
          <w:szCs w:val="28"/>
        </w:rPr>
        <w:t xml:space="preserve">. </w:t>
      </w:r>
    </w:p>
    <w:p w:rsidR="0098119A" w:rsidRDefault="00643D93" w:rsidP="006100CF">
      <w:pPr>
        <w:spacing w:line="480" w:lineRule="auto"/>
        <w:jc w:val="both"/>
        <w:rPr>
          <w:rFonts w:ascii="Arial" w:hAnsi="Arial" w:cs="Arial"/>
          <w:iCs/>
          <w:color w:val="000000" w:themeColor="text1"/>
          <w:sz w:val="28"/>
          <w:szCs w:val="28"/>
          <w:shd w:val="clear" w:color="auto" w:fill="FFFFFF"/>
        </w:rPr>
      </w:pPr>
      <w:r>
        <w:rPr>
          <w:rFonts w:ascii="Arial" w:hAnsi="Arial" w:cs="Arial"/>
          <w:sz w:val="28"/>
          <w:szCs w:val="28"/>
        </w:rPr>
        <w:t xml:space="preserve">Sólo para profundizar con un ejemplo que ilustra </w:t>
      </w:r>
      <w:r w:rsidR="006A2F76">
        <w:rPr>
          <w:rFonts w:ascii="Arial" w:hAnsi="Arial" w:cs="Arial"/>
          <w:sz w:val="28"/>
          <w:szCs w:val="28"/>
        </w:rPr>
        <w:t>esta situación: en el</w:t>
      </w:r>
      <w:r>
        <w:rPr>
          <w:rFonts w:ascii="Arial" w:hAnsi="Arial" w:cs="Arial"/>
          <w:sz w:val="28"/>
          <w:szCs w:val="28"/>
        </w:rPr>
        <w:t xml:space="preserve"> río </w:t>
      </w:r>
      <w:r w:rsidR="00535366">
        <w:rPr>
          <w:rFonts w:ascii="Arial" w:hAnsi="Arial" w:cs="Arial"/>
          <w:sz w:val="28"/>
          <w:szCs w:val="28"/>
        </w:rPr>
        <w:t>Copiapó,</w:t>
      </w:r>
      <w:r w:rsidR="006A2F76">
        <w:rPr>
          <w:rFonts w:ascii="Arial" w:hAnsi="Arial" w:cs="Arial"/>
          <w:sz w:val="28"/>
          <w:szCs w:val="28"/>
        </w:rPr>
        <w:t xml:space="preserve"> que se encuentra en mi región,</w:t>
      </w:r>
      <w:r w:rsidR="00535366">
        <w:rPr>
          <w:rFonts w:ascii="Arial" w:hAnsi="Arial" w:cs="Arial"/>
          <w:sz w:val="28"/>
          <w:szCs w:val="28"/>
        </w:rPr>
        <w:t xml:space="preserve"> existe un </w:t>
      </w:r>
      <w:r>
        <w:rPr>
          <w:rFonts w:ascii="Arial" w:hAnsi="Arial" w:cs="Arial"/>
          <w:sz w:val="28"/>
          <w:szCs w:val="28"/>
        </w:rPr>
        <w:t>sobre-</w:t>
      </w:r>
      <w:r w:rsidR="00535366">
        <w:rPr>
          <w:rFonts w:ascii="Arial" w:hAnsi="Arial" w:cs="Arial"/>
          <w:sz w:val="28"/>
          <w:szCs w:val="28"/>
        </w:rPr>
        <w:t>otorgamiento</w:t>
      </w:r>
      <w:r>
        <w:rPr>
          <w:rFonts w:ascii="Arial" w:hAnsi="Arial" w:cs="Arial"/>
          <w:sz w:val="28"/>
          <w:szCs w:val="28"/>
        </w:rPr>
        <w:t xml:space="preserve"> de derechos de agua, que por lo menos cuadriplica el </w:t>
      </w:r>
      <w:r w:rsidRPr="006100CF">
        <w:rPr>
          <w:rFonts w:ascii="Arial" w:hAnsi="Arial" w:cs="Arial"/>
          <w:sz w:val="28"/>
          <w:szCs w:val="28"/>
        </w:rPr>
        <w:t xml:space="preserve">caudal que realmente puede </w:t>
      </w:r>
      <w:r w:rsidR="00D20319">
        <w:rPr>
          <w:rFonts w:ascii="Arial" w:hAnsi="Arial" w:cs="Arial"/>
          <w:sz w:val="28"/>
          <w:szCs w:val="28"/>
        </w:rPr>
        <w:t>reponer la cuenca</w:t>
      </w:r>
      <w:r w:rsidRPr="006100CF">
        <w:rPr>
          <w:rFonts w:ascii="Arial" w:hAnsi="Arial" w:cs="Arial"/>
          <w:sz w:val="28"/>
          <w:szCs w:val="28"/>
        </w:rPr>
        <w:t xml:space="preserve">. En este caso, no sólo se </w:t>
      </w:r>
      <w:r w:rsidRPr="006100CF">
        <w:rPr>
          <w:rFonts w:ascii="Arial" w:hAnsi="Arial" w:cs="Arial"/>
          <w:color w:val="000000" w:themeColor="text1"/>
          <w:sz w:val="28"/>
          <w:szCs w:val="28"/>
        </w:rPr>
        <w:t xml:space="preserve">trata de </w:t>
      </w:r>
      <w:r w:rsidRPr="006100CF">
        <w:rPr>
          <w:rFonts w:ascii="Arial" w:hAnsi="Arial" w:cs="Arial"/>
          <w:iCs/>
          <w:color w:val="000000" w:themeColor="text1"/>
          <w:sz w:val="28"/>
          <w:szCs w:val="28"/>
          <w:shd w:val="clear" w:color="auto" w:fill="FFFFFF"/>
        </w:rPr>
        <w:t xml:space="preserve">la falta de lluvia propia de </w:t>
      </w:r>
      <w:r w:rsidR="006100CF">
        <w:rPr>
          <w:rFonts w:ascii="Arial" w:hAnsi="Arial" w:cs="Arial"/>
          <w:iCs/>
          <w:color w:val="000000" w:themeColor="text1"/>
          <w:sz w:val="28"/>
          <w:szCs w:val="28"/>
          <w:shd w:val="clear" w:color="auto" w:fill="FFFFFF"/>
        </w:rPr>
        <w:t xml:space="preserve">la zona o la </w:t>
      </w:r>
      <w:r w:rsidR="00AB63A5">
        <w:rPr>
          <w:rFonts w:ascii="Arial" w:hAnsi="Arial" w:cs="Arial"/>
          <w:iCs/>
          <w:color w:val="000000" w:themeColor="text1"/>
          <w:sz w:val="28"/>
          <w:szCs w:val="28"/>
          <w:shd w:val="clear" w:color="auto" w:fill="FFFFFF"/>
        </w:rPr>
        <w:t xml:space="preserve">de </w:t>
      </w:r>
      <w:r w:rsidR="006100CF">
        <w:rPr>
          <w:rFonts w:ascii="Arial" w:hAnsi="Arial" w:cs="Arial"/>
          <w:iCs/>
          <w:color w:val="000000" w:themeColor="text1"/>
          <w:sz w:val="28"/>
          <w:szCs w:val="28"/>
          <w:shd w:val="clear" w:color="auto" w:fill="FFFFFF"/>
        </w:rPr>
        <w:t>sequía</w:t>
      </w:r>
      <w:r w:rsidRPr="006100CF">
        <w:rPr>
          <w:rFonts w:ascii="Arial" w:hAnsi="Arial" w:cs="Arial"/>
          <w:iCs/>
          <w:color w:val="000000" w:themeColor="text1"/>
          <w:sz w:val="28"/>
          <w:szCs w:val="28"/>
          <w:shd w:val="clear" w:color="auto" w:fill="FFFFFF"/>
        </w:rPr>
        <w:t xml:space="preserve">, </w:t>
      </w:r>
      <w:r w:rsidR="003A2A0F">
        <w:rPr>
          <w:rFonts w:ascii="Arial" w:hAnsi="Arial" w:cs="Arial"/>
          <w:iCs/>
          <w:color w:val="000000" w:themeColor="text1"/>
          <w:sz w:val="28"/>
          <w:szCs w:val="28"/>
          <w:shd w:val="clear" w:color="auto" w:fill="FFFFFF"/>
        </w:rPr>
        <w:t xml:space="preserve">sino que se trata de un claro síntoma en que necesitamos modernizar nuestra legislación. </w:t>
      </w:r>
    </w:p>
    <w:p w:rsidR="003A2A0F" w:rsidRDefault="003A2A0F" w:rsidP="006100CF">
      <w:pPr>
        <w:spacing w:line="480" w:lineRule="auto"/>
        <w:jc w:val="both"/>
        <w:rPr>
          <w:rFonts w:ascii="Arial" w:hAnsi="Arial" w:cs="Arial"/>
          <w:sz w:val="28"/>
          <w:szCs w:val="28"/>
        </w:rPr>
      </w:pPr>
    </w:p>
    <w:p w:rsidR="003A2A0F" w:rsidRPr="00174E7A" w:rsidRDefault="003A2A0F" w:rsidP="003A2A0F">
      <w:pPr>
        <w:spacing w:line="480" w:lineRule="auto"/>
        <w:jc w:val="both"/>
        <w:rPr>
          <w:rFonts w:ascii="Arial" w:hAnsi="Arial" w:cs="Arial"/>
          <w:b/>
          <w:sz w:val="28"/>
          <w:szCs w:val="28"/>
          <w:u w:val="single"/>
        </w:rPr>
      </w:pPr>
      <w:r>
        <w:rPr>
          <w:rFonts w:ascii="Arial" w:hAnsi="Arial" w:cs="Arial"/>
          <w:b/>
          <w:sz w:val="28"/>
          <w:szCs w:val="28"/>
          <w:u w:val="single"/>
        </w:rPr>
        <w:lastRenderedPageBreak/>
        <w:t>Un poco de historia</w:t>
      </w:r>
    </w:p>
    <w:p w:rsidR="00225754" w:rsidRDefault="003A2A0F" w:rsidP="00225754">
      <w:pPr>
        <w:spacing w:line="480" w:lineRule="auto"/>
        <w:jc w:val="both"/>
        <w:rPr>
          <w:rFonts w:ascii="Arial" w:hAnsi="Arial" w:cs="Arial"/>
          <w:sz w:val="28"/>
          <w:szCs w:val="28"/>
        </w:rPr>
      </w:pPr>
      <w:r>
        <w:rPr>
          <w:rFonts w:ascii="Arial" w:hAnsi="Arial" w:cs="Arial"/>
          <w:sz w:val="28"/>
          <w:szCs w:val="28"/>
        </w:rPr>
        <w:t>La Comisión Especial de Recursos Hídricos se constituy</w:t>
      </w:r>
      <w:r w:rsidR="00467796">
        <w:rPr>
          <w:rFonts w:ascii="Arial" w:hAnsi="Arial" w:cs="Arial"/>
          <w:sz w:val="28"/>
          <w:szCs w:val="28"/>
        </w:rPr>
        <w:t>ó en agosto de 2014 y uno de sus propósitos fue refundir diversas mociones parlamentarias que proponían modificar la constitución en materia de recursos hídricos. De hecho, en marzo de este año, esta sala de este senado acordó refundir 9 proyectos de ley</w:t>
      </w:r>
      <w:r w:rsidR="00225754">
        <w:rPr>
          <w:rFonts w:ascii="Arial" w:hAnsi="Arial" w:cs="Arial"/>
          <w:sz w:val="28"/>
          <w:szCs w:val="28"/>
        </w:rPr>
        <w:t>, de más de 24 senadores</w:t>
      </w:r>
      <w:r w:rsidR="00E777F6">
        <w:rPr>
          <w:rFonts w:ascii="Arial" w:hAnsi="Arial" w:cs="Arial"/>
          <w:sz w:val="28"/>
          <w:szCs w:val="28"/>
        </w:rPr>
        <w:t>, con una amplia diversidad de ideas y propuestas</w:t>
      </w:r>
      <w:r w:rsidR="00467796">
        <w:rPr>
          <w:rFonts w:ascii="Arial" w:hAnsi="Arial" w:cs="Arial"/>
          <w:sz w:val="28"/>
          <w:szCs w:val="28"/>
        </w:rPr>
        <w:t xml:space="preserve">. </w:t>
      </w:r>
      <w:r w:rsidR="00E777F6">
        <w:rPr>
          <w:rFonts w:ascii="Arial" w:hAnsi="Arial" w:cs="Arial"/>
          <w:sz w:val="28"/>
          <w:szCs w:val="28"/>
        </w:rPr>
        <w:t xml:space="preserve">Entre estas mociones, hay una </w:t>
      </w:r>
      <w:r w:rsidR="00467796">
        <w:rPr>
          <w:rFonts w:ascii="Arial" w:hAnsi="Arial" w:cs="Arial"/>
          <w:sz w:val="28"/>
          <w:szCs w:val="28"/>
        </w:rPr>
        <w:t>que yo misma presenté</w:t>
      </w:r>
      <w:r w:rsidR="00E777F6">
        <w:rPr>
          <w:rFonts w:ascii="Arial" w:hAnsi="Arial" w:cs="Arial"/>
          <w:sz w:val="28"/>
          <w:szCs w:val="28"/>
        </w:rPr>
        <w:t xml:space="preserve"> y trabajé en el año 2012</w:t>
      </w:r>
      <w:r w:rsidR="00467796">
        <w:rPr>
          <w:rFonts w:ascii="Arial" w:hAnsi="Arial" w:cs="Arial"/>
          <w:sz w:val="28"/>
          <w:szCs w:val="28"/>
        </w:rPr>
        <w:t xml:space="preserve">. </w:t>
      </w:r>
      <w:r w:rsidR="005773D6">
        <w:rPr>
          <w:rFonts w:ascii="Arial" w:hAnsi="Arial" w:cs="Arial"/>
          <w:sz w:val="28"/>
          <w:szCs w:val="28"/>
        </w:rPr>
        <w:t>Se trata d</w:t>
      </w:r>
      <w:r w:rsidR="00225754">
        <w:rPr>
          <w:rFonts w:ascii="Arial" w:hAnsi="Arial" w:cs="Arial"/>
          <w:sz w:val="28"/>
          <w:szCs w:val="28"/>
        </w:rPr>
        <w:t xml:space="preserve">el boletín </w:t>
      </w:r>
      <w:r w:rsidR="00225754" w:rsidRPr="00225754">
        <w:rPr>
          <w:rFonts w:ascii="Arial" w:hAnsi="Arial" w:cs="Arial"/>
          <w:sz w:val="28"/>
          <w:szCs w:val="28"/>
        </w:rPr>
        <w:t>8355-07</w:t>
      </w:r>
      <w:r w:rsidR="00225754">
        <w:rPr>
          <w:rFonts w:ascii="Arial" w:hAnsi="Arial" w:cs="Arial"/>
          <w:sz w:val="28"/>
          <w:szCs w:val="28"/>
        </w:rPr>
        <w:t>,</w:t>
      </w:r>
      <w:r w:rsidR="00496C0C">
        <w:rPr>
          <w:rFonts w:ascii="Arial" w:hAnsi="Arial" w:cs="Arial"/>
          <w:sz w:val="28"/>
          <w:szCs w:val="28"/>
        </w:rPr>
        <w:t xml:space="preserve"> presentado en con</w:t>
      </w:r>
      <w:r w:rsidR="00225754">
        <w:rPr>
          <w:rFonts w:ascii="Arial" w:hAnsi="Arial" w:cs="Arial"/>
          <w:sz w:val="28"/>
          <w:szCs w:val="28"/>
        </w:rPr>
        <w:t xml:space="preserve">junto con los actuales Senadores Letelier y </w:t>
      </w:r>
      <w:proofErr w:type="spellStart"/>
      <w:r w:rsidR="00225754">
        <w:rPr>
          <w:rFonts w:ascii="Arial" w:hAnsi="Arial" w:cs="Arial"/>
          <w:sz w:val="28"/>
          <w:szCs w:val="28"/>
        </w:rPr>
        <w:t>Rossi</w:t>
      </w:r>
      <w:proofErr w:type="spellEnd"/>
      <w:r w:rsidR="00225754">
        <w:rPr>
          <w:rFonts w:ascii="Arial" w:hAnsi="Arial" w:cs="Arial"/>
          <w:sz w:val="28"/>
          <w:szCs w:val="28"/>
        </w:rPr>
        <w:t xml:space="preserve"> y los </w:t>
      </w:r>
      <w:r w:rsidR="00225754" w:rsidRPr="00225754">
        <w:rPr>
          <w:rFonts w:ascii="Arial" w:hAnsi="Arial" w:cs="Arial"/>
          <w:sz w:val="28"/>
          <w:szCs w:val="28"/>
        </w:rPr>
        <w:t xml:space="preserve">Ex </w:t>
      </w:r>
      <w:r w:rsidR="00496C0C">
        <w:rPr>
          <w:rFonts w:ascii="Arial" w:hAnsi="Arial" w:cs="Arial"/>
          <w:sz w:val="28"/>
          <w:szCs w:val="28"/>
        </w:rPr>
        <w:t>Senadores Gómez y Ruiz-</w:t>
      </w:r>
      <w:proofErr w:type="spellStart"/>
      <w:r w:rsidR="00496C0C">
        <w:rPr>
          <w:rFonts w:ascii="Arial" w:hAnsi="Arial" w:cs="Arial"/>
          <w:sz w:val="28"/>
          <w:szCs w:val="28"/>
        </w:rPr>
        <w:t>Esquide</w:t>
      </w:r>
      <w:proofErr w:type="spellEnd"/>
      <w:r w:rsidR="00496C0C">
        <w:rPr>
          <w:rFonts w:ascii="Arial" w:hAnsi="Arial" w:cs="Arial"/>
          <w:sz w:val="28"/>
          <w:szCs w:val="28"/>
        </w:rPr>
        <w:t>. El proyecto</w:t>
      </w:r>
      <w:r w:rsidR="00225754">
        <w:rPr>
          <w:rFonts w:ascii="Arial" w:hAnsi="Arial" w:cs="Arial"/>
          <w:sz w:val="28"/>
          <w:szCs w:val="28"/>
        </w:rPr>
        <w:t xml:space="preserve"> </w:t>
      </w:r>
      <w:r w:rsidR="00225754" w:rsidRPr="005773D6">
        <w:rPr>
          <w:rFonts w:ascii="Arial" w:hAnsi="Arial" w:cs="Arial"/>
          <w:b/>
          <w:sz w:val="28"/>
          <w:szCs w:val="28"/>
        </w:rPr>
        <w:t xml:space="preserve">buscaba exclusivamente declarar a nivel constitucional las aguas como bienes nacionales de uso público, así como asegurar disponibilidad para el consumo humano. </w:t>
      </w:r>
      <w:r w:rsidR="00225754">
        <w:rPr>
          <w:rFonts w:ascii="Arial" w:hAnsi="Arial" w:cs="Arial"/>
          <w:sz w:val="28"/>
          <w:szCs w:val="28"/>
        </w:rPr>
        <w:t>Creo que</w:t>
      </w:r>
      <w:r w:rsidR="00225754" w:rsidRPr="00225754">
        <w:rPr>
          <w:rFonts w:ascii="Arial" w:hAnsi="Arial" w:cs="Arial"/>
          <w:sz w:val="28"/>
          <w:szCs w:val="28"/>
        </w:rPr>
        <w:t xml:space="preserve"> es hora de adecuar los términos de la Carta Fundamental no sólo a la regla general de derecho privado que considera que las aguas son bienes nacionales de uso público, lo que implica que el dominio de ellas pertenece a la Nación toda y su uso a todos los habitantes de aquélla (el artículo 595 del Código Civil y en el artículo 5° del Código de Aguas), sino que también a los instrumentos internacionales vigentes y ratificados por Chile y que, por ende, se encuentran incorporados a su derecho interno.</w:t>
      </w:r>
    </w:p>
    <w:p w:rsidR="00225754" w:rsidRDefault="003B3B6B" w:rsidP="00565BA4">
      <w:pPr>
        <w:spacing w:line="480" w:lineRule="auto"/>
        <w:jc w:val="both"/>
        <w:rPr>
          <w:rFonts w:ascii="Arial" w:hAnsi="Arial" w:cs="Arial"/>
          <w:sz w:val="28"/>
          <w:szCs w:val="28"/>
        </w:rPr>
      </w:pPr>
      <w:r>
        <w:rPr>
          <w:rFonts w:ascii="Arial" w:hAnsi="Arial" w:cs="Arial"/>
          <w:sz w:val="28"/>
          <w:szCs w:val="28"/>
        </w:rPr>
        <w:lastRenderedPageBreak/>
        <w:t>Quisiera destacar, además que los cambios</w:t>
      </w:r>
      <w:r w:rsidR="00565BA4">
        <w:rPr>
          <w:rFonts w:ascii="Arial" w:hAnsi="Arial" w:cs="Arial"/>
          <w:sz w:val="28"/>
          <w:szCs w:val="28"/>
        </w:rPr>
        <w:t xml:space="preserve"> al modelo institucional que administra </w:t>
      </w:r>
      <w:r>
        <w:rPr>
          <w:rFonts w:ascii="Arial" w:hAnsi="Arial" w:cs="Arial"/>
          <w:sz w:val="28"/>
          <w:szCs w:val="28"/>
        </w:rPr>
        <w:t>del agua en Chile han sido recomendados incluso por el Banco Mundial, en un informe del año 2011</w:t>
      </w:r>
      <w:r w:rsidR="00565BA4">
        <w:rPr>
          <w:rFonts w:ascii="Arial" w:hAnsi="Arial" w:cs="Arial"/>
          <w:sz w:val="28"/>
          <w:szCs w:val="28"/>
        </w:rPr>
        <w:t xml:space="preserve">, donde diagnostica la </w:t>
      </w:r>
      <w:r w:rsidR="00565BA4" w:rsidRPr="00565BA4">
        <w:rPr>
          <w:rFonts w:ascii="Arial" w:hAnsi="Arial" w:cs="Arial"/>
          <w:sz w:val="28"/>
          <w:szCs w:val="28"/>
        </w:rPr>
        <w:t xml:space="preserve">descoordinación existente entre las diferentes instituciones </w:t>
      </w:r>
      <w:r w:rsidR="00565BA4">
        <w:rPr>
          <w:rFonts w:ascii="Arial" w:hAnsi="Arial" w:cs="Arial"/>
          <w:sz w:val="28"/>
          <w:szCs w:val="28"/>
        </w:rPr>
        <w:t xml:space="preserve">con funciones relacionadas con </w:t>
      </w:r>
      <w:r w:rsidR="00565BA4" w:rsidRPr="00565BA4">
        <w:rPr>
          <w:rFonts w:ascii="Arial" w:hAnsi="Arial" w:cs="Arial"/>
          <w:sz w:val="28"/>
          <w:szCs w:val="28"/>
        </w:rPr>
        <w:t>la gestión del recurso</w:t>
      </w:r>
      <w:r w:rsidR="00565BA4">
        <w:rPr>
          <w:rStyle w:val="Refdenotaalpie"/>
          <w:rFonts w:ascii="Arial" w:hAnsi="Arial" w:cs="Arial"/>
          <w:sz w:val="28"/>
          <w:szCs w:val="28"/>
        </w:rPr>
        <w:footnoteReference w:id="2"/>
      </w:r>
      <w:r w:rsidR="00565BA4">
        <w:rPr>
          <w:rStyle w:val="Refdenotaalpie"/>
          <w:rFonts w:ascii="Arial" w:hAnsi="Arial" w:cs="Arial"/>
          <w:sz w:val="28"/>
          <w:szCs w:val="28"/>
        </w:rPr>
        <w:footnoteReference w:id="3"/>
      </w:r>
      <w:r w:rsidR="00565BA4" w:rsidRPr="00565BA4">
        <w:rPr>
          <w:rFonts w:ascii="Arial" w:hAnsi="Arial" w:cs="Arial"/>
          <w:sz w:val="28"/>
          <w:szCs w:val="28"/>
        </w:rPr>
        <w:t xml:space="preserve">.  </w:t>
      </w:r>
    </w:p>
    <w:p w:rsidR="00F55633" w:rsidRPr="00174E7A" w:rsidRDefault="00F55633" w:rsidP="002E14B1">
      <w:pPr>
        <w:spacing w:line="480" w:lineRule="auto"/>
        <w:jc w:val="both"/>
        <w:rPr>
          <w:rFonts w:ascii="Arial" w:hAnsi="Arial" w:cs="Arial"/>
          <w:b/>
          <w:sz w:val="28"/>
          <w:szCs w:val="28"/>
          <w:u w:val="single"/>
        </w:rPr>
      </w:pPr>
      <w:r w:rsidRPr="00174E7A">
        <w:rPr>
          <w:rFonts w:ascii="Arial" w:hAnsi="Arial" w:cs="Arial"/>
          <w:b/>
          <w:sz w:val="28"/>
          <w:szCs w:val="28"/>
          <w:u w:val="single"/>
        </w:rPr>
        <w:t>Modernización de la legislación</w:t>
      </w:r>
    </w:p>
    <w:p w:rsidR="00A5073A" w:rsidRPr="00A455D9" w:rsidRDefault="00EB372C" w:rsidP="002E14B1">
      <w:pPr>
        <w:spacing w:line="480" w:lineRule="auto"/>
        <w:jc w:val="both"/>
        <w:rPr>
          <w:rFonts w:ascii="Arial" w:hAnsi="Arial" w:cs="Arial"/>
          <w:sz w:val="28"/>
          <w:szCs w:val="28"/>
        </w:rPr>
      </w:pPr>
      <w:r w:rsidRPr="00A455D9">
        <w:rPr>
          <w:rFonts w:ascii="Arial" w:hAnsi="Arial" w:cs="Arial"/>
          <w:sz w:val="28"/>
          <w:szCs w:val="28"/>
        </w:rPr>
        <w:t xml:space="preserve">Quisiera ser enfática en señalar que </w:t>
      </w:r>
      <w:r w:rsidR="00A5073A" w:rsidRPr="00A455D9">
        <w:rPr>
          <w:rFonts w:ascii="Arial" w:hAnsi="Arial" w:cs="Arial"/>
          <w:sz w:val="28"/>
          <w:szCs w:val="28"/>
        </w:rPr>
        <w:t xml:space="preserve">necesitamos </w:t>
      </w:r>
      <w:r w:rsidR="00647C72" w:rsidRPr="00A455D9">
        <w:rPr>
          <w:rFonts w:ascii="Arial" w:hAnsi="Arial" w:cs="Arial"/>
          <w:b/>
          <w:sz w:val="28"/>
          <w:szCs w:val="28"/>
        </w:rPr>
        <w:t xml:space="preserve">una legislación moderna </w:t>
      </w:r>
      <w:r w:rsidR="00A03021" w:rsidRPr="00A455D9">
        <w:rPr>
          <w:rFonts w:ascii="Arial" w:hAnsi="Arial" w:cs="Arial"/>
          <w:b/>
          <w:sz w:val="28"/>
          <w:szCs w:val="28"/>
        </w:rPr>
        <w:t>que responda al contexto hídrico al país</w:t>
      </w:r>
      <w:r w:rsidR="00A03021" w:rsidRPr="00A455D9">
        <w:rPr>
          <w:rFonts w:ascii="Arial" w:hAnsi="Arial" w:cs="Arial"/>
          <w:sz w:val="28"/>
          <w:szCs w:val="28"/>
        </w:rPr>
        <w:t>.</w:t>
      </w:r>
      <w:r w:rsidR="005773D6">
        <w:rPr>
          <w:rFonts w:ascii="Arial" w:hAnsi="Arial" w:cs="Arial"/>
          <w:sz w:val="28"/>
          <w:szCs w:val="28"/>
        </w:rPr>
        <w:t xml:space="preserve"> D</w:t>
      </w:r>
      <w:r w:rsidR="00A5073A" w:rsidRPr="00A455D9">
        <w:rPr>
          <w:rFonts w:ascii="Arial" w:hAnsi="Arial" w:cs="Arial"/>
          <w:sz w:val="28"/>
          <w:szCs w:val="28"/>
        </w:rPr>
        <w:t xml:space="preserve">esde hace siete años el territorio comprendido entre las regiones Coquimbo y la Araucanía ha experimentado un déficit de precipitaciones cercano a 30%. Esto ha implicado una </w:t>
      </w:r>
      <w:r w:rsidR="00E1133A" w:rsidRPr="00A455D9">
        <w:rPr>
          <w:rFonts w:ascii="Arial" w:hAnsi="Arial" w:cs="Arial"/>
          <w:sz w:val="28"/>
          <w:szCs w:val="28"/>
        </w:rPr>
        <w:t xml:space="preserve">grave </w:t>
      </w:r>
      <w:r w:rsidR="00A455D9" w:rsidRPr="00A455D9">
        <w:rPr>
          <w:rFonts w:ascii="Arial" w:hAnsi="Arial" w:cs="Arial"/>
          <w:sz w:val="28"/>
          <w:szCs w:val="28"/>
        </w:rPr>
        <w:t xml:space="preserve">escasez </w:t>
      </w:r>
      <w:r w:rsidR="003B742A">
        <w:rPr>
          <w:rFonts w:ascii="Arial" w:hAnsi="Arial" w:cs="Arial"/>
          <w:sz w:val="28"/>
          <w:szCs w:val="28"/>
        </w:rPr>
        <w:t xml:space="preserve">de agua </w:t>
      </w:r>
      <w:r w:rsidR="00A455D9" w:rsidRPr="00A455D9">
        <w:rPr>
          <w:rFonts w:ascii="Arial" w:hAnsi="Arial" w:cs="Arial"/>
          <w:sz w:val="28"/>
          <w:szCs w:val="28"/>
        </w:rPr>
        <w:t xml:space="preserve">en numerosas </w:t>
      </w:r>
      <w:r w:rsidR="003B742A">
        <w:rPr>
          <w:rFonts w:ascii="Arial" w:hAnsi="Arial" w:cs="Arial"/>
          <w:sz w:val="28"/>
          <w:szCs w:val="28"/>
        </w:rPr>
        <w:t>comunas</w:t>
      </w:r>
      <w:r w:rsidR="00A5073A" w:rsidRPr="00A455D9">
        <w:rPr>
          <w:rFonts w:ascii="Arial" w:hAnsi="Arial" w:cs="Arial"/>
          <w:sz w:val="28"/>
          <w:szCs w:val="28"/>
        </w:rPr>
        <w:t xml:space="preserve">.  </w:t>
      </w:r>
    </w:p>
    <w:p w:rsidR="00A03021" w:rsidRPr="00A455D9" w:rsidRDefault="00A5073A" w:rsidP="002E14B1">
      <w:pPr>
        <w:spacing w:line="480" w:lineRule="auto"/>
        <w:jc w:val="both"/>
        <w:rPr>
          <w:rFonts w:ascii="Arial" w:hAnsi="Arial" w:cs="Arial"/>
          <w:sz w:val="28"/>
          <w:szCs w:val="28"/>
        </w:rPr>
      </w:pPr>
      <w:r w:rsidRPr="00A455D9">
        <w:rPr>
          <w:rFonts w:ascii="Arial" w:hAnsi="Arial" w:cs="Arial"/>
          <w:sz w:val="28"/>
          <w:szCs w:val="28"/>
        </w:rPr>
        <w:t xml:space="preserve">Sin embargo, en este escenario hídrico, se produce </w:t>
      </w:r>
      <w:r w:rsidR="00E1133A" w:rsidRPr="00A455D9">
        <w:rPr>
          <w:rFonts w:ascii="Arial" w:hAnsi="Arial" w:cs="Arial"/>
          <w:sz w:val="28"/>
          <w:szCs w:val="28"/>
        </w:rPr>
        <w:t xml:space="preserve">la contradicción de que el </w:t>
      </w:r>
      <w:r w:rsidR="00356D70" w:rsidRPr="00A455D9">
        <w:rPr>
          <w:rFonts w:ascii="Arial" w:hAnsi="Arial" w:cs="Arial"/>
          <w:sz w:val="28"/>
          <w:szCs w:val="28"/>
        </w:rPr>
        <w:t>acceso al agua y saneamiento está definido como derecho humano básico,</w:t>
      </w:r>
      <w:r w:rsidR="00E1133A" w:rsidRPr="00A455D9">
        <w:rPr>
          <w:rFonts w:ascii="Arial" w:hAnsi="Arial" w:cs="Arial"/>
          <w:sz w:val="28"/>
          <w:szCs w:val="28"/>
        </w:rPr>
        <w:t xml:space="preserve"> pero</w:t>
      </w:r>
      <w:r w:rsidR="00356D70" w:rsidRPr="00A455D9">
        <w:rPr>
          <w:rFonts w:ascii="Arial" w:hAnsi="Arial" w:cs="Arial"/>
          <w:sz w:val="28"/>
          <w:szCs w:val="28"/>
        </w:rPr>
        <w:t xml:space="preserve"> sin embargo</w:t>
      </w:r>
      <w:r w:rsidR="00A03021" w:rsidRPr="00A455D9">
        <w:rPr>
          <w:rFonts w:ascii="Arial" w:hAnsi="Arial" w:cs="Arial"/>
          <w:sz w:val="28"/>
          <w:szCs w:val="28"/>
        </w:rPr>
        <w:t xml:space="preserve"> la legislación Chilena no existe aún un reconocimiento y protección efectiva de este derecho a nivel constitucional. </w:t>
      </w:r>
      <w:r w:rsidR="005954F1" w:rsidRPr="00A455D9">
        <w:rPr>
          <w:rFonts w:ascii="Arial" w:hAnsi="Arial" w:cs="Arial"/>
          <w:sz w:val="28"/>
          <w:szCs w:val="28"/>
        </w:rPr>
        <w:t xml:space="preserve">En Chile las comunidades locales se enfrentan a una </w:t>
      </w:r>
      <w:r w:rsidR="005954F1" w:rsidRPr="00A455D9">
        <w:rPr>
          <w:rFonts w:ascii="Arial" w:hAnsi="Arial" w:cs="Arial"/>
          <w:sz w:val="28"/>
          <w:szCs w:val="28"/>
        </w:rPr>
        <w:lastRenderedPageBreak/>
        <w:t>creciente y sistemática pérdida de derechos sociales</w:t>
      </w:r>
      <w:r w:rsidR="005773D6">
        <w:rPr>
          <w:rFonts w:ascii="Arial" w:hAnsi="Arial" w:cs="Arial"/>
          <w:sz w:val="28"/>
          <w:szCs w:val="28"/>
        </w:rPr>
        <w:t xml:space="preserve">: Se trata, en este caso </w:t>
      </w:r>
      <w:r w:rsidR="005954F1" w:rsidRPr="00A455D9">
        <w:rPr>
          <w:rFonts w:ascii="Arial" w:hAnsi="Arial" w:cs="Arial"/>
          <w:sz w:val="28"/>
          <w:szCs w:val="28"/>
        </w:rPr>
        <w:t>de un derecho fundamental básico que el Estado debe garanti</w:t>
      </w:r>
      <w:r w:rsidR="005773D6">
        <w:rPr>
          <w:rFonts w:ascii="Arial" w:hAnsi="Arial" w:cs="Arial"/>
          <w:sz w:val="28"/>
          <w:szCs w:val="28"/>
        </w:rPr>
        <w:t xml:space="preserve">zar a campesinos y agricultores: el derecho al agua. </w:t>
      </w:r>
    </w:p>
    <w:p w:rsidR="005954F1" w:rsidRDefault="005954F1" w:rsidP="002E14B1">
      <w:pPr>
        <w:spacing w:line="480" w:lineRule="auto"/>
        <w:jc w:val="both"/>
        <w:rPr>
          <w:rFonts w:ascii="Arial" w:hAnsi="Arial" w:cs="Arial"/>
          <w:sz w:val="28"/>
          <w:szCs w:val="28"/>
        </w:rPr>
      </w:pPr>
      <w:r w:rsidRPr="00A455D9">
        <w:rPr>
          <w:rFonts w:ascii="Arial" w:hAnsi="Arial" w:cs="Arial"/>
          <w:sz w:val="28"/>
          <w:szCs w:val="28"/>
        </w:rPr>
        <w:t xml:space="preserve">Justamente una de las propuestas que trae esta reforma consiste </w:t>
      </w:r>
      <w:r w:rsidR="00E1133A" w:rsidRPr="00A455D9">
        <w:rPr>
          <w:rFonts w:ascii="Arial" w:hAnsi="Arial" w:cs="Arial"/>
          <w:sz w:val="28"/>
          <w:szCs w:val="28"/>
        </w:rPr>
        <w:t>en precisar</w:t>
      </w:r>
      <w:r w:rsidRPr="00A455D9">
        <w:rPr>
          <w:rFonts w:ascii="Arial" w:hAnsi="Arial" w:cs="Arial"/>
          <w:sz w:val="28"/>
          <w:szCs w:val="28"/>
        </w:rPr>
        <w:t xml:space="preserve"> que priorizará el consumo humano, el doméstico y el saneamiento, resguardando las actividades productivas de subsistencia. Estas  medidas  se  condicen  con  las  recomendaciones  del  estudio  de  la OCDE sobre este mismo tema el año pasado.   </w:t>
      </w:r>
    </w:p>
    <w:p w:rsidR="00F55633" w:rsidRDefault="00F55633" w:rsidP="002E14B1">
      <w:pPr>
        <w:spacing w:line="480" w:lineRule="auto"/>
        <w:jc w:val="both"/>
        <w:rPr>
          <w:rFonts w:ascii="Arial" w:hAnsi="Arial" w:cs="Arial"/>
          <w:sz w:val="28"/>
          <w:szCs w:val="28"/>
        </w:rPr>
      </w:pPr>
      <w:r>
        <w:rPr>
          <w:rFonts w:ascii="Arial" w:hAnsi="Arial" w:cs="Arial"/>
          <w:sz w:val="28"/>
          <w:szCs w:val="28"/>
        </w:rPr>
        <w:t>Al mismo tiempo, la propuesta busca ofrecer una alternativa para la solución de los innumerables conflictos hídricos que existen en el pa</w:t>
      </w:r>
      <w:r w:rsidR="001B49BA">
        <w:rPr>
          <w:rFonts w:ascii="Arial" w:hAnsi="Arial" w:cs="Arial"/>
          <w:sz w:val="28"/>
          <w:szCs w:val="28"/>
        </w:rPr>
        <w:t xml:space="preserve">ís, extendiendo </w:t>
      </w:r>
      <w:r w:rsidR="00F773B0">
        <w:rPr>
          <w:rFonts w:ascii="Arial" w:hAnsi="Arial" w:cs="Arial"/>
          <w:sz w:val="28"/>
          <w:szCs w:val="28"/>
        </w:rPr>
        <w:t xml:space="preserve">el recurso de protección para incluir el derecho al agua. </w:t>
      </w:r>
    </w:p>
    <w:p w:rsidR="00F55633" w:rsidRPr="00174E7A" w:rsidRDefault="00F55633" w:rsidP="00365522">
      <w:pPr>
        <w:spacing w:line="480" w:lineRule="auto"/>
        <w:jc w:val="both"/>
        <w:rPr>
          <w:rFonts w:ascii="Arial" w:hAnsi="Arial" w:cs="Arial"/>
          <w:b/>
          <w:sz w:val="28"/>
          <w:szCs w:val="28"/>
          <w:u w:val="single"/>
        </w:rPr>
      </w:pPr>
      <w:r w:rsidRPr="00174E7A">
        <w:rPr>
          <w:rFonts w:ascii="Arial" w:hAnsi="Arial" w:cs="Arial"/>
          <w:b/>
          <w:sz w:val="28"/>
          <w:szCs w:val="28"/>
          <w:u w:val="single"/>
        </w:rPr>
        <w:t>Sensatez institucional</w:t>
      </w:r>
    </w:p>
    <w:p w:rsidR="005773D6" w:rsidRDefault="00E1133A" w:rsidP="00677417">
      <w:pPr>
        <w:spacing w:line="480" w:lineRule="auto"/>
        <w:jc w:val="both"/>
        <w:rPr>
          <w:rFonts w:ascii="Arial" w:hAnsi="Arial" w:cs="Arial"/>
          <w:sz w:val="28"/>
          <w:szCs w:val="28"/>
        </w:rPr>
      </w:pPr>
      <w:r w:rsidRPr="00A455D9">
        <w:rPr>
          <w:rFonts w:ascii="Arial" w:hAnsi="Arial" w:cs="Arial"/>
          <w:sz w:val="28"/>
          <w:szCs w:val="28"/>
        </w:rPr>
        <w:t xml:space="preserve">Sin embargo, también quisiera destacar que esta propuesta </w:t>
      </w:r>
      <w:r w:rsidR="00365522">
        <w:rPr>
          <w:rFonts w:ascii="Arial" w:hAnsi="Arial" w:cs="Arial"/>
          <w:sz w:val="28"/>
          <w:szCs w:val="28"/>
        </w:rPr>
        <w:t>pretende ser una</w:t>
      </w:r>
      <w:r w:rsidRPr="00A455D9">
        <w:rPr>
          <w:rFonts w:ascii="Arial" w:hAnsi="Arial" w:cs="Arial"/>
          <w:sz w:val="28"/>
          <w:szCs w:val="28"/>
        </w:rPr>
        <w:t xml:space="preserve"> </w:t>
      </w:r>
      <w:r w:rsidR="00152AAC" w:rsidRPr="00A455D9">
        <w:rPr>
          <w:rFonts w:ascii="Arial" w:hAnsi="Arial" w:cs="Arial"/>
          <w:sz w:val="28"/>
          <w:szCs w:val="28"/>
        </w:rPr>
        <w:t xml:space="preserve">propuesta </w:t>
      </w:r>
      <w:r w:rsidR="00677417">
        <w:rPr>
          <w:rFonts w:ascii="Arial" w:hAnsi="Arial" w:cs="Arial"/>
          <w:sz w:val="28"/>
          <w:szCs w:val="28"/>
        </w:rPr>
        <w:t xml:space="preserve">sensata </w:t>
      </w:r>
      <w:r w:rsidRPr="00A455D9">
        <w:rPr>
          <w:rFonts w:ascii="Arial" w:hAnsi="Arial" w:cs="Arial"/>
          <w:sz w:val="28"/>
          <w:szCs w:val="28"/>
        </w:rPr>
        <w:t>que</w:t>
      </w:r>
      <w:r w:rsidR="00677417">
        <w:rPr>
          <w:rFonts w:ascii="Arial" w:hAnsi="Arial" w:cs="Arial"/>
          <w:sz w:val="28"/>
          <w:szCs w:val="28"/>
        </w:rPr>
        <w:t>,</w:t>
      </w:r>
      <w:r w:rsidRPr="00A455D9">
        <w:rPr>
          <w:rFonts w:ascii="Arial" w:hAnsi="Arial" w:cs="Arial"/>
          <w:sz w:val="28"/>
          <w:szCs w:val="28"/>
        </w:rPr>
        <w:t xml:space="preserve"> </w:t>
      </w:r>
      <w:r w:rsidR="00152AAC" w:rsidRPr="00A455D9">
        <w:rPr>
          <w:rFonts w:ascii="Arial" w:hAnsi="Arial" w:cs="Arial"/>
          <w:sz w:val="28"/>
          <w:szCs w:val="28"/>
        </w:rPr>
        <w:t xml:space="preserve">al contrario de lo que algunas críticas han planteado, busca resguardar la certeza jurídica. Esta propuesta de </w:t>
      </w:r>
      <w:r w:rsidR="00D20319">
        <w:rPr>
          <w:rFonts w:ascii="Arial" w:hAnsi="Arial" w:cs="Arial"/>
          <w:sz w:val="28"/>
          <w:szCs w:val="28"/>
        </w:rPr>
        <w:t>no</w:t>
      </w:r>
      <w:r w:rsidR="00152AAC" w:rsidRPr="00A455D9">
        <w:rPr>
          <w:rFonts w:ascii="Arial" w:hAnsi="Arial" w:cs="Arial"/>
          <w:sz w:val="28"/>
          <w:szCs w:val="28"/>
        </w:rPr>
        <w:t xml:space="preserve"> busca </w:t>
      </w:r>
      <w:r w:rsidR="007A324E" w:rsidRPr="00A455D9">
        <w:rPr>
          <w:rFonts w:ascii="Arial" w:hAnsi="Arial" w:cs="Arial"/>
          <w:sz w:val="28"/>
          <w:szCs w:val="28"/>
        </w:rPr>
        <w:t xml:space="preserve">expropiar derechos. </w:t>
      </w:r>
      <w:r w:rsidR="00D20319">
        <w:rPr>
          <w:rFonts w:ascii="Arial" w:hAnsi="Arial" w:cs="Arial"/>
          <w:sz w:val="28"/>
          <w:szCs w:val="28"/>
        </w:rPr>
        <w:t>Hemos</w:t>
      </w:r>
      <w:r w:rsidR="00A455D9" w:rsidRPr="00A455D9">
        <w:rPr>
          <w:rFonts w:ascii="Arial" w:hAnsi="Arial" w:cs="Arial"/>
          <w:sz w:val="28"/>
          <w:szCs w:val="28"/>
        </w:rPr>
        <w:t xml:space="preserve"> estado en permanentes conversaciones con el Ministerio de Hacienda, dado que no hay nada más lejos de nuestra intención que perjudicar la actividad económica. </w:t>
      </w:r>
      <w:r w:rsidR="009C04F8">
        <w:rPr>
          <w:rFonts w:ascii="Arial" w:hAnsi="Arial" w:cs="Arial"/>
          <w:sz w:val="28"/>
          <w:szCs w:val="28"/>
        </w:rPr>
        <w:t xml:space="preserve">En </w:t>
      </w:r>
      <w:r w:rsidR="004161EE">
        <w:rPr>
          <w:rFonts w:ascii="Arial" w:hAnsi="Arial" w:cs="Arial"/>
          <w:sz w:val="28"/>
          <w:szCs w:val="28"/>
        </w:rPr>
        <w:t xml:space="preserve">lo personal, no creo que sea que </w:t>
      </w:r>
      <w:r w:rsidR="00D20319">
        <w:rPr>
          <w:rFonts w:ascii="Arial" w:hAnsi="Arial" w:cs="Arial"/>
          <w:sz w:val="28"/>
          <w:szCs w:val="28"/>
        </w:rPr>
        <w:t>prudente</w:t>
      </w:r>
      <w:r w:rsidR="004161EE">
        <w:rPr>
          <w:rFonts w:ascii="Arial" w:hAnsi="Arial" w:cs="Arial"/>
          <w:sz w:val="28"/>
          <w:szCs w:val="28"/>
        </w:rPr>
        <w:t xml:space="preserve"> consagrar a nivel </w:t>
      </w:r>
      <w:r w:rsidR="004161EE">
        <w:rPr>
          <w:rFonts w:ascii="Arial" w:hAnsi="Arial" w:cs="Arial"/>
          <w:sz w:val="28"/>
          <w:szCs w:val="28"/>
        </w:rPr>
        <w:lastRenderedPageBreak/>
        <w:t>constitucional una declaración de utilidad pública de las aguas</w:t>
      </w:r>
      <w:r w:rsidR="00677417">
        <w:rPr>
          <w:rFonts w:ascii="Arial" w:hAnsi="Arial" w:cs="Arial"/>
          <w:sz w:val="28"/>
          <w:szCs w:val="28"/>
        </w:rPr>
        <w:t xml:space="preserve">, ya que esto debilita el derecho de propiedad. </w:t>
      </w:r>
    </w:p>
    <w:p w:rsidR="00601AD7" w:rsidRDefault="00677417" w:rsidP="00677417">
      <w:pPr>
        <w:spacing w:line="480" w:lineRule="auto"/>
        <w:jc w:val="both"/>
        <w:rPr>
          <w:rFonts w:ascii="Arial" w:hAnsi="Arial" w:cs="Arial"/>
          <w:sz w:val="28"/>
          <w:szCs w:val="28"/>
          <w:lang w:val="es-MX"/>
        </w:rPr>
      </w:pPr>
      <w:r>
        <w:rPr>
          <w:rFonts w:ascii="Arial" w:hAnsi="Arial" w:cs="Arial"/>
          <w:sz w:val="28"/>
          <w:szCs w:val="28"/>
        </w:rPr>
        <w:t xml:space="preserve">No buscamos, entonces, </w:t>
      </w:r>
      <w:r w:rsidR="009C04F8">
        <w:rPr>
          <w:rFonts w:ascii="Arial" w:hAnsi="Arial" w:cs="Arial"/>
          <w:sz w:val="28"/>
          <w:szCs w:val="28"/>
        </w:rPr>
        <w:t>genera</w:t>
      </w:r>
      <w:r>
        <w:rPr>
          <w:rFonts w:ascii="Arial" w:hAnsi="Arial" w:cs="Arial"/>
          <w:sz w:val="28"/>
          <w:szCs w:val="28"/>
        </w:rPr>
        <w:t>r</w:t>
      </w:r>
      <w:r w:rsidR="009C04F8">
        <w:rPr>
          <w:rFonts w:ascii="Arial" w:hAnsi="Arial" w:cs="Arial"/>
          <w:sz w:val="28"/>
          <w:szCs w:val="28"/>
        </w:rPr>
        <w:t xml:space="preserve"> señales de</w:t>
      </w:r>
      <w:r w:rsidR="00601AD7" w:rsidRPr="00601AD7">
        <w:rPr>
          <w:rFonts w:ascii="Arial" w:hAnsi="Arial" w:cs="Arial"/>
          <w:sz w:val="28"/>
          <w:szCs w:val="28"/>
          <w:lang w:val="es-MX"/>
        </w:rPr>
        <w:t xml:space="preserve"> incertidumbre </w:t>
      </w:r>
      <w:r w:rsidR="009C04F8">
        <w:rPr>
          <w:rFonts w:ascii="Arial" w:hAnsi="Arial" w:cs="Arial"/>
          <w:sz w:val="28"/>
          <w:szCs w:val="28"/>
          <w:lang w:val="es-MX"/>
        </w:rPr>
        <w:t xml:space="preserve">jurídica </w:t>
      </w:r>
      <w:r w:rsidR="00601AD7" w:rsidRPr="00601AD7">
        <w:rPr>
          <w:rFonts w:ascii="Arial" w:hAnsi="Arial" w:cs="Arial"/>
          <w:sz w:val="28"/>
          <w:szCs w:val="28"/>
          <w:lang w:val="es-MX"/>
        </w:rPr>
        <w:t>entre quienes son dueños de dichos derechos, pudiendo afectar el valor de los mismos y generar desincentivos para su uso eficiente.</w:t>
      </w:r>
      <w:r>
        <w:rPr>
          <w:rFonts w:ascii="Arial" w:hAnsi="Arial" w:cs="Arial"/>
          <w:sz w:val="28"/>
          <w:szCs w:val="28"/>
          <w:lang w:val="es-MX"/>
        </w:rPr>
        <w:t xml:space="preserve"> </w:t>
      </w:r>
    </w:p>
    <w:p w:rsidR="002E14B1" w:rsidRPr="002E14B1" w:rsidRDefault="002E14B1" w:rsidP="00365522">
      <w:pPr>
        <w:spacing w:line="480" w:lineRule="auto"/>
        <w:jc w:val="both"/>
        <w:rPr>
          <w:rFonts w:ascii="Arial" w:hAnsi="Arial" w:cs="Arial"/>
          <w:sz w:val="28"/>
          <w:szCs w:val="28"/>
        </w:rPr>
      </w:pPr>
      <w:r>
        <w:rPr>
          <w:rFonts w:ascii="Arial" w:hAnsi="Arial" w:cs="Arial"/>
          <w:sz w:val="28"/>
          <w:szCs w:val="28"/>
          <w:lang w:val="es-MX"/>
        </w:rPr>
        <w:t>Reconocemos también que la redacción actual hace referencia a a</w:t>
      </w:r>
      <w:r w:rsidRPr="002E14B1">
        <w:rPr>
          <w:rFonts w:ascii="Arial" w:hAnsi="Arial" w:cs="Arial"/>
          <w:sz w:val="28"/>
          <w:szCs w:val="28"/>
          <w:lang w:val="es-MX"/>
        </w:rPr>
        <w:t>ctuales derechos y concesiones</w:t>
      </w:r>
      <w:r>
        <w:rPr>
          <w:rFonts w:ascii="Arial" w:hAnsi="Arial" w:cs="Arial"/>
          <w:sz w:val="28"/>
          <w:szCs w:val="28"/>
          <w:lang w:val="es-MX"/>
        </w:rPr>
        <w:t xml:space="preserve">, pero en la misma Comisión de Recursos Hídricos se explicitó que no era la intención modificar los derechos adquiridos. </w:t>
      </w:r>
    </w:p>
    <w:p w:rsidR="00E1133A" w:rsidRDefault="002E14B1" w:rsidP="002E14B1">
      <w:pPr>
        <w:spacing w:line="480" w:lineRule="auto"/>
        <w:jc w:val="both"/>
        <w:rPr>
          <w:rFonts w:ascii="Arial" w:hAnsi="Arial" w:cs="Arial"/>
          <w:sz w:val="28"/>
          <w:szCs w:val="28"/>
        </w:rPr>
      </w:pPr>
      <w:r>
        <w:rPr>
          <w:rFonts w:ascii="Arial" w:hAnsi="Arial" w:cs="Arial"/>
          <w:sz w:val="28"/>
          <w:szCs w:val="28"/>
        </w:rPr>
        <w:t xml:space="preserve">Reitero entonces que estamos en conversaciones con el Ministerio de Hacienda para poder mejorar esta reforma constitucional y enviar las señales </w:t>
      </w:r>
      <w:r w:rsidR="00496C0C">
        <w:rPr>
          <w:rFonts w:ascii="Arial" w:hAnsi="Arial" w:cs="Arial"/>
          <w:sz w:val="28"/>
          <w:szCs w:val="28"/>
        </w:rPr>
        <w:t xml:space="preserve">de </w:t>
      </w:r>
      <w:bookmarkStart w:id="0" w:name="_GoBack"/>
      <w:bookmarkEnd w:id="0"/>
      <w:r>
        <w:rPr>
          <w:rFonts w:ascii="Arial" w:hAnsi="Arial" w:cs="Arial"/>
          <w:sz w:val="28"/>
          <w:szCs w:val="28"/>
        </w:rPr>
        <w:t xml:space="preserve">certeza jurídica. </w:t>
      </w:r>
    </w:p>
    <w:p w:rsidR="00EB372C" w:rsidRPr="002E14B1" w:rsidRDefault="00F55633" w:rsidP="002E14B1">
      <w:pPr>
        <w:spacing w:line="480" w:lineRule="auto"/>
        <w:jc w:val="both"/>
        <w:rPr>
          <w:rFonts w:ascii="Arial" w:hAnsi="Arial" w:cs="Arial"/>
          <w:sz w:val="28"/>
          <w:szCs w:val="28"/>
        </w:rPr>
      </w:pPr>
      <w:r>
        <w:rPr>
          <w:rFonts w:ascii="Arial" w:hAnsi="Arial" w:cs="Arial"/>
          <w:sz w:val="28"/>
          <w:szCs w:val="28"/>
        </w:rPr>
        <w:t xml:space="preserve">Es nuestra convicción es fortalecer jurídicamente el derecho al agua y la priorización de usos, así como también poder ofrecer vías </w:t>
      </w:r>
      <w:r w:rsidR="002E14B1">
        <w:rPr>
          <w:rFonts w:ascii="Arial" w:hAnsi="Arial" w:cs="Arial"/>
          <w:sz w:val="28"/>
          <w:szCs w:val="28"/>
        </w:rPr>
        <w:t xml:space="preserve">para que la gente pueda recurrir a la justicia con mejores herramientas para resolver los conflictos por el agua que existen en el país. </w:t>
      </w:r>
      <w:r w:rsidR="00565BA4">
        <w:rPr>
          <w:rFonts w:ascii="Arial" w:hAnsi="Arial" w:cs="Arial"/>
          <w:sz w:val="28"/>
          <w:szCs w:val="28"/>
        </w:rPr>
        <w:t xml:space="preserve">Esta línea de trabajo ha sido respaldada por organismos internacionales como la OCDE y el Banco Mundial. </w:t>
      </w:r>
    </w:p>
    <w:sectPr w:rsidR="00EB372C" w:rsidRPr="002E14B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AF" w:rsidRDefault="008021AF" w:rsidP="00F55633">
      <w:pPr>
        <w:spacing w:after="0" w:line="240" w:lineRule="auto"/>
      </w:pPr>
      <w:r>
        <w:separator/>
      </w:r>
    </w:p>
  </w:endnote>
  <w:endnote w:type="continuationSeparator" w:id="0">
    <w:p w:rsidR="008021AF" w:rsidRDefault="008021AF" w:rsidP="00F5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745049"/>
      <w:docPartObj>
        <w:docPartGallery w:val="Page Numbers (Bottom of Page)"/>
        <w:docPartUnique/>
      </w:docPartObj>
    </w:sdtPr>
    <w:sdtEndPr/>
    <w:sdtContent>
      <w:p w:rsidR="00F55633" w:rsidRDefault="00F55633">
        <w:pPr>
          <w:pStyle w:val="Piedepgina"/>
          <w:jc w:val="right"/>
        </w:pPr>
        <w:r>
          <w:fldChar w:fldCharType="begin"/>
        </w:r>
        <w:r>
          <w:instrText>PAGE   \* MERGEFORMAT</w:instrText>
        </w:r>
        <w:r>
          <w:fldChar w:fldCharType="separate"/>
        </w:r>
        <w:r w:rsidR="00496C0C" w:rsidRPr="00496C0C">
          <w:rPr>
            <w:noProof/>
            <w:lang w:val="es-ES"/>
          </w:rPr>
          <w:t>4</w:t>
        </w:r>
        <w:r>
          <w:fldChar w:fldCharType="end"/>
        </w:r>
      </w:p>
    </w:sdtContent>
  </w:sdt>
  <w:p w:rsidR="00F55633" w:rsidRDefault="00F55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AF" w:rsidRDefault="008021AF" w:rsidP="00F55633">
      <w:pPr>
        <w:spacing w:after="0" w:line="240" w:lineRule="auto"/>
      </w:pPr>
      <w:r>
        <w:separator/>
      </w:r>
    </w:p>
  </w:footnote>
  <w:footnote w:type="continuationSeparator" w:id="0">
    <w:p w:rsidR="008021AF" w:rsidRDefault="008021AF" w:rsidP="00F55633">
      <w:pPr>
        <w:spacing w:after="0" w:line="240" w:lineRule="auto"/>
      </w:pPr>
      <w:r>
        <w:continuationSeparator/>
      </w:r>
    </w:p>
  </w:footnote>
  <w:footnote w:id="1">
    <w:p w:rsidR="00D6614B" w:rsidRPr="00D6614B" w:rsidRDefault="00D6614B">
      <w:pPr>
        <w:pStyle w:val="Textonotapie"/>
        <w:rPr>
          <w:lang w:val="es-MX"/>
        </w:rPr>
      </w:pPr>
      <w:r>
        <w:rPr>
          <w:rStyle w:val="Refdenotaalpie"/>
        </w:rPr>
        <w:footnoteRef/>
      </w:r>
      <w:r>
        <w:rPr>
          <w:rFonts w:ascii="Arial" w:hAnsi="Arial" w:cs="Arial"/>
          <w:sz w:val="28"/>
          <w:szCs w:val="28"/>
        </w:rPr>
        <w:t>Evaluación</w:t>
      </w:r>
      <w:r w:rsidRPr="0098119A">
        <w:rPr>
          <w:rFonts w:ascii="Arial" w:hAnsi="Arial" w:cs="Arial"/>
          <w:sz w:val="28"/>
          <w:szCs w:val="28"/>
        </w:rPr>
        <w:t xml:space="preserve"> de desempeño ambiental </w:t>
      </w:r>
      <w:r>
        <w:rPr>
          <w:rFonts w:ascii="Arial" w:hAnsi="Arial" w:cs="Arial"/>
          <w:sz w:val="28"/>
          <w:szCs w:val="28"/>
        </w:rPr>
        <w:t>d</w:t>
      </w:r>
      <w:r w:rsidRPr="0098119A">
        <w:rPr>
          <w:rFonts w:ascii="Arial" w:hAnsi="Arial" w:cs="Arial"/>
          <w:sz w:val="28"/>
          <w:szCs w:val="28"/>
        </w:rPr>
        <w:t xml:space="preserve">el </w:t>
      </w:r>
      <w:r>
        <w:rPr>
          <w:rFonts w:ascii="Arial" w:hAnsi="Arial" w:cs="Arial"/>
          <w:sz w:val="28"/>
          <w:szCs w:val="28"/>
        </w:rPr>
        <w:t>año 2016 de la OCDE</w:t>
      </w:r>
    </w:p>
  </w:footnote>
  <w:footnote w:id="2">
    <w:p w:rsidR="00565BA4" w:rsidRPr="00565BA4" w:rsidRDefault="00565BA4">
      <w:pPr>
        <w:pStyle w:val="Textonotapie"/>
        <w:rPr>
          <w:lang w:val="es-MX"/>
        </w:rPr>
      </w:pPr>
      <w:r>
        <w:rPr>
          <w:rStyle w:val="Refdenotaalpie"/>
        </w:rPr>
        <w:footnoteRef/>
      </w:r>
      <w:r>
        <w:t xml:space="preserve"> </w:t>
      </w:r>
      <w:r>
        <w:rPr>
          <w:lang w:val="es-MX"/>
        </w:rPr>
        <w:t>Informe del Banco Mundial (2001). “</w:t>
      </w:r>
      <w:r w:rsidRPr="00565BA4">
        <w:rPr>
          <w:lang w:val="es-MX"/>
        </w:rPr>
        <w:t>Diagnóstico de la gestión de los recursos hídricos</w:t>
      </w:r>
      <w:r>
        <w:rPr>
          <w:lang w:val="es-MX"/>
        </w:rPr>
        <w:t xml:space="preserve">”. </w:t>
      </w:r>
    </w:p>
  </w:footnote>
  <w:footnote w:id="3">
    <w:p w:rsidR="00565BA4" w:rsidRPr="00565BA4" w:rsidRDefault="00565BA4">
      <w:pPr>
        <w:pStyle w:val="Textonotapie"/>
        <w:rPr>
          <w:lang w:val="es-MX"/>
        </w:rPr>
      </w:pPr>
      <w:r>
        <w:rPr>
          <w:rStyle w:val="Refdenotaalpie"/>
        </w:rPr>
        <w:footnoteRef/>
      </w:r>
      <w:r>
        <w:t xml:space="preserve"> </w:t>
      </w:r>
      <w:r>
        <w:rPr>
          <w:lang w:val="es-MX"/>
        </w:rPr>
        <w:t xml:space="preserve">NOTA A. Sánchez: No pude encontrar el dato exacto en el informe de la cantidad de funciones y la cantidad de organismos que las administran.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580"/>
    <w:multiLevelType w:val="hybridMultilevel"/>
    <w:tmpl w:val="06F8B804"/>
    <w:lvl w:ilvl="0" w:tplc="FB547FFA">
      <w:start w:val="1"/>
      <w:numFmt w:val="bullet"/>
      <w:lvlText w:val=""/>
      <w:lvlJc w:val="left"/>
      <w:pPr>
        <w:tabs>
          <w:tab w:val="num" w:pos="720"/>
        </w:tabs>
        <w:ind w:left="720" w:hanging="360"/>
      </w:pPr>
      <w:rPr>
        <w:rFonts w:ascii="Symbol" w:hAnsi="Symbol" w:hint="default"/>
      </w:rPr>
    </w:lvl>
    <w:lvl w:ilvl="1" w:tplc="02C0E840" w:tentative="1">
      <w:start w:val="1"/>
      <w:numFmt w:val="bullet"/>
      <w:lvlText w:val=""/>
      <w:lvlJc w:val="left"/>
      <w:pPr>
        <w:tabs>
          <w:tab w:val="num" w:pos="1440"/>
        </w:tabs>
        <w:ind w:left="1440" w:hanging="360"/>
      </w:pPr>
      <w:rPr>
        <w:rFonts w:ascii="Symbol" w:hAnsi="Symbol" w:hint="default"/>
      </w:rPr>
    </w:lvl>
    <w:lvl w:ilvl="2" w:tplc="9432EA76" w:tentative="1">
      <w:start w:val="1"/>
      <w:numFmt w:val="bullet"/>
      <w:lvlText w:val=""/>
      <w:lvlJc w:val="left"/>
      <w:pPr>
        <w:tabs>
          <w:tab w:val="num" w:pos="2160"/>
        </w:tabs>
        <w:ind w:left="2160" w:hanging="360"/>
      </w:pPr>
      <w:rPr>
        <w:rFonts w:ascii="Symbol" w:hAnsi="Symbol" w:hint="default"/>
      </w:rPr>
    </w:lvl>
    <w:lvl w:ilvl="3" w:tplc="39C6B3EA" w:tentative="1">
      <w:start w:val="1"/>
      <w:numFmt w:val="bullet"/>
      <w:lvlText w:val=""/>
      <w:lvlJc w:val="left"/>
      <w:pPr>
        <w:tabs>
          <w:tab w:val="num" w:pos="2880"/>
        </w:tabs>
        <w:ind w:left="2880" w:hanging="360"/>
      </w:pPr>
      <w:rPr>
        <w:rFonts w:ascii="Symbol" w:hAnsi="Symbol" w:hint="default"/>
      </w:rPr>
    </w:lvl>
    <w:lvl w:ilvl="4" w:tplc="AF18CF3E" w:tentative="1">
      <w:start w:val="1"/>
      <w:numFmt w:val="bullet"/>
      <w:lvlText w:val=""/>
      <w:lvlJc w:val="left"/>
      <w:pPr>
        <w:tabs>
          <w:tab w:val="num" w:pos="3600"/>
        </w:tabs>
        <w:ind w:left="3600" w:hanging="360"/>
      </w:pPr>
      <w:rPr>
        <w:rFonts w:ascii="Symbol" w:hAnsi="Symbol" w:hint="default"/>
      </w:rPr>
    </w:lvl>
    <w:lvl w:ilvl="5" w:tplc="1516669A" w:tentative="1">
      <w:start w:val="1"/>
      <w:numFmt w:val="bullet"/>
      <w:lvlText w:val=""/>
      <w:lvlJc w:val="left"/>
      <w:pPr>
        <w:tabs>
          <w:tab w:val="num" w:pos="4320"/>
        </w:tabs>
        <w:ind w:left="4320" w:hanging="360"/>
      </w:pPr>
      <w:rPr>
        <w:rFonts w:ascii="Symbol" w:hAnsi="Symbol" w:hint="default"/>
      </w:rPr>
    </w:lvl>
    <w:lvl w:ilvl="6" w:tplc="8C087468" w:tentative="1">
      <w:start w:val="1"/>
      <w:numFmt w:val="bullet"/>
      <w:lvlText w:val=""/>
      <w:lvlJc w:val="left"/>
      <w:pPr>
        <w:tabs>
          <w:tab w:val="num" w:pos="5040"/>
        </w:tabs>
        <w:ind w:left="5040" w:hanging="360"/>
      </w:pPr>
      <w:rPr>
        <w:rFonts w:ascii="Symbol" w:hAnsi="Symbol" w:hint="default"/>
      </w:rPr>
    </w:lvl>
    <w:lvl w:ilvl="7" w:tplc="34D414B0" w:tentative="1">
      <w:start w:val="1"/>
      <w:numFmt w:val="bullet"/>
      <w:lvlText w:val=""/>
      <w:lvlJc w:val="left"/>
      <w:pPr>
        <w:tabs>
          <w:tab w:val="num" w:pos="5760"/>
        </w:tabs>
        <w:ind w:left="5760" w:hanging="360"/>
      </w:pPr>
      <w:rPr>
        <w:rFonts w:ascii="Symbol" w:hAnsi="Symbol" w:hint="default"/>
      </w:rPr>
    </w:lvl>
    <w:lvl w:ilvl="8" w:tplc="F6BAFF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70"/>
    <w:rsid w:val="0007476F"/>
    <w:rsid w:val="00112FA7"/>
    <w:rsid w:val="00152AAC"/>
    <w:rsid w:val="00174E7A"/>
    <w:rsid w:val="001B49BA"/>
    <w:rsid w:val="00225754"/>
    <w:rsid w:val="002E14B1"/>
    <w:rsid w:val="00356D70"/>
    <w:rsid w:val="0036256E"/>
    <w:rsid w:val="00365522"/>
    <w:rsid w:val="003A2A0F"/>
    <w:rsid w:val="003B3B6B"/>
    <w:rsid w:val="003B742A"/>
    <w:rsid w:val="004161EE"/>
    <w:rsid w:val="00467796"/>
    <w:rsid w:val="00474BC5"/>
    <w:rsid w:val="00496C0C"/>
    <w:rsid w:val="005131B1"/>
    <w:rsid w:val="00535366"/>
    <w:rsid w:val="00565BA4"/>
    <w:rsid w:val="0057377B"/>
    <w:rsid w:val="005773D6"/>
    <w:rsid w:val="005954F1"/>
    <w:rsid w:val="00601AD7"/>
    <w:rsid w:val="006100CF"/>
    <w:rsid w:val="00643D93"/>
    <w:rsid w:val="00647C72"/>
    <w:rsid w:val="00670FBE"/>
    <w:rsid w:val="00677417"/>
    <w:rsid w:val="00680B16"/>
    <w:rsid w:val="006A2F76"/>
    <w:rsid w:val="00701CD6"/>
    <w:rsid w:val="007A324E"/>
    <w:rsid w:val="007C281C"/>
    <w:rsid w:val="008021AF"/>
    <w:rsid w:val="00885DA9"/>
    <w:rsid w:val="008A0D1A"/>
    <w:rsid w:val="008B42F0"/>
    <w:rsid w:val="008C757D"/>
    <w:rsid w:val="00954B8D"/>
    <w:rsid w:val="00967F7C"/>
    <w:rsid w:val="0098119A"/>
    <w:rsid w:val="009823EC"/>
    <w:rsid w:val="00991158"/>
    <w:rsid w:val="009C04F8"/>
    <w:rsid w:val="009D28F0"/>
    <w:rsid w:val="009E736E"/>
    <w:rsid w:val="00A03021"/>
    <w:rsid w:val="00A41AB6"/>
    <w:rsid w:val="00A435BF"/>
    <w:rsid w:val="00A455D9"/>
    <w:rsid w:val="00A5073A"/>
    <w:rsid w:val="00AB63A5"/>
    <w:rsid w:val="00D20319"/>
    <w:rsid w:val="00D268E9"/>
    <w:rsid w:val="00D6614B"/>
    <w:rsid w:val="00D82122"/>
    <w:rsid w:val="00E1133A"/>
    <w:rsid w:val="00E777F6"/>
    <w:rsid w:val="00EB372C"/>
    <w:rsid w:val="00F0407D"/>
    <w:rsid w:val="00F55633"/>
    <w:rsid w:val="00F77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D8CCB-D4B4-4F6F-8E60-31EE3570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81C"/>
    <w:pPr>
      <w:spacing w:after="0" w:line="240" w:lineRule="auto"/>
      <w:ind w:left="720"/>
      <w:contextualSpacing/>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F55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33"/>
  </w:style>
  <w:style w:type="paragraph" w:styleId="Piedepgina">
    <w:name w:val="footer"/>
    <w:basedOn w:val="Normal"/>
    <w:link w:val="PiedepginaCar"/>
    <w:uiPriority w:val="99"/>
    <w:unhideWhenUsed/>
    <w:rsid w:val="00F55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33"/>
  </w:style>
  <w:style w:type="character" w:customStyle="1" w:styleId="apple-converted-space">
    <w:name w:val="apple-converted-space"/>
    <w:basedOn w:val="Fuentedeprrafopredeter"/>
    <w:rsid w:val="00643D93"/>
  </w:style>
  <w:style w:type="paragraph" w:styleId="Textonotapie">
    <w:name w:val="footnote text"/>
    <w:basedOn w:val="Normal"/>
    <w:link w:val="TextonotapieCar"/>
    <w:uiPriority w:val="99"/>
    <w:semiHidden/>
    <w:unhideWhenUsed/>
    <w:rsid w:val="00D661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614B"/>
    <w:rPr>
      <w:sz w:val="20"/>
      <w:szCs w:val="20"/>
    </w:rPr>
  </w:style>
  <w:style w:type="character" w:styleId="Refdenotaalpie">
    <w:name w:val="footnote reference"/>
    <w:basedOn w:val="Fuentedeprrafopredeter"/>
    <w:uiPriority w:val="99"/>
    <w:semiHidden/>
    <w:unhideWhenUsed/>
    <w:rsid w:val="00D6614B"/>
    <w:rPr>
      <w:vertAlign w:val="superscript"/>
    </w:rPr>
  </w:style>
  <w:style w:type="paragraph" w:styleId="NormalWeb">
    <w:name w:val="Normal (Web)"/>
    <w:basedOn w:val="Normal"/>
    <w:uiPriority w:val="99"/>
    <w:semiHidden/>
    <w:unhideWhenUsed/>
    <w:rsid w:val="0022575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695">
      <w:bodyDiv w:val="1"/>
      <w:marLeft w:val="0"/>
      <w:marRight w:val="0"/>
      <w:marTop w:val="0"/>
      <w:marBottom w:val="0"/>
      <w:divBdr>
        <w:top w:val="none" w:sz="0" w:space="0" w:color="auto"/>
        <w:left w:val="none" w:sz="0" w:space="0" w:color="auto"/>
        <w:bottom w:val="none" w:sz="0" w:space="0" w:color="auto"/>
        <w:right w:val="none" w:sz="0" w:space="0" w:color="auto"/>
      </w:divBdr>
    </w:div>
    <w:div w:id="1301761427">
      <w:bodyDiv w:val="1"/>
      <w:marLeft w:val="0"/>
      <w:marRight w:val="0"/>
      <w:marTop w:val="0"/>
      <w:marBottom w:val="0"/>
      <w:divBdr>
        <w:top w:val="none" w:sz="0" w:space="0" w:color="auto"/>
        <w:left w:val="none" w:sz="0" w:space="0" w:color="auto"/>
        <w:bottom w:val="none" w:sz="0" w:space="0" w:color="auto"/>
        <w:right w:val="none" w:sz="0" w:space="0" w:color="auto"/>
      </w:divBdr>
      <w:divsChild>
        <w:div w:id="786892779">
          <w:marLeft w:val="979"/>
          <w:marRight w:val="0"/>
          <w:marTop w:val="65"/>
          <w:marBottom w:val="0"/>
          <w:divBdr>
            <w:top w:val="none" w:sz="0" w:space="0" w:color="auto"/>
            <w:left w:val="none" w:sz="0" w:space="0" w:color="auto"/>
            <w:bottom w:val="none" w:sz="0" w:space="0" w:color="auto"/>
            <w:right w:val="none" w:sz="0" w:space="0" w:color="auto"/>
          </w:divBdr>
        </w:div>
      </w:divsChild>
    </w:div>
    <w:div w:id="1362391698">
      <w:bodyDiv w:val="1"/>
      <w:marLeft w:val="0"/>
      <w:marRight w:val="0"/>
      <w:marTop w:val="0"/>
      <w:marBottom w:val="0"/>
      <w:divBdr>
        <w:top w:val="none" w:sz="0" w:space="0" w:color="auto"/>
        <w:left w:val="none" w:sz="0" w:space="0" w:color="auto"/>
        <w:bottom w:val="none" w:sz="0" w:space="0" w:color="auto"/>
        <w:right w:val="none" w:sz="0" w:space="0" w:color="auto"/>
      </w:divBdr>
      <w:divsChild>
        <w:div w:id="739133097">
          <w:marLeft w:val="432"/>
          <w:marRight w:val="0"/>
          <w:marTop w:val="91"/>
          <w:marBottom w:val="0"/>
          <w:divBdr>
            <w:top w:val="none" w:sz="0" w:space="0" w:color="auto"/>
            <w:left w:val="none" w:sz="0" w:space="0" w:color="auto"/>
            <w:bottom w:val="none" w:sz="0" w:space="0" w:color="auto"/>
            <w:right w:val="none" w:sz="0" w:space="0" w:color="auto"/>
          </w:divBdr>
        </w:div>
      </w:divsChild>
    </w:div>
    <w:div w:id="1514611935">
      <w:bodyDiv w:val="1"/>
      <w:marLeft w:val="0"/>
      <w:marRight w:val="0"/>
      <w:marTop w:val="0"/>
      <w:marBottom w:val="0"/>
      <w:divBdr>
        <w:top w:val="none" w:sz="0" w:space="0" w:color="auto"/>
        <w:left w:val="none" w:sz="0" w:space="0" w:color="auto"/>
        <w:bottom w:val="none" w:sz="0" w:space="0" w:color="auto"/>
        <w:right w:val="none" w:sz="0" w:space="0" w:color="auto"/>
      </w:divBdr>
      <w:divsChild>
        <w:div w:id="1081099928">
          <w:marLeft w:val="432"/>
          <w:marRight w:val="0"/>
          <w:marTop w:val="91"/>
          <w:marBottom w:val="0"/>
          <w:divBdr>
            <w:top w:val="none" w:sz="0" w:space="0" w:color="auto"/>
            <w:left w:val="none" w:sz="0" w:space="0" w:color="auto"/>
            <w:bottom w:val="none" w:sz="0" w:space="0" w:color="auto"/>
            <w:right w:val="none" w:sz="0" w:space="0" w:color="auto"/>
          </w:divBdr>
        </w:div>
      </w:divsChild>
    </w:div>
    <w:div w:id="19020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E063-BC18-4EC7-934A-DFC10E18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2016-08-03T15:51:00Z</dcterms:created>
  <dcterms:modified xsi:type="dcterms:W3CDTF">2016-08-03T21:07:00Z</dcterms:modified>
</cp:coreProperties>
</file>