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A" w:rsidRPr="00C35224" w:rsidRDefault="00E87C0B" w:rsidP="00C35224">
      <w:pPr>
        <w:spacing w:line="360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 w:rsidRPr="00C35224">
        <w:rPr>
          <w:rFonts w:ascii="Garamond" w:hAnsi="Garamond"/>
          <w:b/>
          <w:sz w:val="26"/>
          <w:szCs w:val="26"/>
          <w:u w:val="single"/>
        </w:rPr>
        <w:t xml:space="preserve">Minuta </w:t>
      </w:r>
      <w:r w:rsidRPr="00C35224">
        <w:rPr>
          <w:rFonts w:ascii="Garamond" w:hAnsi="Garamond"/>
          <w:b/>
          <w:sz w:val="26"/>
          <w:szCs w:val="26"/>
          <w:u w:val="single"/>
        </w:rPr>
        <w:t>C</w:t>
      </w:r>
      <w:r w:rsidRPr="00C35224">
        <w:rPr>
          <w:rFonts w:ascii="Garamond" w:hAnsi="Garamond"/>
          <w:b/>
          <w:sz w:val="26"/>
          <w:szCs w:val="26"/>
          <w:u w:val="single"/>
        </w:rPr>
        <w:t>ontienda de competencia entre la contraloría general de la república y la Excma. Corte Suprema.</w:t>
      </w:r>
    </w:p>
    <w:p w:rsidR="00E87C0B" w:rsidRPr="00C35224" w:rsidRDefault="00E87C0B" w:rsidP="00C35224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87C0B" w:rsidRPr="00C35224" w:rsidRDefault="00E87C0B" w:rsidP="00C352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C35224">
        <w:rPr>
          <w:rFonts w:ascii="Garamond" w:hAnsi="Garamond"/>
          <w:b/>
          <w:sz w:val="26"/>
          <w:szCs w:val="26"/>
        </w:rPr>
        <w:t>Antecedentes</w:t>
      </w:r>
      <w:r w:rsidRPr="00C35224">
        <w:rPr>
          <w:rFonts w:ascii="Garamond" w:hAnsi="Garamond"/>
          <w:sz w:val="26"/>
          <w:szCs w:val="26"/>
        </w:rPr>
        <w:t>.</w:t>
      </w:r>
    </w:p>
    <w:p w:rsidR="00E87C0B" w:rsidRPr="00C35224" w:rsidRDefault="00E87C0B" w:rsidP="00C35224">
      <w:pPr>
        <w:spacing w:line="360" w:lineRule="auto"/>
        <w:ind w:firstLine="360"/>
        <w:jc w:val="both"/>
        <w:rPr>
          <w:rFonts w:ascii="Garamond" w:hAnsi="Garamond"/>
          <w:sz w:val="26"/>
          <w:szCs w:val="26"/>
        </w:rPr>
      </w:pPr>
      <w:r w:rsidRPr="00C35224">
        <w:rPr>
          <w:rFonts w:ascii="Garamond" w:hAnsi="Garamond"/>
          <w:sz w:val="26"/>
          <w:szCs w:val="26"/>
        </w:rPr>
        <w:t>El Contralor G</w:t>
      </w:r>
      <w:r w:rsidRPr="00C35224">
        <w:rPr>
          <w:rFonts w:ascii="Garamond" w:hAnsi="Garamond"/>
          <w:sz w:val="26"/>
          <w:szCs w:val="26"/>
        </w:rPr>
        <w:t>eneral interpuso una contienda de competencia con</w:t>
      </w:r>
      <w:r w:rsidR="00C35224">
        <w:rPr>
          <w:rFonts w:ascii="Garamond" w:hAnsi="Garamond"/>
          <w:sz w:val="26"/>
          <w:szCs w:val="26"/>
        </w:rPr>
        <w:t>tra</w:t>
      </w:r>
      <w:r w:rsidRPr="00C35224">
        <w:rPr>
          <w:rFonts w:ascii="Garamond" w:hAnsi="Garamond"/>
          <w:sz w:val="26"/>
          <w:szCs w:val="26"/>
        </w:rPr>
        <w:t xml:space="preserve"> la Corte Suprema, la cual deberá resolver el Senado, para definir si es la Contraloría o los Tribunales de Justicia los que decidan el sistema previsional de los funcionarios de la Dirección General de Aeronáutica civil (DGAC).</w:t>
      </w:r>
    </w:p>
    <w:p w:rsidR="00E87C0B" w:rsidRPr="00C35224" w:rsidRDefault="00E87C0B" w:rsidP="00C35224">
      <w:pPr>
        <w:spacing w:line="360" w:lineRule="auto"/>
        <w:ind w:firstLine="360"/>
        <w:jc w:val="both"/>
        <w:rPr>
          <w:rFonts w:ascii="Garamond" w:hAnsi="Garamond"/>
          <w:sz w:val="26"/>
          <w:szCs w:val="26"/>
        </w:rPr>
      </w:pPr>
      <w:r w:rsidRPr="00C35224">
        <w:rPr>
          <w:rFonts w:ascii="Garamond" w:hAnsi="Garamond"/>
          <w:sz w:val="26"/>
          <w:szCs w:val="26"/>
        </w:rPr>
        <w:t>La contienda proviene de l</w:t>
      </w:r>
      <w:r w:rsidRPr="00C35224">
        <w:rPr>
          <w:rFonts w:ascii="Garamond" w:hAnsi="Garamond"/>
          <w:sz w:val="26"/>
          <w:szCs w:val="26"/>
        </w:rPr>
        <w:t xml:space="preserve">a Excma. Corte Suprema </w:t>
      </w:r>
      <w:r w:rsidR="00C35224">
        <w:rPr>
          <w:rFonts w:ascii="Garamond" w:hAnsi="Garamond"/>
          <w:sz w:val="26"/>
          <w:szCs w:val="26"/>
        </w:rPr>
        <w:t xml:space="preserve">que </w:t>
      </w:r>
      <w:r w:rsidRPr="00C35224">
        <w:rPr>
          <w:rFonts w:ascii="Garamond" w:hAnsi="Garamond"/>
          <w:sz w:val="26"/>
          <w:szCs w:val="26"/>
        </w:rPr>
        <w:t xml:space="preserve">se encuentra conociendo </w:t>
      </w:r>
      <w:r w:rsidRPr="00C35224">
        <w:rPr>
          <w:rFonts w:ascii="Garamond" w:hAnsi="Garamond"/>
          <w:sz w:val="26"/>
          <w:szCs w:val="26"/>
        </w:rPr>
        <w:t>un recurso de casación en el fondo (rol N°76325-2016) deducido contra la sentencia de la Corte de Apelaciones de Santiago (rol N°4049-2016), que revocó el fallo de primera instancia dictado por el 29° Juzgado Civil de Santiago (rol N°4017-2012) y que rechazó la acción declarativa de mera certeza impetrada en contra del Fisco de Chile por 1.331 funcionarios de la Dirección General de Aeronáutica Civil (en adelante “</w:t>
      </w:r>
      <w:r w:rsidRPr="00C35224">
        <w:rPr>
          <w:rFonts w:ascii="Garamond" w:hAnsi="Garamond"/>
          <w:sz w:val="26"/>
          <w:szCs w:val="26"/>
        </w:rPr>
        <w:t>DGAC”), quienes pretendían</w:t>
      </w:r>
      <w:r w:rsidRPr="00C35224">
        <w:rPr>
          <w:rFonts w:ascii="Garamond" w:hAnsi="Garamond"/>
          <w:sz w:val="26"/>
          <w:szCs w:val="26"/>
        </w:rPr>
        <w:t xml:space="preserve"> que el tribunal </w:t>
      </w:r>
      <w:r w:rsidRPr="00C35224">
        <w:rPr>
          <w:rFonts w:ascii="Garamond" w:hAnsi="Garamond"/>
          <w:sz w:val="26"/>
          <w:szCs w:val="26"/>
        </w:rPr>
        <w:t>resolviera</w:t>
      </w:r>
      <w:r w:rsidRPr="00C35224">
        <w:rPr>
          <w:rFonts w:ascii="Garamond" w:hAnsi="Garamond"/>
          <w:sz w:val="26"/>
          <w:szCs w:val="26"/>
        </w:rPr>
        <w:t xml:space="preserve"> el régimen previsional que les corresponde asegurando que este debe ser la Caja de Previsión de la Defensa Nacional (</w:t>
      </w:r>
      <w:proofErr w:type="spellStart"/>
      <w:r w:rsidRPr="00C35224">
        <w:rPr>
          <w:rFonts w:ascii="Garamond" w:hAnsi="Garamond"/>
          <w:sz w:val="26"/>
          <w:szCs w:val="26"/>
        </w:rPr>
        <w:t>Capredena</w:t>
      </w:r>
      <w:proofErr w:type="spellEnd"/>
      <w:r w:rsidRPr="00C35224">
        <w:rPr>
          <w:rFonts w:ascii="Garamond" w:hAnsi="Garamond"/>
          <w:sz w:val="26"/>
          <w:szCs w:val="26"/>
        </w:rPr>
        <w:t>) y no las AFP, como sostiene la jurisprudencia de la Contraloría General de la República.</w:t>
      </w:r>
    </w:p>
    <w:p w:rsidR="00C35224" w:rsidRPr="00C35224" w:rsidRDefault="00C35224" w:rsidP="00C35224">
      <w:pPr>
        <w:spacing w:line="360" w:lineRule="auto"/>
        <w:ind w:firstLine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Cabe tener presente</w:t>
      </w:r>
      <w:r w:rsidRPr="00C35224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que, en el mismo sentido, se ha impetrado una contienda de competencia </w:t>
      </w:r>
      <w:r w:rsidRPr="00C35224">
        <w:rPr>
          <w:rFonts w:ascii="Garamond" w:hAnsi="Garamond"/>
          <w:sz w:val="26"/>
          <w:szCs w:val="26"/>
        </w:rPr>
        <w:t xml:space="preserve"> por el mismo</w:t>
      </w:r>
      <w:r>
        <w:rPr>
          <w:rFonts w:ascii="Garamond" w:hAnsi="Garamond"/>
          <w:sz w:val="26"/>
          <w:szCs w:val="26"/>
        </w:rPr>
        <w:t xml:space="preserve"> tema</w:t>
      </w:r>
      <w:r w:rsidRPr="00C35224">
        <w:rPr>
          <w:rFonts w:ascii="Garamond" w:hAnsi="Garamond"/>
          <w:sz w:val="26"/>
          <w:szCs w:val="26"/>
        </w:rPr>
        <w:t xml:space="preserve"> entre el 29° juzgado civil de Santiago y la Contraloría, </w:t>
      </w:r>
      <w:r>
        <w:rPr>
          <w:rFonts w:ascii="Garamond" w:hAnsi="Garamond"/>
          <w:sz w:val="26"/>
          <w:szCs w:val="26"/>
        </w:rPr>
        <w:t>el cual es</w:t>
      </w:r>
      <w:r w:rsidRPr="00C35224">
        <w:rPr>
          <w:rFonts w:ascii="Garamond" w:hAnsi="Garamond"/>
          <w:sz w:val="26"/>
          <w:szCs w:val="26"/>
        </w:rPr>
        <w:t xml:space="preserve"> resuelta por el Tribunal Constitucional</w:t>
      </w:r>
      <w:r>
        <w:rPr>
          <w:rFonts w:ascii="Garamond" w:hAnsi="Garamond"/>
          <w:sz w:val="26"/>
          <w:szCs w:val="26"/>
        </w:rPr>
        <w:t xml:space="preserve"> (ya que ellos tienen Competencia en caso de tribunales de primera instancia), donde el TC resuelve</w:t>
      </w:r>
      <w:r w:rsidRPr="00C35224">
        <w:rPr>
          <w:rFonts w:ascii="Garamond" w:hAnsi="Garamond"/>
          <w:sz w:val="26"/>
          <w:szCs w:val="26"/>
        </w:rPr>
        <w:t xml:space="preserve"> a favor de la Contraloría, sentencia que aún no se encuentra accesible.</w:t>
      </w:r>
    </w:p>
    <w:p w:rsidR="00E87C0B" w:rsidRPr="00C35224" w:rsidRDefault="00E87C0B" w:rsidP="00C35224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87C0B" w:rsidRPr="00C35224" w:rsidRDefault="00E87C0B" w:rsidP="00C352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C35224">
        <w:rPr>
          <w:rFonts w:ascii="Garamond" w:hAnsi="Garamond"/>
          <w:b/>
          <w:sz w:val="26"/>
          <w:szCs w:val="26"/>
        </w:rPr>
        <w:t xml:space="preserve">Posición </w:t>
      </w:r>
      <w:r w:rsidR="00C35224" w:rsidRPr="00C35224">
        <w:rPr>
          <w:rFonts w:ascii="Garamond" w:hAnsi="Garamond"/>
          <w:b/>
          <w:sz w:val="26"/>
          <w:szCs w:val="26"/>
        </w:rPr>
        <w:t>Contraloría</w:t>
      </w:r>
    </w:p>
    <w:p w:rsidR="00E87C0B" w:rsidRPr="00C35224" w:rsidRDefault="00E87C0B" w:rsidP="00C35224">
      <w:pPr>
        <w:spacing w:line="360" w:lineRule="auto"/>
        <w:ind w:firstLine="360"/>
        <w:jc w:val="both"/>
        <w:rPr>
          <w:rFonts w:ascii="Garamond" w:hAnsi="Garamond"/>
          <w:sz w:val="26"/>
          <w:szCs w:val="26"/>
        </w:rPr>
      </w:pPr>
      <w:r w:rsidRPr="00C35224">
        <w:rPr>
          <w:rFonts w:ascii="Garamond" w:hAnsi="Garamond"/>
          <w:sz w:val="26"/>
          <w:szCs w:val="26"/>
        </w:rPr>
        <w:t>Según el contralor</w:t>
      </w:r>
      <w:r w:rsidRPr="00C35224">
        <w:rPr>
          <w:rFonts w:ascii="Garamond" w:hAnsi="Garamond"/>
          <w:sz w:val="26"/>
          <w:szCs w:val="26"/>
        </w:rPr>
        <w:t xml:space="preserve"> éste </w:t>
      </w:r>
      <w:r w:rsidRPr="00C35224">
        <w:rPr>
          <w:rFonts w:ascii="Garamond" w:hAnsi="Garamond"/>
          <w:sz w:val="26"/>
          <w:szCs w:val="26"/>
        </w:rPr>
        <w:t>tiene como atribución</w:t>
      </w:r>
      <w:r w:rsidRPr="00C35224">
        <w:rPr>
          <w:rFonts w:ascii="Garamond" w:hAnsi="Garamond"/>
          <w:sz w:val="26"/>
          <w:szCs w:val="26"/>
        </w:rPr>
        <w:t xml:space="preserve"> exclusiva y excluyente</w:t>
      </w:r>
      <w:r w:rsidRPr="00C35224">
        <w:rPr>
          <w:rFonts w:ascii="Garamond" w:hAnsi="Garamond"/>
          <w:sz w:val="26"/>
          <w:szCs w:val="26"/>
        </w:rPr>
        <w:t xml:space="preserve"> el</w:t>
      </w:r>
      <w:r w:rsidRPr="00C35224">
        <w:rPr>
          <w:rFonts w:ascii="Garamond" w:hAnsi="Garamond"/>
          <w:sz w:val="26"/>
          <w:szCs w:val="26"/>
        </w:rPr>
        <w:t xml:space="preserve"> informar acerca del sentido y alcance de las leyes y reglamentos que rigen a los órganos de la Administración del Estado y a sus funcionarios</w:t>
      </w:r>
      <w:r w:rsidRPr="00C35224">
        <w:rPr>
          <w:rFonts w:ascii="Garamond" w:hAnsi="Garamond"/>
          <w:sz w:val="26"/>
          <w:szCs w:val="26"/>
        </w:rPr>
        <w:t>.</w:t>
      </w:r>
    </w:p>
    <w:p w:rsidR="00C35224" w:rsidRDefault="00C35224" w:rsidP="00C3522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La</w:t>
      </w:r>
      <w:r w:rsidR="00E87C0B" w:rsidRPr="00C35224">
        <w:rPr>
          <w:rFonts w:ascii="Garamond" w:hAnsi="Garamond"/>
          <w:sz w:val="26"/>
          <w:szCs w:val="26"/>
        </w:rPr>
        <w:t xml:space="preserve"> CGR se encuentra dotada de la potestad de emitir dictámenes, facultad que importa informar el sentido y alcance de las normas aplicables a los servidores de la Administración del Estado</w:t>
      </w:r>
      <w:r w:rsidRPr="00C35224">
        <w:rPr>
          <w:rFonts w:ascii="Garamond" w:hAnsi="Garamond"/>
          <w:sz w:val="26"/>
          <w:szCs w:val="26"/>
        </w:rPr>
        <w:t xml:space="preserve">, según el </w:t>
      </w:r>
      <w:r w:rsidR="006816CA" w:rsidRPr="00C35224">
        <w:rPr>
          <w:rFonts w:ascii="Garamond" w:hAnsi="Garamond"/>
          <w:sz w:val="26"/>
          <w:szCs w:val="26"/>
        </w:rPr>
        <w:t>artículo</w:t>
      </w:r>
      <w:r w:rsidRPr="00C35224">
        <w:rPr>
          <w:rFonts w:ascii="Garamond" w:hAnsi="Garamond"/>
          <w:sz w:val="26"/>
          <w:szCs w:val="26"/>
        </w:rPr>
        <w:t xml:space="preserve"> 5° y 6° de la Ley N° 10.336. </w:t>
      </w:r>
      <w:r w:rsidRPr="00C35224">
        <w:rPr>
          <w:rFonts w:ascii="Garamond" w:hAnsi="Garamond"/>
          <w:sz w:val="26"/>
          <w:szCs w:val="26"/>
        </w:rPr>
        <w:t>Además, de acuerdo a su ley orgánica, dicha facultad le ha sido entregada para que sea ejercida de una manera exclusiva, enmarcándose dentro de su función de control de juridicidad</w:t>
      </w:r>
      <w:r w:rsidR="006816CA">
        <w:rPr>
          <w:rFonts w:ascii="Garamond" w:hAnsi="Garamond"/>
          <w:sz w:val="26"/>
          <w:szCs w:val="26"/>
        </w:rPr>
        <w:t>.</w:t>
      </w:r>
    </w:p>
    <w:p w:rsidR="006816CA" w:rsidRDefault="006816CA" w:rsidP="00C3522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6816CA" w:rsidRPr="00C35224" w:rsidRDefault="006816CA" w:rsidP="00C3522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Parece correcto que sea la Contraloría quien conozca acerca del régimen previsional, de acuerdo a lo establecido en la Ley, en lo resuelto por el TC y por motivos políticos, de lo que significa que pase una gran cantidad de funcionarios a este régimen.</w:t>
      </w:r>
      <w:bookmarkStart w:id="0" w:name="_GoBack"/>
      <w:bookmarkEnd w:id="0"/>
    </w:p>
    <w:p w:rsidR="00C35224" w:rsidRPr="00C35224" w:rsidRDefault="00C35224" w:rsidP="00C35224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87C0B" w:rsidRPr="00C35224" w:rsidRDefault="00E87C0B" w:rsidP="00C35224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C35224">
        <w:rPr>
          <w:rFonts w:ascii="Garamond" w:hAnsi="Garamond"/>
          <w:sz w:val="26"/>
          <w:szCs w:val="26"/>
        </w:rPr>
        <w:t xml:space="preserve"> </w:t>
      </w:r>
    </w:p>
    <w:p w:rsidR="00E87C0B" w:rsidRPr="00C35224" w:rsidRDefault="00E87C0B" w:rsidP="00C35224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87C0B" w:rsidRPr="00C35224" w:rsidRDefault="00E87C0B" w:rsidP="00C35224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E87C0B" w:rsidRPr="00C35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0EA"/>
    <w:multiLevelType w:val="hybridMultilevel"/>
    <w:tmpl w:val="754C6A72"/>
    <w:lvl w:ilvl="0" w:tplc="A8C40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0B"/>
    <w:rsid w:val="00146E5A"/>
    <w:rsid w:val="006816CA"/>
    <w:rsid w:val="00C35224"/>
    <w:rsid w:val="00E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B0BC"/>
  <w15:chartTrackingRefBased/>
  <w15:docId w15:val="{9C5A1344-8CCA-47DF-B06E-1EC06F82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</cp:revision>
  <dcterms:created xsi:type="dcterms:W3CDTF">2017-01-10T14:41:00Z</dcterms:created>
  <dcterms:modified xsi:type="dcterms:W3CDTF">2017-01-10T15:05:00Z</dcterms:modified>
</cp:coreProperties>
</file>