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B27CD2" w:rsidRDefault="007B087B" w:rsidP="00B27CD2">
      <w:pPr>
        <w:pBdr>
          <w:bottom w:val="single" w:sz="6" w:space="1" w:color="auto"/>
        </w:pBdr>
        <w:spacing w:line="276" w:lineRule="auto"/>
        <w:rPr>
          <w:rFonts w:ascii="Garamond" w:hAnsi="Garamond" w:cs="Arial"/>
          <w:b/>
          <w:color w:val="000000" w:themeColor="text1"/>
          <w:sz w:val="26"/>
          <w:szCs w:val="26"/>
          <w:shd w:val="clear" w:color="auto" w:fill="FFFFFF"/>
        </w:rPr>
      </w:pPr>
      <w:bookmarkStart w:id="0" w:name="_GoBack"/>
      <w:bookmarkEnd w:id="0"/>
      <w:r w:rsidRPr="00B27CD2">
        <w:rPr>
          <w:rFonts w:ascii="Garamond" w:hAnsi="Garamond"/>
          <w:b/>
          <w:color w:val="000000" w:themeColor="text1"/>
          <w:sz w:val="26"/>
          <w:szCs w:val="26"/>
        </w:rPr>
        <w:t xml:space="preserve">Minuta Proyecto de Ley que </w:t>
      </w:r>
      <w:r w:rsidRPr="00B27CD2">
        <w:rPr>
          <w:rFonts w:ascii="Garamond" w:hAnsi="Garamond" w:cs="Arial"/>
          <w:b/>
          <w:color w:val="000000" w:themeColor="text1"/>
          <w:sz w:val="26"/>
          <w:szCs w:val="26"/>
          <w:shd w:val="clear" w:color="auto" w:fill="FFFFFF"/>
        </w:rPr>
        <w:t>Modifica las leyes Nos. 19.968 y 20.066 para incorporar una medida cautelar especial en favor de las víctimas de violencia intrafamiliar y facultar al tribunal, en casos calificados, a controlar su cumplimiento por medio del monitoreo telemático</w:t>
      </w:r>
      <w:r w:rsidRPr="00B27CD2">
        <w:rPr>
          <w:rFonts w:ascii="Garamond" w:hAnsi="Garamond" w:cs="Arial"/>
          <w:b/>
          <w:color w:val="000000" w:themeColor="text1"/>
          <w:sz w:val="26"/>
          <w:szCs w:val="26"/>
          <w:shd w:val="clear" w:color="auto" w:fill="FFFFFF"/>
        </w:rPr>
        <w:t>. (Boletín 9715-07).</w:t>
      </w:r>
    </w:p>
    <w:p w:rsidR="007B087B" w:rsidRPr="00B27CD2" w:rsidRDefault="007B087B" w:rsidP="00B27CD2">
      <w:pPr>
        <w:spacing w:line="276" w:lineRule="auto"/>
        <w:rPr>
          <w:rFonts w:ascii="Garamond" w:hAnsi="Garamond" w:cs="Arial"/>
          <w:b/>
          <w:color w:val="000000" w:themeColor="text1"/>
          <w:sz w:val="26"/>
          <w:szCs w:val="26"/>
          <w:shd w:val="clear" w:color="auto" w:fill="FFFFFF"/>
        </w:rPr>
      </w:pPr>
    </w:p>
    <w:p w:rsidR="007B087B" w:rsidRPr="00B27CD2" w:rsidRDefault="007B087B" w:rsidP="00B27CD2">
      <w:pPr>
        <w:pStyle w:val="Prrafodelista"/>
        <w:numPr>
          <w:ilvl w:val="0"/>
          <w:numId w:val="1"/>
        </w:numPr>
        <w:spacing w:line="276" w:lineRule="auto"/>
        <w:rPr>
          <w:rFonts w:ascii="Garamond" w:hAnsi="Garamond"/>
          <w:b/>
          <w:color w:val="000000" w:themeColor="text1"/>
          <w:sz w:val="26"/>
          <w:szCs w:val="26"/>
        </w:rPr>
      </w:pPr>
      <w:r w:rsidRPr="00B27CD2">
        <w:rPr>
          <w:rFonts w:ascii="Garamond" w:hAnsi="Garamond"/>
          <w:b/>
          <w:color w:val="000000" w:themeColor="text1"/>
          <w:sz w:val="26"/>
          <w:szCs w:val="26"/>
          <w:u w:val="single"/>
        </w:rPr>
        <w:t>Antecedentes</w:t>
      </w:r>
      <w:r w:rsidRPr="00B27CD2">
        <w:rPr>
          <w:rFonts w:ascii="Garamond" w:hAnsi="Garamond"/>
          <w:b/>
          <w:color w:val="000000" w:themeColor="text1"/>
          <w:sz w:val="26"/>
          <w:szCs w:val="26"/>
        </w:rPr>
        <w:t>.</w:t>
      </w:r>
    </w:p>
    <w:p w:rsidR="007B087B" w:rsidRPr="00B27CD2" w:rsidRDefault="007B087B" w:rsidP="00B27CD2">
      <w:pPr>
        <w:spacing w:line="276" w:lineRule="auto"/>
        <w:ind w:firstLine="360"/>
        <w:rPr>
          <w:rFonts w:ascii="Garamond" w:hAnsi="Garamond"/>
          <w:b/>
          <w:color w:val="000000" w:themeColor="text1"/>
          <w:sz w:val="26"/>
          <w:szCs w:val="26"/>
        </w:rPr>
      </w:pPr>
      <w:r w:rsidRPr="00B27CD2">
        <w:rPr>
          <w:rFonts w:ascii="Garamond" w:hAnsi="Garamond"/>
          <w:color w:val="000000" w:themeColor="text1"/>
          <w:sz w:val="26"/>
          <w:szCs w:val="26"/>
        </w:rPr>
        <w:t xml:space="preserve">Moción presentada por la Senadora Adriana Muñoz el 12 de noviembre de 2014.  Fue aprobado en general el 19 de julio de 2016 de forma unánime. Fue aprobado en particular por la Comisión de Constitución el 23 de marzo de 2017, encontrándose para su discusión en particular. </w:t>
      </w:r>
    </w:p>
    <w:p w:rsidR="007B087B" w:rsidRPr="00B27CD2" w:rsidRDefault="007B087B" w:rsidP="00B27CD2">
      <w:pPr>
        <w:spacing w:line="276" w:lineRule="auto"/>
        <w:ind w:left="360"/>
        <w:rPr>
          <w:rFonts w:ascii="Garamond" w:hAnsi="Garamond"/>
          <w:color w:val="000000" w:themeColor="text1"/>
          <w:sz w:val="26"/>
          <w:szCs w:val="26"/>
        </w:rPr>
      </w:pPr>
    </w:p>
    <w:p w:rsidR="007B087B" w:rsidRPr="00B27CD2" w:rsidRDefault="007B087B" w:rsidP="00B27CD2">
      <w:pPr>
        <w:pStyle w:val="Prrafodelista"/>
        <w:numPr>
          <w:ilvl w:val="0"/>
          <w:numId w:val="1"/>
        </w:numPr>
        <w:spacing w:line="276" w:lineRule="auto"/>
        <w:rPr>
          <w:rFonts w:ascii="Garamond" w:hAnsi="Garamond"/>
          <w:color w:val="000000" w:themeColor="text1"/>
          <w:sz w:val="26"/>
          <w:szCs w:val="26"/>
        </w:rPr>
      </w:pPr>
      <w:r w:rsidRPr="00B27CD2">
        <w:rPr>
          <w:rFonts w:ascii="Garamond" w:hAnsi="Garamond"/>
          <w:b/>
          <w:color w:val="000000" w:themeColor="text1"/>
          <w:sz w:val="26"/>
          <w:szCs w:val="26"/>
          <w:u w:val="single"/>
        </w:rPr>
        <w:t>Contenido</w:t>
      </w:r>
      <w:r w:rsidRPr="00B27CD2">
        <w:rPr>
          <w:rFonts w:ascii="Garamond" w:hAnsi="Garamond"/>
          <w:color w:val="000000" w:themeColor="text1"/>
          <w:sz w:val="26"/>
          <w:szCs w:val="26"/>
        </w:rPr>
        <w:t>.</w:t>
      </w:r>
    </w:p>
    <w:p w:rsidR="007B087B" w:rsidRPr="00B27CD2" w:rsidRDefault="007B087B" w:rsidP="00B27CD2">
      <w:pPr>
        <w:spacing w:line="276" w:lineRule="auto"/>
        <w:ind w:firstLine="360"/>
        <w:rPr>
          <w:rFonts w:ascii="Garamond" w:hAnsi="Garamond"/>
          <w:sz w:val="26"/>
          <w:szCs w:val="26"/>
        </w:rPr>
      </w:pPr>
      <w:r w:rsidRPr="00B27CD2">
        <w:rPr>
          <w:rFonts w:ascii="Garamond" w:hAnsi="Garamond"/>
          <w:color w:val="000000" w:themeColor="text1"/>
          <w:sz w:val="26"/>
          <w:szCs w:val="26"/>
        </w:rPr>
        <w:t xml:space="preserve">El objetivo es </w:t>
      </w:r>
      <w:r w:rsidRPr="00B27CD2">
        <w:rPr>
          <w:rFonts w:ascii="Garamond" w:hAnsi="Garamond"/>
          <w:sz w:val="26"/>
          <w:szCs w:val="26"/>
        </w:rPr>
        <w:t>incorporar al abanico de medidas cautelares posibles que puede adoptar el juez de familia, el uso de un sistema telemático de monitoreo del presunto agresor, solicitada por la víctima, pero revisable durante la secuela del procedimiento respectivo, para verificar si aún persisten los fundamentos que la hagan procedentes. La idea es contar con un mecanismo certero, para que las medidas cautelares se cumplan tanto por el agresor y por la misma víctima.</w:t>
      </w:r>
    </w:p>
    <w:p w:rsidR="007B087B" w:rsidRPr="00B27CD2" w:rsidRDefault="00B27CD2" w:rsidP="00B27CD2">
      <w:pPr>
        <w:spacing w:line="276" w:lineRule="auto"/>
        <w:ind w:firstLine="360"/>
        <w:rPr>
          <w:rFonts w:ascii="Garamond" w:hAnsi="Garamond"/>
          <w:color w:val="000000" w:themeColor="text1"/>
          <w:sz w:val="26"/>
          <w:szCs w:val="26"/>
        </w:rPr>
      </w:pPr>
      <w:r>
        <w:rPr>
          <w:rFonts w:ascii="Garamond" w:hAnsi="Garamond"/>
          <w:sz w:val="26"/>
          <w:szCs w:val="26"/>
        </w:rPr>
        <w:t>E</w:t>
      </w:r>
      <w:r w:rsidR="007B087B" w:rsidRPr="00B27CD2">
        <w:rPr>
          <w:rFonts w:ascii="Garamond" w:hAnsi="Garamond"/>
          <w:sz w:val="26"/>
          <w:szCs w:val="26"/>
        </w:rPr>
        <w:t>l</w:t>
      </w:r>
      <w:r w:rsidR="007B087B" w:rsidRPr="00B27CD2">
        <w:rPr>
          <w:rFonts w:ascii="Garamond" w:hAnsi="Garamond"/>
          <w:color w:val="000000" w:themeColor="text1"/>
          <w:sz w:val="26"/>
          <w:szCs w:val="26"/>
        </w:rPr>
        <w:t xml:space="preserve"> </w:t>
      </w:r>
      <w:r w:rsidRPr="00B27CD2">
        <w:rPr>
          <w:rFonts w:ascii="Garamond" w:hAnsi="Garamond"/>
          <w:color w:val="000000" w:themeColor="text1"/>
          <w:sz w:val="26"/>
          <w:szCs w:val="26"/>
        </w:rPr>
        <w:t>proyecto consta</w:t>
      </w:r>
      <w:r w:rsidR="007B087B" w:rsidRPr="00B27CD2">
        <w:rPr>
          <w:rFonts w:ascii="Garamond" w:hAnsi="Garamond"/>
          <w:color w:val="000000" w:themeColor="text1"/>
          <w:sz w:val="26"/>
          <w:szCs w:val="26"/>
        </w:rPr>
        <w:t xml:space="preserve"> de dos artículos. El primero modifica la ley 19.968 “de Tribunales de Familia”, y la ley 18.216 que consagra “las penas sustitutivas a la privación de libertad:</w:t>
      </w:r>
    </w:p>
    <w:p w:rsidR="007B087B" w:rsidRPr="00B27CD2" w:rsidRDefault="007B087B" w:rsidP="00B27CD2">
      <w:pPr>
        <w:pStyle w:val="Prrafodelista"/>
        <w:numPr>
          <w:ilvl w:val="0"/>
          <w:numId w:val="3"/>
        </w:numPr>
        <w:spacing w:line="276" w:lineRule="auto"/>
        <w:rPr>
          <w:rFonts w:ascii="Garamond" w:hAnsi="Garamond"/>
          <w:b/>
          <w:color w:val="000000" w:themeColor="text1"/>
          <w:sz w:val="26"/>
          <w:szCs w:val="26"/>
        </w:rPr>
      </w:pPr>
      <w:r w:rsidRPr="00B27CD2">
        <w:rPr>
          <w:rFonts w:ascii="Garamond" w:hAnsi="Garamond"/>
          <w:b/>
          <w:color w:val="000000" w:themeColor="text1"/>
          <w:sz w:val="26"/>
          <w:szCs w:val="26"/>
        </w:rPr>
        <w:t>Ley Tribunales de Familia.</w:t>
      </w:r>
    </w:p>
    <w:p w:rsidR="007B087B" w:rsidRPr="00B27CD2" w:rsidRDefault="003B5EB3" w:rsidP="00B27CD2">
      <w:pPr>
        <w:pStyle w:val="Prrafodelista"/>
        <w:numPr>
          <w:ilvl w:val="0"/>
          <w:numId w:val="4"/>
        </w:numPr>
        <w:spacing w:line="276" w:lineRule="auto"/>
        <w:rPr>
          <w:rFonts w:ascii="Garamond" w:hAnsi="Garamond"/>
          <w:color w:val="000000" w:themeColor="text1"/>
          <w:sz w:val="26"/>
          <w:szCs w:val="26"/>
        </w:rPr>
      </w:pPr>
      <w:r w:rsidRPr="00B27CD2">
        <w:rPr>
          <w:rFonts w:ascii="Garamond" w:hAnsi="Garamond"/>
          <w:color w:val="000000" w:themeColor="text1"/>
          <w:sz w:val="26"/>
          <w:szCs w:val="26"/>
        </w:rPr>
        <w:t xml:space="preserve">Se reforma el art. 92, que regula los procedimientos de VIF. La disposición establece las medidas cautelares a aplicar en estos casos, una de las cuales es la prohibición del ofensor de acercarse a la víctima. El proyecto agrega un inciso final para otorgar una facultad al juez para controlar el cumplimiento de dicha cautelar a través de un monitoreo telemático, </w:t>
      </w:r>
      <w:r w:rsidRPr="00B27CD2">
        <w:rPr>
          <w:rFonts w:ascii="Garamond" w:hAnsi="Garamond" w:cs="Gill Sans"/>
          <w:sz w:val="26"/>
          <w:szCs w:val="26"/>
        </w:rPr>
        <w:t>una plataforma web u otra tecnolog</w:t>
      </w:r>
      <w:r w:rsidRPr="00B27CD2">
        <w:rPr>
          <w:rFonts w:ascii="Garamond" w:hAnsi="Garamond" w:cs="Times New Roman"/>
          <w:sz w:val="26"/>
          <w:szCs w:val="26"/>
        </w:rPr>
        <w:t>í</w:t>
      </w:r>
      <w:r w:rsidRPr="00B27CD2">
        <w:rPr>
          <w:rFonts w:ascii="Garamond" w:hAnsi="Garamond" w:cs="Gill Sans"/>
          <w:sz w:val="26"/>
          <w:szCs w:val="26"/>
        </w:rPr>
        <w:t>a an</w:t>
      </w:r>
      <w:r w:rsidRPr="00B27CD2">
        <w:rPr>
          <w:rFonts w:ascii="Garamond" w:hAnsi="Garamond" w:cs="Times New Roman"/>
          <w:sz w:val="26"/>
          <w:szCs w:val="26"/>
        </w:rPr>
        <w:t>á</w:t>
      </w:r>
      <w:r w:rsidRPr="00B27CD2">
        <w:rPr>
          <w:rFonts w:ascii="Garamond" w:hAnsi="Garamond" w:cs="Gill Sans"/>
          <w:sz w:val="26"/>
          <w:szCs w:val="26"/>
        </w:rPr>
        <w:t>loga</w:t>
      </w:r>
      <w:r w:rsidRPr="00B27CD2">
        <w:rPr>
          <w:rFonts w:ascii="Garamond" w:hAnsi="Garamond" w:cs="Gill Sans"/>
          <w:sz w:val="26"/>
          <w:szCs w:val="26"/>
        </w:rPr>
        <w:t xml:space="preserve">, </w:t>
      </w:r>
      <w:r w:rsidRPr="00B27CD2">
        <w:rPr>
          <w:rFonts w:ascii="Garamond" w:hAnsi="Garamond" w:cs="Gill Sans"/>
          <w:sz w:val="26"/>
          <w:szCs w:val="26"/>
        </w:rPr>
        <w:t>una plataforma web u otra tecnolog</w:t>
      </w:r>
      <w:r w:rsidRPr="00B27CD2">
        <w:rPr>
          <w:rFonts w:ascii="Garamond" w:hAnsi="Garamond" w:cs="Times New Roman"/>
          <w:sz w:val="26"/>
          <w:szCs w:val="26"/>
        </w:rPr>
        <w:t>í</w:t>
      </w:r>
      <w:r w:rsidRPr="00B27CD2">
        <w:rPr>
          <w:rFonts w:ascii="Garamond" w:hAnsi="Garamond" w:cs="Gill Sans"/>
          <w:sz w:val="26"/>
          <w:szCs w:val="26"/>
        </w:rPr>
        <w:t>a an</w:t>
      </w:r>
      <w:r w:rsidRPr="00B27CD2">
        <w:rPr>
          <w:rFonts w:ascii="Garamond" w:hAnsi="Garamond" w:cs="Times New Roman"/>
          <w:sz w:val="26"/>
          <w:szCs w:val="26"/>
        </w:rPr>
        <w:t>á</w:t>
      </w:r>
      <w:r w:rsidRPr="00B27CD2">
        <w:rPr>
          <w:rFonts w:ascii="Garamond" w:hAnsi="Garamond" w:cs="Gill Sans"/>
          <w:sz w:val="26"/>
          <w:szCs w:val="26"/>
        </w:rPr>
        <w:t>loga</w:t>
      </w:r>
      <w:r w:rsidRPr="00B27CD2">
        <w:rPr>
          <w:rFonts w:ascii="Garamond" w:hAnsi="Garamond" w:cs="Gill Sans"/>
          <w:sz w:val="26"/>
          <w:szCs w:val="26"/>
        </w:rPr>
        <w:t>.</w:t>
      </w:r>
    </w:p>
    <w:p w:rsidR="003B5EB3" w:rsidRPr="00B27CD2" w:rsidRDefault="003B5EB3" w:rsidP="00B27CD2">
      <w:pPr>
        <w:pStyle w:val="Prrafodelista"/>
        <w:numPr>
          <w:ilvl w:val="0"/>
          <w:numId w:val="4"/>
        </w:numPr>
        <w:spacing w:line="276" w:lineRule="auto"/>
        <w:rPr>
          <w:rFonts w:ascii="Garamond" w:hAnsi="Garamond"/>
          <w:color w:val="000000" w:themeColor="text1"/>
          <w:sz w:val="26"/>
          <w:szCs w:val="26"/>
        </w:rPr>
      </w:pPr>
      <w:r w:rsidRPr="00B27CD2">
        <w:rPr>
          <w:rFonts w:ascii="Garamond" w:hAnsi="Garamond" w:cs="Gill Sans"/>
          <w:sz w:val="26"/>
          <w:szCs w:val="26"/>
        </w:rPr>
        <w:t xml:space="preserve">Se incluye un nuevo </w:t>
      </w:r>
      <w:r w:rsidR="00B27CD2" w:rsidRPr="00B27CD2">
        <w:rPr>
          <w:rFonts w:ascii="Garamond" w:hAnsi="Garamond" w:cs="Gill Sans"/>
          <w:sz w:val="26"/>
          <w:szCs w:val="26"/>
        </w:rPr>
        <w:t>artículo</w:t>
      </w:r>
      <w:r w:rsidRPr="00B27CD2">
        <w:rPr>
          <w:rFonts w:ascii="Garamond" w:hAnsi="Garamond" w:cs="Gill Sans"/>
          <w:sz w:val="26"/>
          <w:szCs w:val="26"/>
        </w:rPr>
        <w:t xml:space="preserve"> 93 donde el cumplimiento de la medida cautelar</w:t>
      </w:r>
      <w:r w:rsidRPr="00B27CD2">
        <w:rPr>
          <w:rFonts w:ascii="Garamond" w:hAnsi="Garamond" w:cs="Gill Sans"/>
          <w:sz w:val="26"/>
          <w:szCs w:val="26"/>
        </w:rPr>
        <w:t xml:space="preserve"> precisar</w:t>
      </w:r>
      <w:r w:rsidRPr="00B27CD2">
        <w:rPr>
          <w:rFonts w:ascii="Garamond" w:hAnsi="Garamond" w:cs="Times New Roman"/>
          <w:sz w:val="26"/>
          <w:szCs w:val="26"/>
        </w:rPr>
        <w:t>á</w:t>
      </w:r>
      <w:r w:rsidRPr="00B27CD2">
        <w:rPr>
          <w:rFonts w:ascii="Garamond" w:hAnsi="Garamond" w:cs="Gill Sans"/>
          <w:sz w:val="26"/>
          <w:szCs w:val="26"/>
        </w:rPr>
        <w:t xml:space="preserve"> la unidad de Gendarmer</w:t>
      </w:r>
      <w:r w:rsidRPr="00B27CD2">
        <w:rPr>
          <w:rFonts w:ascii="Garamond" w:hAnsi="Garamond" w:cs="Times New Roman"/>
          <w:sz w:val="26"/>
          <w:szCs w:val="26"/>
        </w:rPr>
        <w:t>í</w:t>
      </w:r>
      <w:r w:rsidRPr="00B27CD2">
        <w:rPr>
          <w:rFonts w:ascii="Garamond" w:hAnsi="Garamond" w:cs="Gill Sans"/>
          <w:sz w:val="26"/>
          <w:szCs w:val="26"/>
        </w:rPr>
        <w:t>a de Chile, de</w:t>
      </w:r>
      <w:r w:rsidRPr="00B27CD2">
        <w:rPr>
          <w:rFonts w:ascii="Garamond" w:hAnsi="Garamond" w:cs="Gill Sans"/>
          <w:b/>
          <w:sz w:val="26"/>
          <w:szCs w:val="26"/>
        </w:rPr>
        <w:t xml:space="preserve"> </w:t>
      </w:r>
      <w:r w:rsidRPr="00B27CD2">
        <w:rPr>
          <w:rFonts w:ascii="Garamond" w:hAnsi="Garamond" w:cs="Gill Sans"/>
          <w:sz w:val="26"/>
          <w:szCs w:val="26"/>
        </w:rPr>
        <w:t>Carabineros de Chile o de la Polic</w:t>
      </w:r>
      <w:r w:rsidRPr="00B27CD2">
        <w:rPr>
          <w:rFonts w:ascii="Garamond" w:hAnsi="Garamond" w:cs="Times New Roman"/>
          <w:sz w:val="26"/>
          <w:szCs w:val="26"/>
        </w:rPr>
        <w:t>í</w:t>
      </w:r>
      <w:r w:rsidRPr="00B27CD2">
        <w:rPr>
          <w:rFonts w:ascii="Garamond" w:hAnsi="Garamond" w:cs="Gill Sans"/>
          <w:sz w:val="26"/>
          <w:szCs w:val="26"/>
        </w:rPr>
        <w:t>a de Investigaciones de Chile</w:t>
      </w:r>
      <w:r w:rsidR="00B27CD2">
        <w:rPr>
          <w:rFonts w:ascii="Garamond" w:hAnsi="Garamond" w:cs="Gill Sans"/>
          <w:sz w:val="26"/>
          <w:szCs w:val="26"/>
        </w:rPr>
        <w:t>, las</w:t>
      </w:r>
      <w:r w:rsidRPr="00B27CD2">
        <w:rPr>
          <w:rFonts w:ascii="Garamond" w:hAnsi="Garamond" w:cs="Gill Sans"/>
          <w:sz w:val="26"/>
          <w:szCs w:val="26"/>
        </w:rPr>
        <w:t xml:space="preserve"> que deber</w:t>
      </w:r>
      <w:r w:rsidRPr="00B27CD2">
        <w:rPr>
          <w:rFonts w:ascii="Garamond" w:hAnsi="Garamond" w:cs="Times New Roman"/>
          <w:sz w:val="26"/>
          <w:szCs w:val="26"/>
        </w:rPr>
        <w:t>á</w:t>
      </w:r>
      <w:r w:rsidR="00B27CD2">
        <w:rPr>
          <w:rFonts w:ascii="Garamond" w:hAnsi="Garamond" w:cs="Times New Roman"/>
          <w:sz w:val="26"/>
          <w:szCs w:val="26"/>
        </w:rPr>
        <w:t>n</w:t>
      </w:r>
      <w:r w:rsidRPr="00B27CD2">
        <w:rPr>
          <w:rFonts w:ascii="Garamond" w:hAnsi="Garamond" w:cs="Gill Sans"/>
          <w:sz w:val="26"/>
          <w:szCs w:val="26"/>
        </w:rPr>
        <w:t xml:space="preserve"> velar por su cumplimiento. Si el juez estimare conveniente la aplicaci</w:t>
      </w:r>
      <w:r w:rsidRPr="00B27CD2">
        <w:rPr>
          <w:rFonts w:ascii="Garamond" w:hAnsi="Garamond" w:cs="Times New Roman"/>
          <w:sz w:val="26"/>
          <w:szCs w:val="26"/>
        </w:rPr>
        <w:t>ó</w:t>
      </w:r>
      <w:r w:rsidRPr="00B27CD2">
        <w:rPr>
          <w:rFonts w:ascii="Garamond" w:hAnsi="Garamond" w:cs="Gill Sans"/>
          <w:sz w:val="26"/>
          <w:szCs w:val="26"/>
        </w:rPr>
        <w:t>n de la medida de monitoreo telem</w:t>
      </w:r>
      <w:r w:rsidRPr="00B27CD2">
        <w:rPr>
          <w:rFonts w:ascii="Garamond" w:hAnsi="Garamond" w:cs="Times New Roman"/>
          <w:sz w:val="26"/>
          <w:szCs w:val="26"/>
        </w:rPr>
        <w:t>át</w:t>
      </w:r>
      <w:r w:rsidRPr="00B27CD2">
        <w:rPr>
          <w:rFonts w:ascii="Garamond" w:hAnsi="Garamond" w:cs="Gill Sans"/>
          <w:sz w:val="26"/>
          <w:szCs w:val="26"/>
        </w:rPr>
        <w:t>ico, deber</w:t>
      </w:r>
      <w:r w:rsidRPr="00B27CD2">
        <w:rPr>
          <w:rFonts w:ascii="Garamond" w:hAnsi="Garamond" w:cs="Times New Roman"/>
          <w:sz w:val="26"/>
          <w:szCs w:val="26"/>
        </w:rPr>
        <w:t>á</w:t>
      </w:r>
      <w:r w:rsidRPr="00B27CD2">
        <w:rPr>
          <w:rFonts w:ascii="Garamond" w:hAnsi="Garamond" w:cs="Gill Sans"/>
          <w:sz w:val="26"/>
          <w:szCs w:val="26"/>
        </w:rPr>
        <w:t xml:space="preserve"> determinar, en el menor tiempo posible, la </w:t>
      </w:r>
      <w:r w:rsidRPr="00B27CD2">
        <w:rPr>
          <w:rFonts w:ascii="Garamond" w:hAnsi="Garamond" w:cs="Gill Sans"/>
          <w:sz w:val="26"/>
          <w:szCs w:val="26"/>
        </w:rPr>
        <w:lastRenderedPageBreak/>
        <w:t>factibilidad de su aplicaci</w:t>
      </w:r>
      <w:r w:rsidRPr="00B27CD2">
        <w:rPr>
          <w:rFonts w:ascii="Garamond" w:hAnsi="Garamond" w:cs="Times New Roman"/>
          <w:sz w:val="26"/>
          <w:szCs w:val="26"/>
        </w:rPr>
        <w:t>ó</w:t>
      </w:r>
      <w:r w:rsidRPr="00B27CD2">
        <w:rPr>
          <w:rFonts w:ascii="Garamond" w:hAnsi="Garamond" w:cs="Gill Sans"/>
          <w:sz w:val="26"/>
          <w:szCs w:val="26"/>
        </w:rPr>
        <w:t>n, de acuerdo a lo establecido en el reglamento respectivo</w:t>
      </w:r>
      <w:r w:rsidRPr="00B27CD2">
        <w:rPr>
          <w:rFonts w:ascii="Garamond" w:hAnsi="Garamond" w:cs="Gill Sans"/>
          <w:sz w:val="26"/>
          <w:szCs w:val="26"/>
        </w:rPr>
        <w:t>.</w:t>
      </w:r>
    </w:p>
    <w:p w:rsidR="003B5EB3" w:rsidRPr="00B27CD2" w:rsidRDefault="003B5EB3" w:rsidP="00B27CD2">
      <w:pPr>
        <w:pStyle w:val="Prrafodelista"/>
        <w:numPr>
          <w:ilvl w:val="0"/>
          <w:numId w:val="4"/>
        </w:numPr>
        <w:spacing w:line="276" w:lineRule="auto"/>
        <w:rPr>
          <w:rFonts w:ascii="Garamond" w:hAnsi="Garamond"/>
          <w:color w:val="000000" w:themeColor="text1"/>
          <w:sz w:val="26"/>
          <w:szCs w:val="26"/>
        </w:rPr>
      </w:pPr>
      <w:r w:rsidRPr="00B27CD2">
        <w:rPr>
          <w:rFonts w:ascii="Garamond" w:hAnsi="Garamond" w:cs="Gill Sans"/>
          <w:sz w:val="26"/>
          <w:szCs w:val="26"/>
        </w:rPr>
        <w:t xml:space="preserve">Se crea un </w:t>
      </w:r>
      <w:r w:rsidR="00B27CD2" w:rsidRPr="00B27CD2">
        <w:rPr>
          <w:rFonts w:ascii="Garamond" w:hAnsi="Garamond" w:cs="Gill Sans"/>
          <w:sz w:val="26"/>
          <w:szCs w:val="26"/>
        </w:rPr>
        <w:t>artículo</w:t>
      </w:r>
      <w:r w:rsidRPr="00B27CD2">
        <w:rPr>
          <w:rFonts w:ascii="Garamond" w:hAnsi="Garamond" w:cs="Gill Sans"/>
          <w:sz w:val="26"/>
          <w:szCs w:val="26"/>
        </w:rPr>
        <w:t xml:space="preserve"> 101 bis  para que </w:t>
      </w:r>
      <w:r w:rsidRPr="00B27CD2">
        <w:rPr>
          <w:rFonts w:ascii="Garamond" w:hAnsi="Garamond" w:cs="Gill Sans"/>
          <w:sz w:val="26"/>
          <w:szCs w:val="26"/>
        </w:rPr>
        <w:t>las instituciones policiales, el Ministerio P</w:t>
      </w:r>
      <w:r w:rsidRPr="00B27CD2">
        <w:rPr>
          <w:rFonts w:ascii="Garamond" w:hAnsi="Garamond" w:cs="Times New Roman"/>
          <w:sz w:val="26"/>
          <w:szCs w:val="26"/>
        </w:rPr>
        <w:t>ú</w:t>
      </w:r>
      <w:r w:rsidRPr="00B27CD2">
        <w:rPr>
          <w:rFonts w:ascii="Garamond" w:hAnsi="Garamond" w:cs="Gill Sans"/>
          <w:sz w:val="26"/>
          <w:szCs w:val="26"/>
        </w:rPr>
        <w:t>blico, y Gendarmer</w:t>
      </w:r>
      <w:r w:rsidRPr="00B27CD2">
        <w:rPr>
          <w:rFonts w:ascii="Garamond" w:hAnsi="Garamond" w:cs="Times New Roman"/>
          <w:sz w:val="26"/>
          <w:szCs w:val="26"/>
        </w:rPr>
        <w:t>í</w:t>
      </w:r>
      <w:r w:rsidRPr="00B27CD2">
        <w:rPr>
          <w:rFonts w:ascii="Garamond" w:hAnsi="Garamond" w:cs="Gill Sans"/>
          <w:sz w:val="26"/>
          <w:szCs w:val="26"/>
        </w:rPr>
        <w:t>a de Chile</w:t>
      </w:r>
      <w:r w:rsidR="00B27CD2">
        <w:rPr>
          <w:rFonts w:ascii="Garamond" w:hAnsi="Garamond" w:cs="Gill Sans"/>
          <w:sz w:val="26"/>
          <w:szCs w:val="26"/>
        </w:rPr>
        <w:t>,</w:t>
      </w:r>
      <w:r w:rsidRPr="00B27CD2">
        <w:rPr>
          <w:rFonts w:ascii="Garamond" w:hAnsi="Garamond" w:cs="Gill Sans"/>
          <w:sz w:val="26"/>
          <w:szCs w:val="26"/>
        </w:rPr>
        <w:t xml:space="preserve"> </w:t>
      </w:r>
      <w:r w:rsidR="00B27CD2">
        <w:rPr>
          <w:rFonts w:ascii="Garamond" w:hAnsi="Garamond" w:cs="Gill Sans"/>
          <w:sz w:val="26"/>
          <w:szCs w:val="26"/>
        </w:rPr>
        <w:t>celebren</w:t>
      </w:r>
      <w:r w:rsidRPr="00B27CD2">
        <w:rPr>
          <w:rFonts w:ascii="Garamond" w:hAnsi="Garamond" w:cs="Gill Sans"/>
          <w:sz w:val="26"/>
          <w:szCs w:val="26"/>
        </w:rPr>
        <w:t xml:space="preserve"> protocolos de actuaci</w:t>
      </w:r>
      <w:r w:rsidRPr="00B27CD2">
        <w:rPr>
          <w:rFonts w:ascii="Garamond" w:hAnsi="Garamond" w:cs="Times New Roman"/>
          <w:sz w:val="26"/>
          <w:szCs w:val="26"/>
        </w:rPr>
        <w:t>ó</w:t>
      </w:r>
      <w:r w:rsidRPr="00B27CD2">
        <w:rPr>
          <w:rFonts w:ascii="Garamond" w:hAnsi="Garamond" w:cs="Gill Sans"/>
          <w:sz w:val="26"/>
          <w:szCs w:val="26"/>
        </w:rPr>
        <w:t>n interinstitucionales</w:t>
      </w:r>
      <w:r w:rsidR="00B27CD2" w:rsidRPr="00B27CD2">
        <w:rPr>
          <w:rFonts w:ascii="Garamond" w:hAnsi="Garamond" w:cs="Gill Sans"/>
          <w:sz w:val="26"/>
          <w:szCs w:val="26"/>
        </w:rPr>
        <w:t xml:space="preserve"> para estos temas, lo cual será comunicado a la Corte de Apelaciones respectiva.</w:t>
      </w:r>
    </w:p>
    <w:p w:rsidR="00B27CD2" w:rsidRPr="00B27CD2" w:rsidRDefault="00B27CD2" w:rsidP="00B27CD2">
      <w:pPr>
        <w:pStyle w:val="Prrafodelista"/>
        <w:numPr>
          <w:ilvl w:val="0"/>
          <w:numId w:val="3"/>
        </w:numPr>
        <w:spacing w:line="276" w:lineRule="auto"/>
        <w:rPr>
          <w:rFonts w:ascii="Garamond" w:hAnsi="Garamond"/>
          <w:b/>
          <w:color w:val="000000" w:themeColor="text1"/>
          <w:sz w:val="26"/>
          <w:szCs w:val="26"/>
        </w:rPr>
      </w:pPr>
      <w:r w:rsidRPr="00B27CD2">
        <w:rPr>
          <w:rFonts w:ascii="Garamond" w:hAnsi="Garamond"/>
          <w:b/>
          <w:color w:val="000000" w:themeColor="text1"/>
          <w:sz w:val="26"/>
          <w:szCs w:val="26"/>
        </w:rPr>
        <w:t>Ley Penas Sustitutivas:</w:t>
      </w:r>
    </w:p>
    <w:p w:rsidR="00B27CD2" w:rsidRPr="00B27CD2" w:rsidRDefault="00B27CD2" w:rsidP="00B27CD2">
      <w:pPr>
        <w:pStyle w:val="Prrafodelista"/>
        <w:numPr>
          <w:ilvl w:val="0"/>
          <w:numId w:val="5"/>
        </w:numPr>
        <w:spacing w:line="276" w:lineRule="auto"/>
        <w:rPr>
          <w:rFonts w:ascii="Garamond" w:hAnsi="Garamond"/>
          <w:color w:val="000000" w:themeColor="text1"/>
          <w:sz w:val="26"/>
          <w:szCs w:val="26"/>
        </w:rPr>
      </w:pPr>
      <w:r w:rsidRPr="00B27CD2">
        <w:rPr>
          <w:rFonts w:ascii="Garamond" w:hAnsi="Garamond"/>
          <w:color w:val="000000" w:themeColor="text1"/>
          <w:sz w:val="26"/>
          <w:szCs w:val="26"/>
        </w:rPr>
        <w:t>Se agrega la procedencia el cumplimiento de la pena en libertad vigilada en casos de maltrato habitual.</w:t>
      </w:r>
    </w:p>
    <w:p w:rsidR="00B27CD2" w:rsidRPr="00B27CD2" w:rsidRDefault="00B27CD2" w:rsidP="00B27CD2">
      <w:pPr>
        <w:pStyle w:val="Prrafodelista"/>
        <w:spacing w:line="276" w:lineRule="auto"/>
        <w:ind w:left="1080"/>
        <w:rPr>
          <w:rFonts w:ascii="Garamond" w:hAnsi="Garamond"/>
          <w:color w:val="000000" w:themeColor="text1"/>
          <w:sz w:val="26"/>
          <w:szCs w:val="26"/>
        </w:rPr>
      </w:pPr>
      <w:r w:rsidRPr="00B27CD2">
        <w:rPr>
          <w:rFonts w:ascii="Garamond" w:hAnsi="Garamond"/>
          <w:color w:val="000000" w:themeColor="text1"/>
          <w:sz w:val="26"/>
          <w:szCs w:val="26"/>
        </w:rPr>
        <w:t xml:space="preserve">Esto se relaciona con el artículo 23 bis de dicha ley, que establece que se podrá monitorear electrónicamente el cumplimiento de la libertad vigilada. </w:t>
      </w:r>
    </w:p>
    <w:sectPr w:rsidR="00B27CD2" w:rsidRPr="00B27C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C5E"/>
    <w:multiLevelType w:val="hybridMultilevel"/>
    <w:tmpl w:val="F2983E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614016"/>
    <w:multiLevelType w:val="hybridMultilevel"/>
    <w:tmpl w:val="3440FE56"/>
    <w:lvl w:ilvl="0" w:tplc="C85E7334">
      <w:start w:val="1"/>
      <w:numFmt w:val="upperRoman"/>
      <w:lvlText w:val="%1."/>
      <w:lvlJc w:val="left"/>
      <w:pPr>
        <w:ind w:left="1080" w:hanging="720"/>
      </w:pPr>
      <w:rPr>
        <w:rFonts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007752"/>
    <w:multiLevelType w:val="hybridMultilevel"/>
    <w:tmpl w:val="4F140E0A"/>
    <w:lvl w:ilvl="0" w:tplc="BE3C9C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4C6752EA"/>
    <w:multiLevelType w:val="hybridMultilevel"/>
    <w:tmpl w:val="E26041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DDB104C"/>
    <w:multiLevelType w:val="hybridMultilevel"/>
    <w:tmpl w:val="1A520C74"/>
    <w:lvl w:ilvl="0" w:tplc="A92CAAB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7B"/>
    <w:rsid w:val="00146E5A"/>
    <w:rsid w:val="003B5EB3"/>
    <w:rsid w:val="007B087B"/>
    <w:rsid w:val="00B27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5DBD"/>
  <w15:chartTrackingRefBased/>
  <w15:docId w15:val="{ED69A361-659B-425A-A52A-436C918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2017-04-11T16:07:00Z</dcterms:created>
  <dcterms:modified xsi:type="dcterms:W3CDTF">2017-04-11T16:39:00Z</dcterms:modified>
</cp:coreProperties>
</file>