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5A" w:rsidRPr="002423B2" w:rsidRDefault="00B949D1" w:rsidP="004821BD">
      <w:pPr>
        <w:pBdr>
          <w:bottom w:val="single" w:sz="6" w:space="1" w:color="auto"/>
        </w:pBdr>
        <w:spacing w:line="360" w:lineRule="auto"/>
        <w:jc w:val="center"/>
        <w:rPr>
          <w:rFonts w:ascii="Garamond" w:hAnsi="Garamond"/>
          <w:b/>
          <w:sz w:val="28"/>
          <w:szCs w:val="28"/>
        </w:rPr>
      </w:pPr>
      <w:r w:rsidRPr="002423B2">
        <w:rPr>
          <w:rFonts w:ascii="Garamond" w:hAnsi="Garamond"/>
          <w:b/>
          <w:sz w:val="28"/>
          <w:szCs w:val="28"/>
        </w:rPr>
        <w:t>Minuta proyecto de ley, que modifica la ley N°19.496, que establece normas sobre protección de los derechos de los consumidores, estableciendo garantía para los bienes durables (Boletín 10.452-03)</w:t>
      </w:r>
    </w:p>
    <w:p w:rsidR="00B949D1" w:rsidRPr="002423B2" w:rsidRDefault="00B949D1" w:rsidP="004821BD">
      <w:pPr>
        <w:spacing w:line="360" w:lineRule="auto"/>
        <w:rPr>
          <w:rFonts w:ascii="Garamond" w:hAnsi="Garamond"/>
          <w:sz w:val="28"/>
          <w:szCs w:val="28"/>
        </w:rPr>
      </w:pPr>
    </w:p>
    <w:p w:rsidR="00B949D1" w:rsidRPr="002423B2" w:rsidRDefault="00B949D1" w:rsidP="004821BD">
      <w:pPr>
        <w:pStyle w:val="Prrafodelista"/>
        <w:numPr>
          <w:ilvl w:val="0"/>
          <w:numId w:val="1"/>
        </w:numPr>
        <w:spacing w:line="360" w:lineRule="auto"/>
        <w:rPr>
          <w:rFonts w:ascii="Garamond" w:hAnsi="Garamond"/>
          <w:b/>
          <w:sz w:val="28"/>
          <w:szCs w:val="28"/>
        </w:rPr>
      </w:pPr>
      <w:r w:rsidRPr="002423B2">
        <w:rPr>
          <w:rFonts w:ascii="Garamond" w:hAnsi="Garamond"/>
          <w:b/>
          <w:sz w:val="28"/>
          <w:szCs w:val="28"/>
        </w:rPr>
        <w:t>Antecedentes</w:t>
      </w:r>
    </w:p>
    <w:p w:rsidR="00B949D1" w:rsidRPr="002423B2" w:rsidRDefault="00B949D1" w:rsidP="004821BD">
      <w:pPr>
        <w:spacing w:line="360" w:lineRule="auto"/>
        <w:ind w:left="360" w:firstLine="348"/>
        <w:rPr>
          <w:rFonts w:ascii="Garamond" w:hAnsi="Garamond"/>
          <w:sz w:val="28"/>
          <w:szCs w:val="28"/>
        </w:rPr>
      </w:pPr>
      <w:r w:rsidRPr="002423B2">
        <w:rPr>
          <w:rFonts w:ascii="Garamond" w:hAnsi="Garamond"/>
          <w:sz w:val="28"/>
          <w:szCs w:val="28"/>
        </w:rPr>
        <w:t>Moción</w:t>
      </w:r>
      <w:r w:rsidR="004821BD" w:rsidRPr="002423B2">
        <w:rPr>
          <w:rFonts w:ascii="Garamond" w:hAnsi="Garamond"/>
          <w:sz w:val="28"/>
          <w:szCs w:val="28"/>
        </w:rPr>
        <w:t xml:space="preserve"> que se encuentra</w:t>
      </w:r>
      <w:r w:rsidRPr="002423B2">
        <w:rPr>
          <w:rFonts w:ascii="Garamond" w:hAnsi="Garamond"/>
          <w:sz w:val="28"/>
          <w:szCs w:val="28"/>
        </w:rPr>
        <w:t xml:space="preserve"> </w:t>
      </w:r>
      <w:r w:rsidR="00362EA4" w:rsidRPr="002423B2">
        <w:rPr>
          <w:rFonts w:ascii="Garamond" w:hAnsi="Garamond"/>
          <w:sz w:val="28"/>
          <w:szCs w:val="28"/>
        </w:rPr>
        <w:t>para discusión general en</w:t>
      </w:r>
      <w:r w:rsidRPr="002423B2">
        <w:rPr>
          <w:rFonts w:ascii="Garamond" w:hAnsi="Garamond"/>
          <w:sz w:val="28"/>
          <w:szCs w:val="28"/>
        </w:rPr>
        <w:t xml:space="preserve"> primer trámite constitucional, presentado por los Senadores </w:t>
      </w:r>
      <w:r w:rsidR="004821BD" w:rsidRPr="002423B2">
        <w:rPr>
          <w:rFonts w:ascii="Garamond" w:hAnsi="Garamond"/>
          <w:sz w:val="28"/>
          <w:szCs w:val="28"/>
          <w:lang w:val="es-ES_tradnl"/>
        </w:rPr>
        <w:t xml:space="preserve">Van </w:t>
      </w:r>
      <w:proofErr w:type="spellStart"/>
      <w:r w:rsidR="004821BD" w:rsidRPr="002423B2">
        <w:rPr>
          <w:rFonts w:ascii="Garamond" w:hAnsi="Garamond"/>
          <w:sz w:val="28"/>
          <w:szCs w:val="28"/>
          <w:lang w:val="es-ES_tradnl"/>
        </w:rPr>
        <w:t>Rysselberghe</w:t>
      </w:r>
      <w:proofErr w:type="spellEnd"/>
      <w:r w:rsidR="004821BD" w:rsidRPr="002423B2">
        <w:rPr>
          <w:rFonts w:ascii="Garamond" w:hAnsi="Garamond"/>
          <w:sz w:val="28"/>
          <w:szCs w:val="28"/>
          <w:lang w:val="es-ES_tradnl"/>
        </w:rPr>
        <w:t xml:space="preserve">, </w:t>
      </w:r>
      <w:proofErr w:type="spellStart"/>
      <w:r w:rsidRPr="002423B2">
        <w:rPr>
          <w:rFonts w:ascii="Garamond" w:hAnsi="Garamond"/>
          <w:sz w:val="28"/>
          <w:szCs w:val="28"/>
          <w:lang w:val="es-ES_tradnl"/>
        </w:rPr>
        <w:t>Von</w:t>
      </w:r>
      <w:proofErr w:type="spellEnd"/>
      <w:r w:rsidRPr="002423B2">
        <w:rPr>
          <w:rFonts w:ascii="Garamond" w:hAnsi="Garamond"/>
          <w:sz w:val="28"/>
          <w:szCs w:val="28"/>
          <w:lang w:val="es-ES_tradnl"/>
        </w:rPr>
        <w:t xml:space="preserve"> </w:t>
      </w:r>
      <w:proofErr w:type="spellStart"/>
      <w:r w:rsidRPr="002423B2">
        <w:rPr>
          <w:rFonts w:ascii="Garamond" w:hAnsi="Garamond"/>
          <w:sz w:val="28"/>
          <w:szCs w:val="28"/>
          <w:lang w:val="es-ES_tradnl"/>
        </w:rPr>
        <w:t>Baer</w:t>
      </w:r>
      <w:proofErr w:type="spellEnd"/>
      <w:r w:rsidR="004821BD" w:rsidRPr="002423B2">
        <w:rPr>
          <w:rFonts w:ascii="Garamond" w:hAnsi="Garamond"/>
          <w:sz w:val="28"/>
          <w:szCs w:val="28"/>
          <w:lang w:val="es-ES_tradnl"/>
        </w:rPr>
        <w:t xml:space="preserve">, </w:t>
      </w:r>
      <w:r w:rsidRPr="002423B2">
        <w:rPr>
          <w:rFonts w:ascii="Garamond" w:hAnsi="Garamond"/>
          <w:sz w:val="28"/>
          <w:szCs w:val="28"/>
          <w:lang w:val="es-ES_tradnl"/>
        </w:rPr>
        <w:t>Pérez Varela y Tuma</w:t>
      </w:r>
      <w:r w:rsidRPr="002423B2">
        <w:rPr>
          <w:rFonts w:ascii="Garamond" w:hAnsi="Garamond"/>
          <w:sz w:val="28"/>
          <w:szCs w:val="28"/>
        </w:rPr>
        <w:t>.</w:t>
      </w:r>
    </w:p>
    <w:p w:rsidR="00362EA4" w:rsidRPr="002423B2" w:rsidRDefault="00362EA4" w:rsidP="002423B2">
      <w:pPr>
        <w:spacing w:line="360" w:lineRule="auto"/>
        <w:ind w:left="360" w:firstLine="348"/>
        <w:rPr>
          <w:rFonts w:ascii="Garamond" w:hAnsi="Garamond"/>
          <w:sz w:val="28"/>
          <w:szCs w:val="28"/>
        </w:rPr>
      </w:pPr>
      <w:r w:rsidRPr="002423B2">
        <w:rPr>
          <w:rFonts w:ascii="Garamond" w:hAnsi="Garamond"/>
          <w:sz w:val="28"/>
          <w:szCs w:val="28"/>
        </w:rPr>
        <w:t>Fue aprobado por unanimidad en la Comisión de Economía del Senado.</w:t>
      </w:r>
    </w:p>
    <w:p w:rsidR="00362EA4" w:rsidRDefault="00362EA4" w:rsidP="004821BD">
      <w:pPr>
        <w:spacing w:line="360" w:lineRule="auto"/>
        <w:ind w:left="360"/>
        <w:rPr>
          <w:rFonts w:ascii="Garamond" w:hAnsi="Garamond"/>
          <w:sz w:val="28"/>
          <w:szCs w:val="28"/>
        </w:rPr>
      </w:pPr>
    </w:p>
    <w:p w:rsidR="002423B2" w:rsidRDefault="002423B2" w:rsidP="002423B2">
      <w:pPr>
        <w:pStyle w:val="Prrafodelista"/>
        <w:numPr>
          <w:ilvl w:val="0"/>
          <w:numId w:val="1"/>
        </w:numPr>
        <w:spacing w:line="360" w:lineRule="auto"/>
        <w:rPr>
          <w:rFonts w:ascii="Garamond" w:hAnsi="Garamond"/>
          <w:b/>
          <w:sz w:val="28"/>
          <w:szCs w:val="28"/>
        </w:rPr>
      </w:pPr>
      <w:r w:rsidRPr="002423B2">
        <w:rPr>
          <w:rFonts w:ascii="Garamond" w:hAnsi="Garamond"/>
          <w:b/>
          <w:sz w:val="28"/>
          <w:szCs w:val="28"/>
        </w:rPr>
        <w:t>Contenido.</w:t>
      </w:r>
    </w:p>
    <w:p w:rsidR="002423B2" w:rsidRPr="002423B2" w:rsidRDefault="002423B2" w:rsidP="002423B2">
      <w:pPr>
        <w:spacing w:line="360" w:lineRule="auto"/>
        <w:ind w:left="360"/>
        <w:rPr>
          <w:rFonts w:ascii="Garamond" w:hAnsi="Garamond"/>
          <w:sz w:val="28"/>
          <w:szCs w:val="28"/>
        </w:rPr>
      </w:pPr>
      <w:r>
        <w:rPr>
          <w:rFonts w:ascii="Garamond" w:hAnsi="Garamond"/>
          <w:sz w:val="28"/>
          <w:szCs w:val="28"/>
        </w:rPr>
        <w:t>El proyecto modifica la Ley del Consumidor, para establecer lo siguiente:</w:t>
      </w:r>
    </w:p>
    <w:p w:rsidR="00B949D1" w:rsidRDefault="002423B2" w:rsidP="002423B2">
      <w:pPr>
        <w:pStyle w:val="Prrafodelista"/>
        <w:numPr>
          <w:ilvl w:val="0"/>
          <w:numId w:val="3"/>
        </w:numPr>
        <w:tabs>
          <w:tab w:val="left" w:pos="2835"/>
        </w:tabs>
        <w:spacing w:line="360" w:lineRule="auto"/>
        <w:jc w:val="both"/>
        <w:rPr>
          <w:rFonts w:ascii="Garamond" w:hAnsi="Garamond"/>
          <w:sz w:val="28"/>
          <w:szCs w:val="28"/>
          <w:lang w:val="es-ES_tradnl"/>
        </w:rPr>
      </w:pPr>
      <w:r>
        <w:rPr>
          <w:rFonts w:ascii="Garamond" w:hAnsi="Garamond"/>
          <w:sz w:val="28"/>
          <w:szCs w:val="28"/>
          <w:lang w:val="es-ES_tradnl"/>
        </w:rPr>
        <w:t>Se regula</w:t>
      </w:r>
      <w:r w:rsidR="00B949D1" w:rsidRPr="002423B2">
        <w:rPr>
          <w:rFonts w:ascii="Garamond" w:hAnsi="Garamond"/>
          <w:sz w:val="28"/>
          <w:szCs w:val="28"/>
          <w:lang w:val="es-ES_tradnl"/>
        </w:rPr>
        <w:t xml:space="preserve"> la garantía de los bienes muebles durables, que son aquellos bienes muebles </w:t>
      </w:r>
      <w:r w:rsidR="00362EA4" w:rsidRPr="002423B2">
        <w:rPr>
          <w:rFonts w:ascii="Garamond" w:hAnsi="Garamond"/>
          <w:sz w:val="28"/>
          <w:szCs w:val="28"/>
          <w:lang w:val="es-ES_tradnl"/>
        </w:rPr>
        <w:t>que no se consumen por su primer uso,</w:t>
      </w:r>
      <w:r>
        <w:rPr>
          <w:rFonts w:ascii="Garamond" w:hAnsi="Garamond"/>
          <w:sz w:val="28"/>
          <w:szCs w:val="28"/>
          <w:lang w:val="es-ES_tradnl"/>
        </w:rPr>
        <w:t xml:space="preserve"> es decir, </w:t>
      </w:r>
      <w:r w:rsidR="00B949D1" w:rsidRPr="002423B2">
        <w:rPr>
          <w:rFonts w:ascii="Garamond" w:hAnsi="Garamond"/>
          <w:sz w:val="28"/>
          <w:szCs w:val="28"/>
          <w:lang w:val="es-ES_tradnl"/>
        </w:rPr>
        <w:t>que por su esencia han de tener larga vida útil en manos del consumidor,</w:t>
      </w:r>
      <w:r w:rsidR="00362EA4" w:rsidRPr="002423B2">
        <w:rPr>
          <w:rFonts w:ascii="Garamond" w:hAnsi="Garamond"/>
          <w:sz w:val="28"/>
          <w:szCs w:val="28"/>
          <w:lang w:val="es-ES_tradnl"/>
        </w:rPr>
        <w:t xml:space="preserve"> superior a dos años,</w:t>
      </w:r>
      <w:r w:rsidR="00B949D1" w:rsidRPr="002423B2">
        <w:rPr>
          <w:rFonts w:ascii="Garamond" w:hAnsi="Garamond"/>
          <w:sz w:val="28"/>
          <w:szCs w:val="28"/>
          <w:lang w:val="es-ES_tradnl"/>
        </w:rPr>
        <w:t xml:space="preserve"> como los electrodomésticos, los productos tecnológicos o los vehículos.</w:t>
      </w:r>
    </w:p>
    <w:p w:rsidR="00B949D1" w:rsidRPr="002423B2" w:rsidRDefault="00362EA4" w:rsidP="002423B2">
      <w:pPr>
        <w:pStyle w:val="Prrafodelista"/>
        <w:numPr>
          <w:ilvl w:val="0"/>
          <w:numId w:val="3"/>
        </w:numPr>
        <w:tabs>
          <w:tab w:val="left" w:pos="2835"/>
        </w:tabs>
        <w:spacing w:line="360" w:lineRule="auto"/>
        <w:jc w:val="both"/>
        <w:rPr>
          <w:rFonts w:ascii="Garamond" w:hAnsi="Garamond"/>
          <w:sz w:val="28"/>
          <w:szCs w:val="28"/>
          <w:lang w:val="es-ES_tradnl"/>
        </w:rPr>
      </w:pPr>
      <w:r w:rsidRPr="002423B2">
        <w:rPr>
          <w:rFonts w:ascii="Garamond" w:hAnsi="Garamond"/>
          <w:sz w:val="28"/>
          <w:szCs w:val="28"/>
        </w:rPr>
        <w:t>E</w:t>
      </w:r>
      <w:r w:rsidRPr="002423B2">
        <w:rPr>
          <w:rFonts w:ascii="Garamond" w:hAnsi="Garamond"/>
          <w:sz w:val="28"/>
          <w:szCs w:val="28"/>
          <w:lang w:val="es-ES_tradnl"/>
        </w:rPr>
        <w:t xml:space="preserve">l proyecto </w:t>
      </w:r>
      <w:r w:rsidR="002423B2">
        <w:rPr>
          <w:rFonts w:ascii="Garamond" w:hAnsi="Garamond"/>
          <w:sz w:val="28"/>
          <w:szCs w:val="28"/>
          <w:lang w:val="es-ES_tradnl"/>
        </w:rPr>
        <w:t>establece</w:t>
      </w:r>
      <w:r w:rsidR="00B949D1" w:rsidRPr="002423B2">
        <w:rPr>
          <w:rFonts w:ascii="Garamond" w:hAnsi="Garamond"/>
          <w:sz w:val="28"/>
          <w:szCs w:val="28"/>
          <w:lang w:val="es-ES_tradnl"/>
        </w:rPr>
        <w:t xml:space="preserve"> una garantía legal de dos años para los bienes durables nuevos, contados desde la entrega real, consagrada en términos amplios, esto es, “por sus defectos o vicios de cualquiera índole”, cuando éstos: </w:t>
      </w:r>
    </w:p>
    <w:p w:rsidR="00B949D1" w:rsidRPr="002423B2" w:rsidRDefault="002423B2" w:rsidP="002423B2">
      <w:pPr>
        <w:tabs>
          <w:tab w:val="left" w:pos="2835"/>
        </w:tabs>
        <w:spacing w:line="360" w:lineRule="auto"/>
        <w:jc w:val="both"/>
        <w:rPr>
          <w:rFonts w:ascii="Garamond" w:hAnsi="Garamond"/>
          <w:sz w:val="28"/>
          <w:szCs w:val="28"/>
          <w:lang w:val="es-ES_tradnl"/>
        </w:rPr>
      </w:pPr>
      <w:r>
        <w:rPr>
          <w:rFonts w:ascii="Garamond" w:hAnsi="Garamond"/>
          <w:sz w:val="28"/>
          <w:szCs w:val="28"/>
          <w:lang w:val="es-ES_tradnl"/>
        </w:rPr>
        <w:t xml:space="preserve">                   a) </w:t>
      </w:r>
      <w:r w:rsidR="00B949D1" w:rsidRPr="002423B2">
        <w:rPr>
          <w:rFonts w:ascii="Garamond" w:hAnsi="Garamond"/>
          <w:sz w:val="28"/>
          <w:szCs w:val="28"/>
          <w:lang w:val="es-ES_tradnl"/>
        </w:rPr>
        <w:t xml:space="preserve">afecten la identidad entre lo ofrecido y lo entregado, y </w:t>
      </w:r>
    </w:p>
    <w:p w:rsidR="00B949D1" w:rsidRPr="002423B2" w:rsidRDefault="002423B2" w:rsidP="002423B2">
      <w:pPr>
        <w:tabs>
          <w:tab w:val="left" w:pos="2835"/>
        </w:tabs>
        <w:spacing w:line="360" w:lineRule="auto"/>
        <w:jc w:val="both"/>
        <w:rPr>
          <w:rFonts w:ascii="Garamond" w:hAnsi="Garamond"/>
          <w:sz w:val="28"/>
          <w:szCs w:val="28"/>
          <w:lang w:val="es-ES_tradnl"/>
        </w:rPr>
      </w:pPr>
      <w:r>
        <w:rPr>
          <w:rFonts w:ascii="Garamond" w:hAnsi="Garamond"/>
          <w:sz w:val="28"/>
          <w:szCs w:val="28"/>
          <w:lang w:val="es-ES_tradnl"/>
        </w:rPr>
        <w:t xml:space="preserve">                   </w:t>
      </w:r>
      <w:r w:rsidR="00B949D1" w:rsidRPr="002423B2">
        <w:rPr>
          <w:rFonts w:ascii="Garamond" w:hAnsi="Garamond"/>
          <w:sz w:val="28"/>
          <w:szCs w:val="28"/>
          <w:lang w:val="es-ES_tradnl"/>
        </w:rPr>
        <w:t>b) afecten el correcto funcionamiento del producto que</w:t>
      </w:r>
      <w:r w:rsidR="004821BD" w:rsidRPr="002423B2">
        <w:rPr>
          <w:rFonts w:ascii="Garamond" w:hAnsi="Garamond"/>
          <w:sz w:val="28"/>
          <w:szCs w:val="28"/>
          <w:lang w:val="es-ES_tradnl"/>
        </w:rPr>
        <w:t xml:space="preserve"> es objeto del acto de consumo.</w:t>
      </w:r>
    </w:p>
    <w:p w:rsidR="00B949D1" w:rsidRDefault="00B949D1" w:rsidP="002423B2">
      <w:pPr>
        <w:pStyle w:val="Prrafodelista"/>
        <w:numPr>
          <w:ilvl w:val="0"/>
          <w:numId w:val="4"/>
        </w:numPr>
        <w:spacing w:after="200" w:line="360" w:lineRule="auto"/>
        <w:jc w:val="both"/>
        <w:rPr>
          <w:rFonts w:ascii="Garamond" w:eastAsia="Calibri" w:hAnsi="Garamond" w:cs="Arial"/>
          <w:sz w:val="28"/>
          <w:szCs w:val="28"/>
        </w:rPr>
      </w:pPr>
      <w:r w:rsidRPr="002423B2">
        <w:rPr>
          <w:rFonts w:ascii="Garamond" w:eastAsia="Calibri" w:hAnsi="Garamond" w:cs="Arial"/>
          <w:sz w:val="28"/>
          <w:szCs w:val="28"/>
        </w:rPr>
        <w:lastRenderedPageBreak/>
        <w:t xml:space="preserve">El plazo de la garantía legal </w:t>
      </w:r>
      <w:r w:rsidR="004821BD" w:rsidRPr="002423B2">
        <w:rPr>
          <w:rFonts w:ascii="Garamond" w:eastAsia="Calibri" w:hAnsi="Garamond" w:cs="Arial"/>
          <w:sz w:val="28"/>
          <w:szCs w:val="28"/>
        </w:rPr>
        <w:t>será</w:t>
      </w:r>
      <w:r w:rsidRPr="002423B2">
        <w:rPr>
          <w:rFonts w:ascii="Garamond" w:eastAsia="Calibri" w:hAnsi="Garamond" w:cs="Arial"/>
          <w:sz w:val="28"/>
          <w:szCs w:val="28"/>
        </w:rPr>
        <w:t xml:space="preserve"> de 3 meses para los bienes muebles durables usados y de 2 años para los nuevos, contados desde su entrega.</w:t>
      </w:r>
    </w:p>
    <w:p w:rsidR="002423B2" w:rsidRDefault="004821BD" w:rsidP="002423B2">
      <w:pPr>
        <w:pStyle w:val="Prrafodelista"/>
        <w:numPr>
          <w:ilvl w:val="0"/>
          <w:numId w:val="4"/>
        </w:numPr>
        <w:spacing w:after="200" w:line="360" w:lineRule="auto"/>
        <w:jc w:val="both"/>
        <w:rPr>
          <w:rFonts w:ascii="Garamond" w:eastAsia="Calibri" w:hAnsi="Garamond" w:cs="Arial"/>
          <w:sz w:val="28"/>
          <w:szCs w:val="28"/>
        </w:rPr>
      </w:pPr>
      <w:r w:rsidRPr="002423B2">
        <w:rPr>
          <w:rFonts w:ascii="Garamond" w:eastAsia="Calibri" w:hAnsi="Garamond" w:cs="Arial"/>
          <w:sz w:val="28"/>
          <w:szCs w:val="28"/>
        </w:rPr>
        <w:t>Se establece la p</w:t>
      </w:r>
      <w:r w:rsidR="00B949D1" w:rsidRPr="002423B2">
        <w:rPr>
          <w:rFonts w:ascii="Garamond" w:eastAsia="Calibri" w:hAnsi="Garamond" w:cs="Arial"/>
          <w:sz w:val="28"/>
          <w:szCs w:val="28"/>
        </w:rPr>
        <w:t xml:space="preserve">osibilidad para el proveedor de excusarse probando que el defecto o vicio proviene del mal uso u otra causa posterior a la entrega. </w:t>
      </w:r>
      <w:r w:rsidR="002423B2">
        <w:rPr>
          <w:rFonts w:ascii="Garamond" w:eastAsia="Calibri" w:hAnsi="Garamond" w:cs="Arial"/>
          <w:sz w:val="28"/>
          <w:szCs w:val="28"/>
        </w:rPr>
        <w:t>Eso si</w:t>
      </w:r>
      <w:r w:rsidR="00B949D1" w:rsidRPr="002423B2">
        <w:rPr>
          <w:rFonts w:ascii="Garamond" w:eastAsia="Calibri" w:hAnsi="Garamond" w:cs="Arial"/>
          <w:sz w:val="28"/>
          <w:szCs w:val="28"/>
        </w:rPr>
        <w:t xml:space="preserve"> la causa basal</w:t>
      </w:r>
      <w:r w:rsidR="002423B2">
        <w:rPr>
          <w:rFonts w:ascii="Garamond" w:eastAsia="Calibri" w:hAnsi="Garamond" w:cs="Arial"/>
          <w:sz w:val="28"/>
          <w:szCs w:val="28"/>
        </w:rPr>
        <w:t xml:space="preserve"> debe ser anterior a la entrega. Debe regularse de mejor manera esto.</w:t>
      </w:r>
    </w:p>
    <w:p w:rsidR="00B949D1" w:rsidRDefault="002423B2" w:rsidP="002423B2">
      <w:pPr>
        <w:pStyle w:val="Prrafodelista"/>
        <w:numPr>
          <w:ilvl w:val="0"/>
          <w:numId w:val="4"/>
        </w:numPr>
        <w:spacing w:after="200" w:line="360" w:lineRule="auto"/>
        <w:jc w:val="both"/>
        <w:rPr>
          <w:rFonts w:ascii="Garamond" w:eastAsia="Calibri" w:hAnsi="Garamond" w:cs="Arial"/>
          <w:sz w:val="28"/>
          <w:szCs w:val="28"/>
        </w:rPr>
      </w:pPr>
      <w:r>
        <w:rPr>
          <w:rFonts w:ascii="Garamond" w:eastAsia="Calibri" w:hAnsi="Garamond" w:cs="Arial"/>
          <w:sz w:val="28"/>
          <w:szCs w:val="28"/>
        </w:rPr>
        <w:t xml:space="preserve">Se prohíbe </w:t>
      </w:r>
      <w:r w:rsidR="00B949D1" w:rsidRPr="002423B2">
        <w:rPr>
          <w:rFonts w:ascii="Garamond" w:eastAsia="Calibri" w:hAnsi="Garamond" w:cs="Arial"/>
          <w:sz w:val="28"/>
          <w:szCs w:val="28"/>
        </w:rPr>
        <w:t>condicionar el derecho a la garantía a la realización de mantenciones del producto exclusivamente en el servicio técnico autorizado.</w:t>
      </w:r>
      <w:r>
        <w:rPr>
          <w:rFonts w:ascii="Garamond" w:eastAsia="Calibri" w:hAnsi="Garamond" w:cs="Arial"/>
          <w:sz w:val="28"/>
          <w:szCs w:val="28"/>
        </w:rPr>
        <w:t xml:space="preserve"> Esto tendrá efectos en las automotoras, que sólo cubren garantía en estos casos.</w:t>
      </w:r>
    </w:p>
    <w:p w:rsidR="002423B2" w:rsidRPr="002423B2" w:rsidRDefault="002423B2" w:rsidP="004821BD">
      <w:pPr>
        <w:pStyle w:val="Prrafodelista"/>
        <w:numPr>
          <w:ilvl w:val="0"/>
          <w:numId w:val="4"/>
        </w:numPr>
        <w:spacing w:after="200" w:line="360" w:lineRule="auto"/>
        <w:jc w:val="both"/>
        <w:rPr>
          <w:rFonts w:ascii="Garamond" w:eastAsia="Calibri" w:hAnsi="Garamond" w:cs="Arial"/>
          <w:sz w:val="28"/>
          <w:szCs w:val="28"/>
        </w:rPr>
      </w:pPr>
      <w:r w:rsidRPr="002423B2">
        <w:rPr>
          <w:rFonts w:ascii="Garamond" w:hAnsi="Garamond" w:cs="Arial"/>
          <w:sz w:val="28"/>
          <w:szCs w:val="28"/>
        </w:rPr>
        <w:t>Serán solidariamente responsables por los perjuicios ocasionados al consumidor el proveedor que haya comercializado el bien o producto, el productor que lo hubiere elaborado en territorio nacional, y el importador que lo haya vendido o suministrado el proveedor, en su caso.</w:t>
      </w:r>
    </w:p>
    <w:p w:rsidR="00B949D1" w:rsidRDefault="002423B2" w:rsidP="004821BD">
      <w:pPr>
        <w:pStyle w:val="Prrafodelista"/>
        <w:numPr>
          <w:ilvl w:val="0"/>
          <w:numId w:val="4"/>
        </w:numPr>
        <w:spacing w:after="200" w:line="360" w:lineRule="auto"/>
        <w:jc w:val="both"/>
        <w:rPr>
          <w:rFonts w:ascii="Garamond" w:eastAsia="Calibri" w:hAnsi="Garamond" w:cs="Arial"/>
          <w:sz w:val="28"/>
          <w:szCs w:val="28"/>
        </w:rPr>
      </w:pPr>
      <w:r>
        <w:rPr>
          <w:rFonts w:ascii="Garamond" w:hAnsi="Garamond" w:cs="Arial"/>
          <w:sz w:val="28"/>
          <w:szCs w:val="28"/>
        </w:rPr>
        <w:t xml:space="preserve">El consumidor podrá elegir </w:t>
      </w:r>
      <w:r w:rsidR="00B949D1" w:rsidRPr="002423B2">
        <w:rPr>
          <w:rFonts w:ascii="Garamond" w:eastAsia="Calibri" w:hAnsi="Garamond" w:cs="Arial"/>
          <w:sz w:val="28"/>
          <w:szCs w:val="28"/>
        </w:rPr>
        <w:t>entre la garantía legal o la voluntaria a su conveniencia, en caso de existir ambas.</w:t>
      </w:r>
    </w:p>
    <w:p w:rsidR="00B949D1" w:rsidRDefault="002423B2" w:rsidP="004821BD">
      <w:pPr>
        <w:pStyle w:val="Prrafodelista"/>
        <w:numPr>
          <w:ilvl w:val="0"/>
          <w:numId w:val="4"/>
        </w:numPr>
        <w:spacing w:after="200" w:line="360" w:lineRule="auto"/>
        <w:jc w:val="both"/>
        <w:rPr>
          <w:rFonts w:ascii="Garamond" w:eastAsia="Calibri" w:hAnsi="Garamond" w:cs="Arial"/>
          <w:sz w:val="28"/>
          <w:szCs w:val="28"/>
        </w:rPr>
      </w:pPr>
      <w:r w:rsidRPr="002423B2">
        <w:rPr>
          <w:rFonts w:ascii="Garamond" w:eastAsia="Calibri" w:hAnsi="Garamond" w:cs="Arial"/>
          <w:sz w:val="28"/>
          <w:szCs w:val="28"/>
        </w:rPr>
        <w:t>Se</w:t>
      </w:r>
      <w:r>
        <w:rPr>
          <w:rFonts w:ascii="Garamond" w:eastAsia="Calibri" w:hAnsi="Garamond" w:cs="Arial"/>
          <w:sz w:val="28"/>
          <w:szCs w:val="28"/>
        </w:rPr>
        <w:t xml:space="preserve"> exige</w:t>
      </w:r>
      <w:r w:rsidR="00B949D1" w:rsidRPr="002423B2">
        <w:rPr>
          <w:rFonts w:ascii="Garamond" w:eastAsia="Calibri" w:hAnsi="Garamond" w:cs="Arial"/>
          <w:sz w:val="28"/>
          <w:szCs w:val="28"/>
        </w:rPr>
        <w:t xml:space="preserve"> la entrega de un certificado de garantía con menciones mínimas obligatorias.</w:t>
      </w:r>
      <w:r>
        <w:rPr>
          <w:rFonts w:ascii="Garamond" w:eastAsia="Calibri" w:hAnsi="Garamond" w:cs="Arial"/>
          <w:sz w:val="28"/>
          <w:szCs w:val="28"/>
        </w:rPr>
        <w:t xml:space="preserve"> </w:t>
      </w:r>
      <w:r w:rsidR="00B949D1" w:rsidRPr="002423B2">
        <w:rPr>
          <w:rFonts w:ascii="Garamond" w:eastAsia="Calibri" w:hAnsi="Garamond" w:cs="Arial"/>
          <w:sz w:val="28"/>
          <w:szCs w:val="28"/>
        </w:rPr>
        <w:t>En caso de reparación, exigencia de entrega de una constancia de reparación con menciones mínimas.</w:t>
      </w:r>
    </w:p>
    <w:p w:rsidR="00B949D1" w:rsidRPr="002423B2" w:rsidRDefault="002423B2" w:rsidP="004821BD">
      <w:pPr>
        <w:pStyle w:val="Prrafodelista"/>
        <w:numPr>
          <w:ilvl w:val="0"/>
          <w:numId w:val="4"/>
        </w:numPr>
        <w:spacing w:after="200" w:line="360" w:lineRule="auto"/>
        <w:jc w:val="both"/>
        <w:rPr>
          <w:rFonts w:ascii="Garamond" w:eastAsia="Calibri" w:hAnsi="Garamond" w:cs="Arial"/>
          <w:sz w:val="28"/>
          <w:szCs w:val="28"/>
        </w:rPr>
      </w:pPr>
      <w:r>
        <w:rPr>
          <w:rFonts w:ascii="Garamond" w:eastAsia="Calibri" w:hAnsi="Garamond" w:cs="Arial"/>
          <w:sz w:val="28"/>
          <w:szCs w:val="28"/>
        </w:rPr>
        <w:t xml:space="preserve">Se suspende </w:t>
      </w:r>
      <w:r w:rsidR="00B949D1" w:rsidRPr="002423B2">
        <w:rPr>
          <w:rFonts w:ascii="Garamond" w:eastAsia="Calibri" w:hAnsi="Garamond" w:cs="Arial"/>
          <w:sz w:val="28"/>
          <w:szCs w:val="28"/>
        </w:rPr>
        <w:t>el plazo de la garantía legal durante el periodo en que el consumidor esté privado del uso del bien.</w:t>
      </w:r>
    </w:p>
    <w:p w:rsidR="00B949D1" w:rsidRPr="002423B2" w:rsidRDefault="00B949D1" w:rsidP="004821BD">
      <w:pPr>
        <w:spacing w:after="200" w:line="360" w:lineRule="auto"/>
        <w:jc w:val="both"/>
        <w:rPr>
          <w:rFonts w:ascii="Garamond" w:eastAsia="Calibri" w:hAnsi="Garamond" w:cs="Arial"/>
          <w:sz w:val="28"/>
          <w:szCs w:val="28"/>
        </w:rPr>
      </w:pPr>
    </w:p>
    <w:p w:rsidR="00B949D1" w:rsidRPr="002423B2" w:rsidRDefault="00B949D1" w:rsidP="002423B2">
      <w:pPr>
        <w:pStyle w:val="Prrafodelista"/>
        <w:numPr>
          <w:ilvl w:val="0"/>
          <w:numId w:val="1"/>
        </w:numPr>
        <w:spacing w:line="360" w:lineRule="auto"/>
        <w:rPr>
          <w:rFonts w:ascii="Garamond" w:hAnsi="Garamond"/>
          <w:sz w:val="28"/>
          <w:szCs w:val="28"/>
        </w:rPr>
      </w:pPr>
      <w:bookmarkStart w:id="0" w:name="_GoBack"/>
      <w:r w:rsidRPr="00C77803">
        <w:rPr>
          <w:rFonts w:ascii="Garamond" w:hAnsi="Garamond"/>
          <w:b/>
          <w:sz w:val="28"/>
          <w:szCs w:val="28"/>
          <w:u w:val="single"/>
        </w:rPr>
        <w:t>Comentarios</w:t>
      </w:r>
      <w:bookmarkEnd w:id="0"/>
      <w:r w:rsidR="002423B2">
        <w:rPr>
          <w:rFonts w:ascii="Garamond" w:hAnsi="Garamond"/>
          <w:sz w:val="28"/>
          <w:szCs w:val="28"/>
        </w:rPr>
        <w:t>.</w:t>
      </w:r>
    </w:p>
    <w:p w:rsidR="00C77803" w:rsidRDefault="00C77803" w:rsidP="00C77803">
      <w:pPr>
        <w:pStyle w:val="Prrafodelista"/>
        <w:numPr>
          <w:ilvl w:val="0"/>
          <w:numId w:val="6"/>
        </w:numPr>
        <w:spacing w:after="200" w:line="360" w:lineRule="auto"/>
        <w:jc w:val="both"/>
        <w:rPr>
          <w:rFonts w:ascii="Garamond" w:eastAsia="Calibri" w:hAnsi="Garamond" w:cs="Arial"/>
          <w:sz w:val="28"/>
          <w:szCs w:val="28"/>
        </w:rPr>
      </w:pPr>
      <w:r w:rsidRPr="00C77803">
        <w:rPr>
          <w:rFonts w:ascii="Garamond" w:eastAsia="Calibri" w:hAnsi="Garamond" w:cs="Arial"/>
          <w:sz w:val="28"/>
          <w:szCs w:val="28"/>
        </w:rPr>
        <w:t xml:space="preserve">El proyecto avanza en el establecimiento de un plazo mayor de garantía legal para bienes durables, hoy es de sólo 6 meses. </w:t>
      </w:r>
      <w:r w:rsidRPr="00C77803">
        <w:rPr>
          <w:rFonts w:ascii="Garamond" w:eastAsia="Calibri" w:hAnsi="Garamond" w:cs="Arial"/>
          <w:sz w:val="28"/>
          <w:szCs w:val="28"/>
        </w:rPr>
        <w:tab/>
        <w:t xml:space="preserve">Lo central es cautelar el derecho a la calidad e idoneidad del bien durable, más allá de la identidad </w:t>
      </w:r>
      <w:r w:rsidRPr="00C77803">
        <w:rPr>
          <w:rFonts w:ascii="Garamond" w:eastAsia="Calibri" w:hAnsi="Garamond" w:cs="Arial"/>
          <w:sz w:val="28"/>
          <w:szCs w:val="28"/>
        </w:rPr>
        <w:lastRenderedPageBreak/>
        <w:t>entre lo ofrecido y lo entregado. Podría incorporarse el derecho a un bien de reemplazo, mientras el producto está siendo reparado.</w:t>
      </w:r>
    </w:p>
    <w:p w:rsidR="00B949D1" w:rsidRDefault="00C77803" w:rsidP="00C77803">
      <w:pPr>
        <w:pStyle w:val="Prrafodelista"/>
        <w:numPr>
          <w:ilvl w:val="0"/>
          <w:numId w:val="6"/>
        </w:numPr>
        <w:spacing w:after="200" w:line="360" w:lineRule="auto"/>
        <w:jc w:val="both"/>
        <w:rPr>
          <w:rFonts w:ascii="Garamond" w:eastAsia="Calibri" w:hAnsi="Garamond" w:cs="Arial"/>
          <w:sz w:val="28"/>
          <w:szCs w:val="28"/>
        </w:rPr>
      </w:pPr>
      <w:r w:rsidRPr="00C77803">
        <w:rPr>
          <w:rFonts w:ascii="Garamond" w:hAnsi="Garamond"/>
          <w:sz w:val="28"/>
          <w:szCs w:val="28"/>
        </w:rPr>
        <w:t>La propuesta</w:t>
      </w:r>
      <w:r w:rsidR="002423B2" w:rsidRPr="00C77803">
        <w:rPr>
          <w:rFonts w:ascii="Garamond" w:hAnsi="Garamond"/>
          <w:sz w:val="28"/>
          <w:szCs w:val="28"/>
        </w:rPr>
        <w:t xml:space="preserve"> recibió el apoyo del </w:t>
      </w:r>
      <w:proofErr w:type="spellStart"/>
      <w:r w:rsidR="002423B2" w:rsidRPr="00C77803">
        <w:rPr>
          <w:rFonts w:ascii="Garamond" w:hAnsi="Garamond"/>
          <w:sz w:val="28"/>
          <w:szCs w:val="28"/>
        </w:rPr>
        <w:t>Sernac</w:t>
      </w:r>
      <w:proofErr w:type="spellEnd"/>
      <w:r w:rsidR="002423B2" w:rsidRPr="00C77803">
        <w:rPr>
          <w:rFonts w:ascii="Garamond" w:hAnsi="Garamond"/>
          <w:sz w:val="28"/>
          <w:szCs w:val="28"/>
        </w:rPr>
        <w:t xml:space="preserve"> al</w:t>
      </w:r>
      <w:r w:rsidR="00B949D1" w:rsidRPr="00C77803">
        <w:rPr>
          <w:rFonts w:ascii="Garamond" w:eastAsia="Calibri" w:hAnsi="Garamond" w:cs="Arial"/>
          <w:sz w:val="28"/>
          <w:szCs w:val="28"/>
        </w:rPr>
        <w:t xml:space="preserve"> fortalece</w:t>
      </w:r>
      <w:r w:rsidR="002423B2" w:rsidRPr="00C77803">
        <w:rPr>
          <w:rFonts w:ascii="Garamond" w:eastAsia="Calibri" w:hAnsi="Garamond" w:cs="Arial"/>
          <w:sz w:val="28"/>
          <w:szCs w:val="28"/>
        </w:rPr>
        <w:t>r</w:t>
      </w:r>
      <w:r w:rsidR="00B949D1" w:rsidRPr="00C77803">
        <w:rPr>
          <w:rFonts w:ascii="Garamond" w:eastAsia="Calibri" w:hAnsi="Garamond" w:cs="Arial"/>
          <w:sz w:val="28"/>
          <w:szCs w:val="28"/>
        </w:rPr>
        <w:t xml:space="preserve"> los derechos de los consumidores en esta materia. Planteó </w:t>
      </w:r>
      <w:r w:rsidR="002423B2" w:rsidRPr="00C77803">
        <w:rPr>
          <w:rFonts w:ascii="Garamond" w:eastAsia="Calibri" w:hAnsi="Garamond" w:cs="Arial"/>
          <w:sz w:val="28"/>
          <w:szCs w:val="28"/>
        </w:rPr>
        <w:t xml:space="preserve">que podría </w:t>
      </w:r>
      <w:r w:rsidRPr="00C77803">
        <w:rPr>
          <w:rFonts w:ascii="Garamond" w:eastAsia="Calibri" w:hAnsi="Garamond" w:cs="Arial"/>
          <w:sz w:val="28"/>
          <w:szCs w:val="28"/>
        </w:rPr>
        <w:t xml:space="preserve">incorporarse </w:t>
      </w:r>
      <w:r w:rsidR="00B949D1" w:rsidRPr="00C77803">
        <w:rPr>
          <w:rFonts w:ascii="Garamond" w:eastAsia="Calibri" w:hAnsi="Garamond" w:cs="Arial"/>
          <w:sz w:val="28"/>
          <w:szCs w:val="28"/>
        </w:rPr>
        <w:t>en esa normativa mejoras y avances respecto de los bienes durables, en lugar de agregar un estatuto propio.</w:t>
      </w:r>
      <w:r w:rsidR="00F91AB3" w:rsidRPr="00C77803">
        <w:rPr>
          <w:rFonts w:ascii="Garamond" w:eastAsia="Calibri" w:hAnsi="Garamond" w:cs="Arial"/>
          <w:sz w:val="28"/>
          <w:szCs w:val="28"/>
        </w:rPr>
        <w:t xml:space="preserve"> </w:t>
      </w:r>
      <w:r w:rsidRPr="00C77803">
        <w:rPr>
          <w:rFonts w:ascii="Garamond" w:eastAsia="Calibri" w:hAnsi="Garamond" w:cs="Arial"/>
          <w:sz w:val="28"/>
          <w:szCs w:val="28"/>
        </w:rPr>
        <w:t>Su c</w:t>
      </w:r>
      <w:r w:rsidR="00F91AB3" w:rsidRPr="00C77803">
        <w:rPr>
          <w:rFonts w:ascii="Garamond" w:eastAsia="Calibri" w:hAnsi="Garamond" w:cs="Arial"/>
          <w:sz w:val="28"/>
          <w:szCs w:val="28"/>
        </w:rPr>
        <w:t>oncepto es demasiado amplio.</w:t>
      </w:r>
    </w:p>
    <w:p w:rsidR="00F91AB3" w:rsidRPr="00C77803" w:rsidRDefault="00C77803" w:rsidP="00C77803">
      <w:pPr>
        <w:pStyle w:val="Prrafodelista"/>
        <w:numPr>
          <w:ilvl w:val="0"/>
          <w:numId w:val="6"/>
        </w:numPr>
        <w:spacing w:after="200" w:line="360" w:lineRule="auto"/>
        <w:jc w:val="both"/>
        <w:rPr>
          <w:rFonts w:ascii="Garamond" w:eastAsia="Calibri" w:hAnsi="Garamond" w:cs="Arial"/>
          <w:sz w:val="28"/>
          <w:szCs w:val="28"/>
        </w:rPr>
      </w:pPr>
      <w:r w:rsidRPr="00C77803">
        <w:rPr>
          <w:rFonts w:ascii="Garamond" w:eastAsia="Calibri" w:hAnsi="Garamond" w:cs="Arial"/>
          <w:sz w:val="28"/>
          <w:szCs w:val="28"/>
        </w:rPr>
        <w:t xml:space="preserve">Para las empresas del </w:t>
      </w:r>
      <w:proofErr w:type="spellStart"/>
      <w:r w:rsidRPr="00C77803">
        <w:rPr>
          <w:rFonts w:ascii="Garamond" w:eastAsia="Calibri" w:hAnsi="Garamond" w:cs="Arial"/>
          <w:sz w:val="28"/>
          <w:szCs w:val="28"/>
        </w:rPr>
        <w:t>retail</w:t>
      </w:r>
      <w:proofErr w:type="spellEnd"/>
      <w:r w:rsidRPr="00C77803">
        <w:rPr>
          <w:rFonts w:ascii="Garamond" w:eastAsia="Calibri" w:hAnsi="Garamond" w:cs="Arial"/>
          <w:sz w:val="28"/>
          <w:szCs w:val="28"/>
        </w:rPr>
        <w:t xml:space="preserve"> y automotoras l</w:t>
      </w:r>
      <w:r w:rsidR="00F91AB3" w:rsidRPr="00C77803">
        <w:rPr>
          <w:rFonts w:ascii="Garamond" w:hAnsi="Garamond" w:cs="Arial"/>
          <w:sz w:val="28"/>
          <w:szCs w:val="28"/>
          <w:lang w:val="es-ES_tradnl"/>
        </w:rPr>
        <w:t>a garantí</w:t>
      </w:r>
      <w:r w:rsidRPr="00C77803">
        <w:rPr>
          <w:rFonts w:ascii="Garamond" w:hAnsi="Garamond" w:cs="Arial"/>
          <w:sz w:val="28"/>
          <w:szCs w:val="28"/>
          <w:lang w:val="es-ES_tradnl"/>
        </w:rPr>
        <w:t xml:space="preserve">a de dos años pareciera </w:t>
      </w:r>
      <w:r w:rsidR="00F91AB3" w:rsidRPr="00C77803">
        <w:rPr>
          <w:rFonts w:ascii="Garamond" w:hAnsi="Garamond" w:cs="Arial"/>
          <w:sz w:val="28"/>
          <w:szCs w:val="28"/>
          <w:lang w:val="es-ES_tradnl"/>
        </w:rPr>
        <w:t>exagerada.</w:t>
      </w:r>
    </w:p>
    <w:p w:rsidR="00362EA4" w:rsidRPr="00C77803" w:rsidRDefault="00C77803" w:rsidP="00C77803">
      <w:pPr>
        <w:pStyle w:val="Prrafodelista"/>
        <w:numPr>
          <w:ilvl w:val="0"/>
          <w:numId w:val="6"/>
        </w:numPr>
        <w:spacing w:after="200" w:line="360" w:lineRule="auto"/>
        <w:jc w:val="both"/>
        <w:rPr>
          <w:rFonts w:ascii="Garamond" w:eastAsia="Calibri" w:hAnsi="Garamond" w:cs="Arial"/>
          <w:sz w:val="28"/>
          <w:szCs w:val="28"/>
        </w:rPr>
      </w:pPr>
      <w:r w:rsidRPr="00C77803">
        <w:rPr>
          <w:rFonts w:ascii="Garamond" w:hAnsi="Garamond" w:cs="Arial"/>
          <w:sz w:val="28"/>
          <w:szCs w:val="28"/>
          <w:lang w:val="es-ES_tradnl"/>
        </w:rPr>
        <w:t>Se propone</w:t>
      </w:r>
      <w:r w:rsidR="00362EA4" w:rsidRPr="00C77803">
        <w:rPr>
          <w:rFonts w:ascii="Garamond" w:eastAsia="Calibri" w:hAnsi="Garamond" w:cs="Arial"/>
          <w:sz w:val="28"/>
          <w:szCs w:val="28"/>
        </w:rPr>
        <w:t xml:space="preserve"> incluir </w:t>
      </w:r>
      <w:r>
        <w:rPr>
          <w:rFonts w:ascii="Garamond" w:eastAsia="Calibri" w:hAnsi="Garamond" w:cs="Arial"/>
          <w:sz w:val="28"/>
          <w:szCs w:val="28"/>
        </w:rPr>
        <w:t xml:space="preserve">en las indicaciones </w:t>
      </w:r>
      <w:r w:rsidR="00362EA4" w:rsidRPr="00C77803">
        <w:rPr>
          <w:rFonts w:ascii="Garamond" w:eastAsia="Calibri" w:hAnsi="Garamond" w:cs="Arial"/>
          <w:sz w:val="28"/>
          <w:szCs w:val="28"/>
        </w:rPr>
        <w:t>un aumento del plazo para iniciar acciones</w:t>
      </w:r>
      <w:r w:rsidRPr="00C77803">
        <w:rPr>
          <w:rFonts w:ascii="Garamond" w:eastAsia="Calibri" w:hAnsi="Garamond" w:cs="Arial"/>
          <w:sz w:val="28"/>
          <w:szCs w:val="28"/>
        </w:rPr>
        <w:t xml:space="preserve"> en estos casos</w:t>
      </w:r>
      <w:r w:rsidR="00362EA4" w:rsidRPr="00C77803">
        <w:rPr>
          <w:rFonts w:ascii="Garamond" w:eastAsia="Calibri" w:hAnsi="Garamond" w:cs="Arial"/>
          <w:sz w:val="28"/>
          <w:szCs w:val="28"/>
        </w:rPr>
        <w:t>. Los plazos para ejercer las acciones que la ley entrega hoy son exiguos, en efecto, el plazo de seis meses establecido en el actual artículo 26, resulta insuficiente no solo para las demandas individuales sino por sobre todo para las demandas colectivas</w:t>
      </w:r>
    </w:p>
    <w:p w:rsidR="00B949D1" w:rsidRPr="002423B2" w:rsidRDefault="00B949D1" w:rsidP="004821BD">
      <w:pPr>
        <w:spacing w:line="360" w:lineRule="auto"/>
        <w:ind w:left="360"/>
        <w:rPr>
          <w:rFonts w:ascii="Garamond" w:hAnsi="Garamond"/>
          <w:sz w:val="28"/>
          <w:szCs w:val="28"/>
        </w:rPr>
      </w:pPr>
    </w:p>
    <w:p w:rsidR="00B949D1" w:rsidRPr="002423B2" w:rsidRDefault="00B949D1" w:rsidP="004821BD">
      <w:pPr>
        <w:pStyle w:val="Prrafodelista"/>
        <w:spacing w:line="360" w:lineRule="auto"/>
        <w:ind w:left="1080"/>
        <w:rPr>
          <w:rFonts w:ascii="Garamond" w:hAnsi="Garamond"/>
          <w:sz w:val="28"/>
          <w:szCs w:val="28"/>
        </w:rPr>
      </w:pPr>
    </w:p>
    <w:sectPr w:rsidR="00B949D1" w:rsidRPr="002423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7606"/>
    <w:multiLevelType w:val="singleLevel"/>
    <w:tmpl w:val="3796C21E"/>
    <w:lvl w:ilvl="0">
      <w:start w:val="1"/>
      <w:numFmt w:val="upperRoman"/>
      <w:pStyle w:val="Ttulo1"/>
      <w:lvlText w:val="%1."/>
      <w:lvlJc w:val="left"/>
      <w:pPr>
        <w:tabs>
          <w:tab w:val="num" w:pos="3403"/>
        </w:tabs>
        <w:ind w:left="3403" w:hanging="709"/>
      </w:pPr>
      <w:rPr>
        <w:rFonts w:ascii="Courier" w:hAnsi="Courier" w:hint="default"/>
        <w:b/>
        <w:i w:val="0"/>
        <w:caps/>
        <w:strike w:val="0"/>
        <w:dstrike w:val="0"/>
        <w:shadow w:val="0"/>
        <w:emboss w:val="0"/>
        <w:imprint w:val="0"/>
        <w:sz w:val="24"/>
        <w:vertAlign w:val="baseline"/>
      </w:rPr>
    </w:lvl>
  </w:abstractNum>
  <w:abstractNum w:abstractNumId="1" w15:restartNumberingAfterBreak="0">
    <w:nsid w:val="1A74025C"/>
    <w:multiLevelType w:val="hybridMultilevel"/>
    <w:tmpl w:val="65EA56A2"/>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5E1233BC"/>
    <w:multiLevelType w:val="hybridMultilevel"/>
    <w:tmpl w:val="F0DE07B6"/>
    <w:lvl w:ilvl="0" w:tplc="4D6A617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97D3F78"/>
    <w:multiLevelType w:val="hybridMultilevel"/>
    <w:tmpl w:val="5E14A8A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78E07F23"/>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92D1736"/>
    <w:multiLevelType w:val="hybridMultilevel"/>
    <w:tmpl w:val="3BD4B3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D1"/>
    <w:rsid w:val="00146E5A"/>
    <w:rsid w:val="002423B2"/>
    <w:rsid w:val="00362EA4"/>
    <w:rsid w:val="004821BD"/>
    <w:rsid w:val="00B949D1"/>
    <w:rsid w:val="00C77803"/>
    <w:rsid w:val="00F91A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2FC7"/>
  <w15:chartTrackingRefBased/>
  <w15:docId w15:val="{BA8A6775-5D77-4AD4-9CAF-966BB97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Sangra2detindependiente"/>
    <w:link w:val="Ttulo1Car"/>
    <w:qFormat/>
    <w:rsid w:val="00B949D1"/>
    <w:pPr>
      <w:keepNext/>
      <w:numPr>
        <w:numId w:val="2"/>
      </w:numPr>
      <w:tabs>
        <w:tab w:val="left" w:pos="3544"/>
      </w:tabs>
      <w:spacing w:before="240" w:after="120" w:line="240" w:lineRule="auto"/>
      <w:jc w:val="both"/>
      <w:outlineLvl w:val="0"/>
    </w:pPr>
    <w:rPr>
      <w:rFonts w:ascii="Courier" w:eastAsia="Times New Roman" w:hAnsi="Courier" w:cs="Times New Roman"/>
      <w:b/>
      <w:caps/>
      <w:kern w:val="28"/>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rsid w:val="00B949D1"/>
    <w:pPr>
      <w:spacing w:line="240" w:lineRule="exact"/>
    </w:pPr>
    <w:rPr>
      <w:rFonts w:ascii="Verdana" w:eastAsia="Times New Roman" w:hAnsi="Verdana" w:cs="Times New Roman"/>
      <w:spacing w:val="-5"/>
      <w:sz w:val="24"/>
      <w:szCs w:val="24"/>
      <w:lang w:val="en-US"/>
    </w:rPr>
  </w:style>
  <w:style w:type="paragraph" w:styleId="Prrafodelista">
    <w:name w:val="List Paragraph"/>
    <w:basedOn w:val="Normal"/>
    <w:uiPriority w:val="34"/>
    <w:qFormat/>
    <w:rsid w:val="00B949D1"/>
    <w:pPr>
      <w:ind w:left="720"/>
      <w:contextualSpacing/>
    </w:pPr>
  </w:style>
  <w:style w:type="character" w:customStyle="1" w:styleId="Ttulo1Car">
    <w:name w:val="Título 1 Car"/>
    <w:basedOn w:val="Fuentedeprrafopredeter"/>
    <w:link w:val="Ttulo1"/>
    <w:rsid w:val="00B949D1"/>
    <w:rPr>
      <w:rFonts w:ascii="Courier" w:eastAsia="Times New Roman" w:hAnsi="Courier" w:cs="Times New Roman"/>
      <w:b/>
      <w:caps/>
      <w:kern w:val="28"/>
      <w:sz w:val="24"/>
      <w:szCs w:val="20"/>
      <w:lang w:val="es-ES_tradnl" w:eastAsia="es-ES"/>
    </w:rPr>
  </w:style>
  <w:style w:type="paragraph" w:styleId="Sangra2detindependiente">
    <w:name w:val="Body Text Indent 2"/>
    <w:basedOn w:val="Normal"/>
    <w:link w:val="Sangra2detindependienteCar"/>
    <w:uiPriority w:val="99"/>
    <w:semiHidden/>
    <w:unhideWhenUsed/>
    <w:rsid w:val="00B949D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9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556</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1</cp:revision>
  <dcterms:created xsi:type="dcterms:W3CDTF">2017-04-18T14:45:00Z</dcterms:created>
  <dcterms:modified xsi:type="dcterms:W3CDTF">2017-04-18T15:45:00Z</dcterms:modified>
</cp:coreProperties>
</file>