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Pr="00A54C5B" w:rsidRDefault="004D7737" w:rsidP="00750455">
      <w:pPr>
        <w:spacing w:line="360" w:lineRule="auto"/>
        <w:jc w:val="both"/>
        <w:rPr>
          <w:rFonts w:ascii="Garamond" w:hAnsi="Garamond"/>
          <w:b/>
          <w:color w:val="000000" w:themeColor="text1"/>
          <w:sz w:val="28"/>
          <w:szCs w:val="28"/>
        </w:rPr>
      </w:pPr>
      <w:bookmarkStart w:id="0" w:name="_GoBack"/>
      <w:bookmarkEnd w:id="0"/>
      <w:r w:rsidRPr="00A54C5B">
        <w:rPr>
          <w:rFonts w:ascii="Garamond" w:hAnsi="Garamond"/>
          <w:b/>
          <w:color w:val="000000" w:themeColor="text1"/>
          <w:sz w:val="28"/>
          <w:szCs w:val="28"/>
        </w:rPr>
        <w:t xml:space="preserve">Proyecto de Ley iniciado en moción de </w:t>
      </w:r>
      <w:r w:rsidR="00750455">
        <w:rPr>
          <w:rFonts w:ascii="Garamond" w:hAnsi="Garamond"/>
          <w:b/>
          <w:color w:val="000000" w:themeColor="text1"/>
          <w:sz w:val="28"/>
          <w:szCs w:val="28"/>
        </w:rPr>
        <w:t>los Honorables Senadores S</w:t>
      </w:r>
      <w:r w:rsidRPr="00A54C5B">
        <w:rPr>
          <w:rFonts w:ascii="Garamond" w:hAnsi="Garamond"/>
          <w:b/>
          <w:color w:val="000000" w:themeColor="text1"/>
          <w:sz w:val="28"/>
          <w:szCs w:val="28"/>
        </w:rPr>
        <w:t>eñora</w:t>
      </w:r>
      <w:r w:rsidR="00750455">
        <w:rPr>
          <w:rFonts w:ascii="Garamond" w:hAnsi="Garamond"/>
          <w:b/>
          <w:color w:val="000000" w:themeColor="text1"/>
          <w:sz w:val="28"/>
          <w:szCs w:val="28"/>
        </w:rPr>
        <w:t xml:space="preserve"> Isabel</w:t>
      </w:r>
      <w:r w:rsidRPr="00A54C5B">
        <w:rPr>
          <w:rFonts w:ascii="Garamond" w:hAnsi="Garamond"/>
          <w:b/>
          <w:color w:val="000000" w:themeColor="text1"/>
          <w:sz w:val="28"/>
          <w:szCs w:val="28"/>
        </w:rPr>
        <w:t xml:space="preserve"> Allende</w:t>
      </w:r>
      <w:r w:rsidR="00750455">
        <w:rPr>
          <w:rFonts w:ascii="Garamond" w:hAnsi="Garamond"/>
          <w:b/>
          <w:color w:val="000000" w:themeColor="text1"/>
          <w:sz w:val="28"/>
          <w:szCs w:val="28"/>
        </w:rPr>
        <w:t xml:space="preserve"> </w:t>
      </w:r>
      <w:proofErr w:type="spellStart"/>
      <w:r w:rsidR="00750455">
        <w:rPr>
          <w:rFonts w:ascii="Garamond" w:hAnsi="Garamond"/>
          <w:b/>
          <w:color w:val="000000" w:themeColor="text1"/>
          <w:sz w:val="28"/>
          <w:szCs w:val="28"/>
        </w:rPr>
        <w:t>Bussi</w:t>
      </w:r>
      <w:proofErr w:type="spellEnd"/>
      <w:r w:rsidRPr="00A54C5B">
        <w:rPr>
          <w:rFonts w:ascii="Garamond" w:hAnsi="Garamond"/>
          <w:b/>
          <w:color w:val="000000" w:themeColor="text1"/>
          <w:sz w:val="28"/>
          <w:szCs w:val="28"/>
        </w:rPr>
        <w:t>,</w:t>
      </w:r>
      <w:r w:rsidR="00750455">
        <w:rPr>
          <w:rFonts w:ascii="Garamond" w:hAnsi="Garamond"/>
          <w:b/>
          <w:color w:val="000000" w:themeColor="text1"/>
          <w:sz w:val="28"/>
          <w:szCs w:val="28"/>
        </w:rPr>
        <w:t xml:space="preserve"> Señor Pedro Araya Guerrero, Señor Alfonso De Urresti </w:t>
      </w:r>
      <w:proofErr w:type="spellStart"/>
      <w:r w:rsidR="00750455">
        <w:rPr>
          <w:rFonts w:ascii="Garamond" w:hAnsi="Garamond"/>
          <w:b/>
          <w:color w:val="000000" w:themeColor="text1"/>
          <w:sz w:val="28"/>
          <w:szCs w:val="28"/>
        </w:rPr>
        <w:t>Longton</w:t>
      </w:r>
      <w:proofErr w:type="spellEnd"/>
      <w:r w:rsidR="00750455">
        <w:rPr>
          <w:rFonts w:ascii="Garamond" w:hAnsi="Garamond"/>
          <w:b/>
          <w:color w:val="000000" w:themeColor="text1"/>
          <w:sz w:val="28"/>
          <w:szCs w:val="28"/>
        </w:rPr>
        <w:t xml:space="preserve"> y Señora Adriana </w:t>
      </w:r>
      <w:proofErr w:type="spellStart"/>
      <w:r w:rsidR="00750455">
        <w:rPr>
          <w:rFonts w:ascii="Garamond" w:hAnsi="Garamond"/>
          <w:b/>
          <w:color w:val="000000" w:themeColor="text1"/>
          <w:sz w:val="28"/>
          <w:szCs w:val="28"/>
        </w:rPr>
        <w:t>D’Albora</w:t>
      </w:r>
      <w:proofErr w:type="spellEnd"/>
      <w:r w:rsidR="00750455">
        <w:rPr>
          <w:rFonts w:ascii="Garamond" w:hAnsi="Garamond"/>
          <w:b/>
          <w:color w:val="000000" w:themeColor="text1"/>
          <w:sz w:val="28"/>
          <w:szCs w:val="28"/>
        </w:rPr>
        <w:t xml:space="preserve"> </w:t>
      </w:r>
      <w:r w:rsidRPr="00A54C5B">
        <w:rPr>
          <w:rFonts w:ascii="Garamond" w:hAnsi="Garamond"/>
          <w:b/>
          <w:color w:val="000000" w:themeColor="text1"/>
          <w:sz w:val="28"/>
          <w:szCs w:val="28"/>
        </w:rPr>
        <w:t xml:space="preserve"> para modificar el Código Procesal penal y otros cuerpos legales, en lo relativo a la publicidad de los juicios.</w:t>
      </w:r>
    </w:p>
    <w:p w:rsidR="004D7737" w:rsidRPr="00A54C5B" w:rsidRDefault="004D7737" w:rsidP="00750455">
      <w:pPr>
        <w:spacing w:line="360" w:lineRule="auto"/>
        <w:jc w:val="both"/>
        <w:rPr>
          <w:rFonts w:ascii="Garamond" w:hAnsi="Garamond"/>
          <w:b/>
          <w:color w:val="000000" w:themeColor="text1"/>
          <w:sz w:val="28"/>
          <w:szCs w:val="28"/>
        </w:rPr>
      </w:pPr>
    </w:p>
    <w:p w:rsidR="004D7737" w:rsidRPr="00A54C5B" w:rsidRDefault="004D7737" w:rsidP="00750455">
      <w:pPr>
        <w:pStyle w:val="Prrafodelista"/>
        <w:numPr>
          <w:ilvl w:val="0"/>
          <w:numId w:val="1"/>
        </w:numPr>
        <w:spacing w:line="360" w:lineRule="auto"/>
        <w:jc w:val="both"/>
        <w:rPr>
          <w:rFonts w:ascii="Garamond" w:hAnsi="Garamond"/>
          <w:color w:val="000000" w:themeColor="text1"/>
          <w:sz w:val="28"/>
          <w:szCs w:val="28"/>
        </w:rPr>
      </w:pPr>
      <w:r w:rsidRPr="00A54C5B">
        <w:rPr>
          <w:rFonts w:ascii="Garamond" w:hAnsi="Garamond"/>
          <w:b/>
          <w:color w:val="000000" w:themeColor="text1"/>
          <w:sz w:val="28"/>
          <w:szCs w:val="28"/>
          <w:u w:val="single"/>
        </w:rPr>
        <w:t>Fundamentos</w:t>
      </w:r>
      <w:r w:rsidRPr="00A54C5B">
        <w:rPr>
          <w:rFonts w:ascii="Garamond" w:hAnsi="Garamond"/>
          <w:color w:val="000000" w:themeColor="text1"/>
          <w:sz w:val="28"/>
          <w:szCs w:val="28"/>
        </w:rPr>
        <w:t>.</w:t>
      </w:r>
    </w:p>
    <w:p w:rsidR="004D7737" w:rsidRPr="00A54C5B" w:rsidRDefault="004D7737" w:rsidP="00750455">
      <w:pPr>
        <w:spacing w:line="360" w:lineRule="auto"/>
        <w:ind w:firstLine="360"/>
        <w:jc w:val="both"/>
        <w:rPr>
          <w:rFonts w:ascii="Garamond" w:hAnsi="Garamond"/>
          <w:color w:val="000000" w:themeColor="text1"/>
          <w:sz w:val="28"/>
          <w:szCs w:val="28"/>
        </w:rPr>
      </w:pPr>
      <w:r w:rsidRPr="00A54C5B">
        <w:rPr>
          <w:rFonts w:ascii="Garamond" w:hAnsi="Garamond"/>
          <w:color w:val="000000" w:themeColor="text1"/>
          <w:sz w:val="28"/>
          <w:szCs w:val="28"/>
        </w:rPr>
        <w:t xml:space="preserve">En un Estado </w:t>
      </w:r>
      <w:r w:rsidR="00733FAB" w:rsidRPr="00A54C5B">
        <w:rPr>
          <w:rFonts w:ascii="Garamond" w:hAnsi="Garamond"/>
          <w:color w:val="000000" w:themeColor="text1"/>
          <w:sz w:val="28"/>
          <w:szCs w:val="28"/>
        </w:rPr>
        <w:t>Democrático</w:t>
      </w:r>
      <w:r w:rsidRPr="00A54C5B">
        <w:rPr>
          <w:rFonts w:ascii="Garamond" w:hAnsi="Garamond"/>
          <w:color w:val="000000" w:themeColor="text1"/>
          <w:sz w:val="28"/>
          <w:szCs w:val="28"/>
        </w:rPr>
        <w:t xml:space="preserve"> de Derechos, la publicidad de las audiencias en las </w:t>
      </w:r>
      <w:r w:rsidR="00733FAB" w:rsidRPr="00A54C5B">
        <w:rPr>
          <w:rFonts w:ascii="Garamond" w:hAnsi="Garamond"/>
          <w:color w:val="000000" w:themeColor="text1"/>
          <w:sz w:val="28"/>
          <w:szCs w:val="28"/>
        </w:rPr>
        <w:t>que</w:t>
      </w:r>
      <w:r w:rsidRPr="00A54C5B">
        <w:rPr>
          <w:rFonts w:ascii="Garamond" w:hAnsi="Garamond"/>
          <w:color w:val="000000" w:themeColor="text1"/>
          <w:sz w:val="28"/>
          <w:szCs w:val="28"/>
        </w:rPr>
        <w:t xml:space="preserve"> se desarrolla</w:t>
      </w:r>
      <w:r w:rsidR="002444D8" w:rsidRPr="00A54C5B">
        <w:rPr>
          <w:rFonts w:ascii="Garamond" w:hAnsi="Garamond"/>
          <w:color w:val="000000" w:themeColor="text1"/>
          <w:sz w:val="28"/>
          <w:szCs w:val="28"/>
        </w:rPr>
        <w:t>n</w:t>
      </w:r>
      <w:r w:rsidRPr="00A54C5B">
        <w:rPr>
          <w:rFonts w:ascii="Garamond" w:hAnsi="Garamond"/>
          <w:color w:val="000000" w:themeColor="text1"/>
          <w:sz w:val="28"/>
          <w:szCs w:val="28"/>
        </w:rPr>
        <w:t xml:space="preserve"> los juicios</w:t>
      </w:r>
      <w:r w:rsidR="00733FAB" w:rsidRPr="00A54C5B">
        <w:rPr>
          <w:rFonts w:ascii="Garamond" w:hAnsi="Garamond"/>
          <w:color w:val="000000" w:themeColor="text1"/>
          <w:sz w:val="28"/>
          <w:szCs w:val="28"/>
        </w:rPr>
        <w:t>,</w:t>
      </w:r>
      <w:r w:rsidRPr="00A54C5B">
        <w:rPr>
          <w:rFonts w:ascii="Garamond" w:hAnsi="Garamond"/>
          <w:color w:val="000000" w:themeColor="text1"/>
          <w:sz w:val="28"/>
          <w:szCs w:val="28"/>
        </w:rPr>
        <w:t xml:space="preserve"> es un principio</w:t>
      </w:r>
      <w:r w:rsidR="00733FAB" w:rsidRPr="00A54C5B">
        <w:rPr>
          <w:rFonts w:ascii="Garamond" w:hAnsi="Garamond"/>
          <w:color w:val="000000" w:themeColor="text1"/>
          <w:sz w:val="28"/>
          <w:szCs w:val="28"/>
        </w:rPr>
        <w:t xml:space="preserve"> básico</w:t>
      </w:r>
      <w:r w:rsidRPr="00A54C5B">
        <w:rPr>
          <w:rFonts w:ascii="Garamond" w:hAnsi="Garamond"/>
          <w:color w:val="000000" w:themeColor="text1"/>
          <w:sz w:val="28"/>
          <w:szCs w:val="28"/>
        </w:rPr>
        <w:t xml:space="preserve"> del debido proceso, ya que, en primer término, es una garantía de </w:t>
      </w:r>
      <w:r w:rsidR="00733FAB" w:rsidRPr="00A54C5B">
        <w:rPr>
          <w:rFonts w:ascii="Garamond" w:hAnsi="Garamond"/>
          <w:color w:val="000000" w:themeColor="text1"/>
          <w:sz w:val="28"/>
          <w:szCs w:val="28"/>
        </w:rPr>
        <w:t>fiscalización</w:t>
      </w:r>
      <w:r w:rsidRPr="00A54C5B">
        <w:rPr>
          <w:rFonts w:ascii="Garamond" w:hAnsi="Garamond"/>
          <w:color w:val="000000" w:themeColor="text1"/>
          <w:sz w:val="28"/>
          <w:szCs w:val="28"/>
        </w:rPr>
        <w:t xml:space="preserve"> de la actividad jurisdiccional po</w:t>
      </w:r>
      <w:r w:rsidR="00733FAB" w:rsidRPr="00A54C5B">
        <w:rPr>
          <w:rFonts w:ascii="Garamond" w:hAnsi="Garamond"/>
          <w:color w:val="000000" w:themeColor="text1"/>
          <w:sz w:val="28"/>
          <w:szCs w:val="28"/>
        </w:rPr>
        <w:t>r</w:t>
      </w:r>
      <w:r w:rsidRPr="00A54C5B">
        <w:rPr>
          <w:rFonts w:ascii="Garamond" w:hAnsi="Garamond"/>
          <w:color w:val="000000" w:themeColor="text1"/>
          <w:sz w:val="28"/>
          <w:szCs w:val="28"/>
        </w:rPr>
        <w:t xml:space="preserve"> parte de los ciudadanos, </w:t>
      </w:r>
      <w:r w:rsidR="00733FAB" w:rsidRPr="00A54C5B">
        <w:rPr>
          <w:rFonts w:ascii="Garamond" w:hAnsi="Garamond"/>
          <w:color w:val="000000" w:themeColor="text1"/>
          <w:sz w:val="28"/>
          <w:szCs w:val="28"/>
        </w:rPr>
        <w:t>fiscalizando con esto</w:t>
      </w:r>
      <w:r w:rsidRPr="00A54C5B">
        <w:rPr>
          <w:rFonts w:ascii="Garamond" w:hAnsi="Garamond"/>
          <w:color w:val="000000" w:themeColor="text1"/>
          <w:sz w:val="28"/>
          <w:szCs w:val="28"/>
        </w:rPr>
        <w:t xml:space="preserve"> la imparcialidad de los tribunales a la hora de impartir justicia. En segundo lugar, es una garantía de transparencia de la labor de los tribunales, principio que es transversal </w:t>
      </w:r>
      <w:r w:rsidR="00733FAB" w:rsidRPr="00A54C5B">
        <w:rPr>
          <w:rFonts w:ascii="Garamond" w:hAnsi="Garamond"/>
          <w:color w:val="000000" w:themeColor="text1"/>
          <w:sz w:val="28"/>
          <w:szCs w:val="28"/>
        </w:rPr>
        <w:t>en</w:t>
      </w:r>
      <w:r w:rsidRPr="00A54C5B">
        <w:rPr>
          <w:rFonts w:ascii="Garamond" w:hAnsi="Garamond"/>
          <w:color w:val="000000" w:themeColor="text1"/>
          <w:sz w:val="28"/>
          <w:szCs w:val="28"/>
        </w:rPr>
        <w:t xml:space="preserve"> la función de todo organismo público. </w:t>
      </w:r>
    </w:p>
    <w:p w:rsidR="003C188F" w:rsidRPr="00A54C5B" w:rsidRDefault="003C188F" w:rsidP="00750455">
      <w:pPr>
        <w:spacing w:line="360" w:lineRule="auto"/>
        <w:ind w:firstLine="360"/>
        <w:jc w:val="both"/>
        <w:rPr>
          <w:rFonts w:ascii="Garamond" w:hAnsi="Garamond"/>
          <w:color w:val="000000" w:themeColor="text1"/>
          <w:sz w:val="28"/>
          <w:szCs w:val="28"/>
        </w:rPr>
      </w:pPr>
      <w:r w:rsidRPr="00A54C5B">
        <w:rPr>
          <w:rFonts w:ascii="Garamond" w:hAnsi="Garamond"/>
          <w:color w:val="000000" w:themeColor="text1"/>
          <w:sz w:val="28"/>
          <w:szCs w:val="28"/>
        </w:rPr>
        <w:t>Desde</w:t>
      </w:r>
      <w:r w:rsidR="002444D8" w:rsidRPr="00A54C5B">
        <w:rPr>
          <w:rFonts w:ascii="Garamond" w:hAnsi="Garamond"/>
          <w:color w:val="000000" w:themeColor="text1"/>
          <w:sz w:val="28"/>
          <w:szCs w:val="28"/>
        </w:rPr>
        <w:t xml:space="preserve"> ya desde el Siglo XIX, </w:t>
      </w:r>
      <w:r w:rsidRPr="00A54C5B">
        <w:rPr>
          <w:rFonts w:ascii="Garamond" w:hAnsi="Garamond"/>
          <w:color w:val="000000" w:themeColor="text1"/>
          <w:sz w:val="28"/>
          <w:szCs w:val="28"/>
        </w:rPr>
        <w:t xml:space="preserve"> </w:t>
      </w:r>
      <w:r w:rsidR="002444D8" w:rsidRPr="00A54C5B">
        <w:rPr>
          <w:rFonts w:ascii="Garamond" w:hAnsi="Garamond"/>
          <w:color w:val="000000" w:themeColor="text1"/>
          <w:sz w:val="28"/>
          <w:szCs w:val="28"/>
        </w:rPr>
        <w:t>diversos</w:t>
      </w:r>
      <w:r w:rsidRPr="00A54C5B">
        <w:rPr>
          <w:rFonts w:ascii="Garamond" w:hAnsi="Garamond"/>
          <w:color w:val="000000" w:themeColor="text1"/>
          <w:sz w:val="28"/>
          <w:szCs w:val="28"/>
        </w:rPr>
        <w:t xml:space="preserve"> juristas, </w:t>
      </w:r>
      <w:r w:rsidR="002444D8" w:rsidRPr="00A54C5B">
        <w:rPr>
          <w:rFonts w:ascii="Garamond" w:hAnsi="Garamond"/>
          <w:color w:val="000000" w:themeColor="text1"/>
          <w:sz w:val="28"/>
          <w:szCs w:val="28"/>
        </w:rPr>
        <w:t>dentro de los cuales se encuentra</w:t>
      </w:r>
      <w:r w:rsidRPr="00A54C5B">
        <w:rPr>
          <w:rFonts w:ascii="Garamond" w:hAnsi="Garamond"/>
          <w:color w:val="000000" w:themeColor="text1"/>
          <w:sz w:val="28"/>
          <w:szCs w:val="28"/>
        </w:rPr>
        <w:t xml:space="preserve"> </w:t>
      </w:r>
      <w:proofErr w:type="spellStart"/>
      <w:r w:rsidRPr="00A54C5B">
        <w:rPr>
          <w:rFonts w:ascii="Garamond" w:hAnsi="Garamond"/>
          <w:color w:val="000000" w:themeColor="text1"/>
          <w:sz w:val="28"/>
          <w:szCs w:val="28"/>
        </w:rPr>
        <w:t>Beccaria</w:t>
      </w:r>
      <w:proofErr w:type="spellEnd"/>
      <w:r w:rsidRPr="00A54C5B">
        <w:rPr>
          <w:rFonts w:ascii="Garamond" w:hAnsi="Garamond"/>
          <w:color w:val="000000" w:themeColor="text1"/>
          <w:sz w:val="28"/>
          <w:szCs w:val="28"/>
        </w:rPr>
        <w:t>, han impulsado la publicidad de los juicios como una forma de controlar los actos del proceso. En un proceso abierto las pruebas son expuestas al público, mientras que en los procesos cerrados la atención se centra sólo en la relación entre el juez y el imputado. En</w:t>
      </w:r>
      <w:r w:rsidR="00733FAB" w:rsidRPr="00A54C5B">
        <w:rPr>
          <w:rFonts w:ascii="Garamond" w:hAnsi="Garamond"/>
          <w:color w:val="000000" w:themeColor="text1"/>
          <w:sz w:val="28"/>
          <w:szCs w:val="28"/>
        </w:rPr>
        <w:t xml:space="preserve">tonces la presencia de público </w:t>
      </w:r>
      <w:r w:rsidRPr="00A54C5B">
        <w:rPr>
          <w:rFonts w:ascii="Garamond" w:hAnsi="Garamond"/>
          <w:color w:val="000000" w:themeColor="text1"/>
          <w:sz w:val="28"/>
          <w:szCs w:val="28"/>
        </w:rPr>
        <w:t>viene a ser una suerte de garantía para el imputado, para limitar los excesos y arbitrariedad que pudiesen producirse</w:t>
      </w:r>
      <w:r w:rsidR="00733FAB" w:rsidRPr="00A54C5B">
        <w:rPr>
          <w:rFonts w:ascii="Garamond" w:hAnsi="Garamond"/>
          <w:color w:val="000000" w:themeColor="text1"/>
          <w:sz w:val="28"/>
          <w:szCs w:val="28"/>
        </w:rPr>
        <w:t xml:space="preserve"> por parte del Tribunal</w:t>
      </w:r>
      <w:r w:rsidRPr="00A54C5B">
        <w:rPr>
          <w:rFonts w:ascii="Garamond" w:hAnsi="Garamond"/>
          <w:color w:val="000000" w:themeColor="text1"/>
          <w:sz w:val="28"/>
          <w:szCs w:val="28"/>
        </w:rPr>
        <w:t>.</w:t>
      </w:r>
    </w:p>
    <w:p w:rsidR="0090742A" w:rsidRPr="00A54C5B" w:rsidRDefault="00733FAB" w:rsidP="00750455">
      <w:pPr>
        <w:autoSpaceDE w:val="0"/>
        <w:autoSpaceDN w:val="0"/>
        <w:adjustRightInd w:val="0"/>
        <w:spacing w:after="0" w:line="360" w:lineRule="auto"/>
        <w:ind w:firstLine="360"/>
        <w:jc w:val="both"/>
        <w:rPr>
          <w:rFonts w:ascii="Garamond" w:hAnsi="Garamond"/>
          <w:color w:val="000000" w:themeColor="text1"/>
          <w:sz w:val="28"/>
          <w:szCs w:val="28"/>
          <w:shd w:val="clear" w:color="auto" w:fill="FFFFFF"/>
        </w:rPr>
      </w:pPr>
      <w:r w:rsidRPr="00A54C5B">
        <w:rPr>
          <w:rFonts w:ascii="Garamond" w:hAnsi="Garamond"/>
          <w:color w:val="000000" w:themeColor="text1"/>
          <w:sz w:val="28"/>
          <w:szCs w:val="28"/>
        </w:rPr>
        <w:t>Si bien recalcamos la importancia de la publicidad, no es menor que en ciertas ocasiones</w:t>
      </w:r>
      <w:r w:rsidR="0022736D" w:rsidRPr="00A54C5B">
        <w:rPr>
          <w:rFonts w:ascii="Garamond" w:hAnsi="Garamond"/>
          <w:color w:val="000000" w:themeColor="text1"/>
          <w:sz w:val="28"/>
          <w:szCs w:val="28"/>
        </w:rPr>
        <w:t xml:space="preserve"> el principio de publicidad puede colisionar con </w:t>
      </w:r>
      <w:r w:rsidR="003C188F" w:rsidRPr="00A54C5B">
        <w:rPr>
          <w:rFonts w:ascii="Garamond" w:hAnsi="Garamond"/>
          <w:color w:val="000000" w:themeColor="text1"/>
          <w:sz w:val="28"/>
          <w:szCs w:val="28"/>
        </w:rPr>
        <w:t xml:space="preserve">el derecho a la intimidad, privacidad y honra de parte de los intervinientes. </w:t>
      </w:r>
      <w:r w:rsidR="00F36BFE" w:rsidRPr="00A54C5B">
        <w:rPr>
          <w:rFonts w:ascii="Garamond" w:hAnsi="Garamond"/>
          <w:color w:val="000000" w:themeColor="text1"/>
          <w:sz w:val="28"/>
          <w:szCs w:val="28"/>
        </w:rPr>
        <w:t xml:space="preserve">Nuestra Constitución </w:t>
      </w:r>
      <w:r w:rsidRPr="00A54C5B">
        <w:rPr>
          <w:rFonts w:ascii="Garamond" w:hAnsi="Garamond"/>
          <w:color w:val="000000" w:themeColor="text1"/>
          <w:sz w:val="28"/>
          <w:szCs w:val="28"/>
        </w:rPr>
        <w:t>Política garantiza</w:t>
      </w:r>
      <w:r w:rsidR="00F36BFE" w:rsidRPr="00A54C5B">
        <w:rPr>
          <w:rFonts w:ascii="Garamond" w:hAnsi="Garamond"/>
          <w:color w:val="000000" w:themeColor="text1"/>
          <w:sz w:val="28"/>
          <w:szCs w:val="28"/>
        </w:rPr>
        <w:t xml:space="preserve"> en su </w:t>
      </w:r>
      <w:r w:rsidRPr="00A54C5B">
        <w:rPr>
          <w:rFonts w:ascii="Garamond" w:hAnsi="Garamond"/>
          <w:color w:val="000000" w:themeColor="text1"/>
          <w:sz w:val="28"/>
          <w:szCs w:val="28"/>
        </w:rPr>
        <w:t>artículo</w:t>
      </w:r>
      <w:r w:rsidR="00F36BFE" w:rsidRPr="00A54C5B">
        <w:rPr>
          <w:rFonts w:ascii="Garamond" w:hAnsi="Garamond"/>
          <w:color w:val="000000" w:themeColor="text1"/>
          <w:sz w:val="28"/>
          <w:szCs w:val="28"/>
        </w:rPr>
        <w:t xml:space="preserve"> 19 N° 4: “</w:t>
      </w:r>
      <w:r w:rsidR="00F36BFE" w:rsidRPr="00A54C5B">
        <w:rPr>
          <w:rFonts w:ascii="Garamond" w:hAnsi="Garamond" w:cs="Courier"/>
          <w:i/>
          <w:color w:val="000000" w:themeColor="text1"/>
          <w:sz w:val="28"/>
          <w:szCs w:val="28"/>
        </w:rPr>
        <w:t>El respeto y protecci</w:t>
      </w:r>
      <w:r w:rsidR="009F76A6" w:rsidRPr="00A54C5B">
        <w:rPr>
          <w:rFonts w:ascii="Garamond" w:hAnsi="Garamond" w:cs="Courier"/>
          <w:i/>
          <w:color w:val="000000" w:themeColor="text1"/>
          <w:sz w:val="28"/>
          <w:szCs w:val="28"/>
        </w:rPr>
        <w:t xml:space="preserve">ón a la vida privada y a la </w:t>
      </w:r>
      <w:r w:rsidR="00F36BFE" w:rsidRPr="00A54C5B">
        <w:rPr>
          <w:rFonts w:ascii="Garamond" w:hAnsi="Garamond" w:cs="Courier"/>
          <w:i/>
          <w:color w:val="000000" w:themeColor="text1"/>
          <w:sz w:val="28"/>
          <w:szCs w:val="28"/>
        </w:rPr>
        <w:t>honra de la persona y su fami</w:t>
      </w:r>
      <w:r w:rsidR="009F76A6" w:rsidRPr="00A54C5B">
        <w:rPr>
          <w:rFonts w:ascii="Garamond" w:hAnsi="Garamond" w:cs="Courier"/>
          <w:i/>
          <w:color w:val="000000" w:themeColor="text1"/>
          <w:sz w:val="28"/>
          <w:szCs w:val="28"/>
        </w:rPr>
        <w:t>lia</w:t>
      </w:r>
      <w:r w:rsidR="00F8485B" w:rsidRPr="00A54C5B">
        <w:rPr>
          <w:rFonts w:ascii="Garamond" w:hAnsi="Garamond" w:cs="Courier"/>
          <w:color w:val="000000" w:themeColor="text1"/>
          <w:sz w:val="28"/>
          <w:szCs w:val="28"/>
        </w:rPr>
        <w:t>”</w:t>
      </w:r>
      <w:r w:rsidR="009A4263" w:rsidRPr="00A54C5B">
        <w:rPr>
          <w:rFonts w:ascii="Garamond" w:hAnsi="Garamond" w:cs="Courier"/>
          <w:color w:val="000000" w:themeColor="text1"/>
          <w:sz w:val="28"/>
          <w:szCs w:val="28"/>
        </w:rPr>
        <w:t xml:space="preserve">. La Rae define la intimidad como </w:t>
      </w:r>
      <w:r w:rsidR="0090742A" w:rsidRPr="00A54C5B">
        <w:rPr>
          <w:rFonts w:ascii="Garamond" w:hAnsi="Garamond" w:cs="Courier"/>
          <w:color w:val="000000" w:themeColor="text1"/>
          <w:sz w:val="28"/>
          <w:szCs w:val="28"/>
        </w:rPr>
        <w:t>“</w:t>
      </w:r>
      <w:r w:rsidR="009A4263" w:rsidRPr="00A54C5B">
        <w:rPr>
          <w:rFonts w:ascii="Garamond" w:hAnsi="Garamond" w:cs="Courier"/>
          <w:i/>
          <w:color w:val="000000" w:themeColor="text1"/>
          <w:sz w:val="28"/>
          <w:szCs w:val="28"/>
        </w:rPr>
        <w:t xml:space="preserve">la </w:t>
      </w:r>
      <w:r w:rsidR="009A4263" w:rsidRPr="00A54C5B">
        <w:rPr>
          <w:rFonts w:ascii="Garamond" w:hAnsi="Garamond" w:cs="Arial"/>
          <w:i/>
          <w:iCs/>
          <w:color w:val="000000" w:themeColor="text1"/>
          <w:sz w:val="28"/>
          <w:szCs w:val="28"/>
        </w:rPr>
        <w:t>zona espiritual íntima y reservada de una persona o de un grupo, especialmente de una familia</w:t>
      </w:r>
      <w:r w:rsidR="0090742A" w:rsidRPr="00A54C5B">
        <w:rPr>
          <w:rFonts w:ascii="Garamond" w:hAnsi="Garamond" w:cs="Arial"/>
          <w:i/>
          <w:iCs/>
          <w:color w:val="000000" w:themeColor="text1"/>
          <w:sz w:val="28"/>
          <w:szCs w:val="28"/>
        </w:rPr>
        <w:t xml:space="preserve">”, </w:t>
      </w:r>
      <w:r w:rsidR="0090742A" w:rsidRPr="00A54C5B">
        <w:rPr>
          <w:rFonts w:ascii="Garamond" w:hAnsi="Garamond" w:cs="Arial"/>
          <w:iCs/>
          <w:color w:val="000000" w:themeColor="text1"/>
          <w:sz w:val="28"/>
          <w:szCs w:val="28"/>
        </w:rPr>
        <w:t xml:space="preserve">mientras que lo </w:t>
      </w:r>
      <w:r w:rsidR="0090742A" w:rsidRPr="00A54C5B">
        <w:rPr>
          <w:rFonts w:ascii="Garamond" w:hAnsi="Garamond" w:cs="Arial"/>
          <w:iCs/>
          <w:color w:val="000000" w:themeColor="text1"/>
          <w:sz w:val="28"/>
          <w:szCs w:val="28"/>
        </w:rPr>
        <w:lastRenderedPageBreak/>
        <w:t>privado es lo que se ejecuta a vista de pocos</w:t>
      </w:r>
      <w:r w:rsidR="0090742A" w:rsidRPr="00A54C5B">
        <w:rPr>
          <w:rFonts w:ascii="Garamond" w:hAnsi="Garamond" w:cs="Arial"/>
          <w:i/>
          <w:iCs/>
          <w:color w:val="000000" w:themeColor="text1"/>
          <w:sz w:val="28"/>
          <w:szCs w:val="28"/>
        </w:rPr>
        <w:t xml:space="preserve">. </w:t>
      </w:r>
      <w:r w:rsidR="0090742A" w:rsidRPr="00A54C5B">
        <w:rPr>
          <w:rFonts w:ascii="Garamond" w:hAnsi="Garamond" w:cs="Arial"/>
          <w:iCs/>
          <w:color w:val="000000" w:themeColor="text1"/>
          <w:sz w:val="28"/>
          <w:szCs w:val="28"/>
        </w:rPr>
        <w:t>Es</w:t>
      </w:r>
      <w:r w:rsidR="0090742A" w:rsidRPr="00A54C5B">
        <w:rPr>
          <w:rFonts w:ascii="Garamond" w:hAnsi="Garamond" w:cs="Arial"/>
          <w:i/>
          <w:iCs/>
          <w:color w:val="000000" w:themeColor="text1"/>
          <w:sz w:val="28"/>
          <w:szCs w:val="28"/>
        </w:rPr>
        <w:t xml:space="preserve"> </w:t>
      </w:r>
      <w:r w:rsidR="002444D8" w:rsidRPr="00A54C5B">
        <w:rPr>
          <w:rFonts w:ascii="Garamond" w:hAnsi="Garamond" w:cs="Arial"/>
          <w:iCs/>
          <w:color w:val="000000" w:themeColor="text1"/>
          <w:sz w:val="28"/>
          <w:szCs w:val="28"/>
        </w:rPr>
        <w:t>así como la intimidad</w:t>
      </w:r>
      <w:r w:rsidR="0090742A" w:rsidRPr="00A54C5B">
        <w:rPr>
          <w:rFonts w:ascii="Garamond" w:hAnsi="Garamond" w:cs="Arial"/>
          <w:iCs/>
          <w:color w:val="000000" w:themeColor="text1"/>
          <w:sz w:val="28"/>
          <w:szCs w:val="28"/>
        </w:rPr>
        <w:t xml:space="preserve"> abarca lo más próximo a la personalidad individua</w:t>
      </w:r>
      <w:r w:rsidR="002444D8" w:rsidRPr="00A54C5B">
        <w:rPr>
          <w:rFonts w:ascii="Garamond" w:hAnsi="Garamond" w:cs="Arial"/>
          <w:iCs/>
          <w:color w:val="000000" w:themeColor="text1"/>
          <w:sz w:val="28"/>
          <w:szCs w:val="28"/>
        </w:rPr>
        <w:t>,</w:t>
      </w:r>
      <w:r w:rsidR="0090742A" w:rsidRPr="00A54C5B">
        <w:rPr>
          <w:rFonts w:ascii="Garamond" w:hAnsi="Garamond" w:cs="Arial"/>
          <w:iCs/>
          <w:color w:val="000000" w:themeColor="text1"/>
          <w:sz w:val="28"/>
          <w:szCs w:val="28"/>
        </w:rPr>
        <w:t xml:space="preserve"> mientras que la privacidad abarca la esfera física y material</w:t>
      </w:r>
      <w:r w:rsidR="0090742A" w:rsidRPr="00A54C5B">
        <w:rPr>
          <w:rFonts w:ascii="Garamond" w:hAnsi="Garamond" w:cs="Arial"/>
          <w:i/>
          <w:iCs/>
          <w:color w:val="000000" w:themeColor="text1"/>
          <w:sz w:val="28"/>
          <w:szCs w:val="28"/>
        </w:rPr>
        <w:t xml:space="preserve">. </w:t>
      </w:r>
      <w:r w:rsidRPr="00A54C5B">
        <w:rPr>
          <w:rFonts w:ascii="Garamond" w:hAnsi="Garamond" w:cs="Arial"/>
          <w:i/>
          <w:iCs/>
          <w:color w:val="000000" w:themeColor="text1"/>
          <w:sz w:val="28"/>
          <w:szCs w:val="28"/>
        </w:rPr>
        <w:t xml:space="preserve"> </w:t>
      </w:r>
      <w:r w:rsidR="0090742A" w:rsidRPr="00A54C5B">
        <w:rPr>
          <w:rFonts w:ascii="Garamond" w:hAnsi="Garamond" w:cs="Arial"/>
          <w:iCs/>
          <w:color w:val="000000" w:themeColor="text1"/>
          <w:sz w:val="28"/>
          <w:szCs w:val="28"/>
        </w:rPr>
        <w:t>Carlos Nino define la intimidad como</w:t>
      </w:r>
      <w:r w:rsidRPr="00A54C5B">
        <w:rPr>
          <w:rFonts w:ascii="Garamond" w:hAnsi="Garamond" w:cs="Arial"/>
          <w:i/>
          <w:iCs/>
          <w:color w:val="000000" w:themeColor="text1"/>
          <w:sz w:val="28"/>
          <w:szCs w:val="28"/>
        </w:rPr>
        <w:t xml:space="preserve"> </w:t>
      </w:r>
      <w:r w:rsidRPr="00A54C5B">
        <w:rPr>
          <w:rFonts w:ascii="Garamond" w:hAnsi="Garamond" w:cs="Arial"/>
          <w:iCs/>
          <w:color w:val="000000" w:themeColor="text1"/>
          <w:sz w:val="28"/>
          <w:szCs w:val="28"/>
        </w:rPr>
        <w:t>la</w:t>
      </w:r>
      <w:r w:rsidR="0090742A" w:rsidRPr="00A54C5B">
        <w:rPr>
          <w:rFonts w:ascii="Garamond" w:hAnsi="Garamond" w:cs="Arial"/>
          <w:i/>
          <w:iCs/>
          <w:color w:val="000000" w:themeColor="text1"/>
          <w:sz w:val="28"/>
          <w:szCs w:val="28"/>
        </w:rPr>
        <w:t xml:space="preserve"> </w:t>
      </w:r>
      <w:r w:rsidR="0090742A" w:rsidRPr="00A54C5B">
        <w:rPr>
          <w:rFonts w:ascii="Garamond" w:hAnsi="Garamond" w:cs="Arial"/>
          <w:color w:val="000000" w:themeColor="text1"/>
          <w:sz w:val="28"/>
          <w:szCs w:val="28"/>
        </w:rPr>
        <w:t>"</w:t>
      </w:r>
      <w:r w:rsidR="0090742A" w:rsidRPr="00A54C5B">
        <w:rPr>
          <w:rFonts w:ascii="Garamond" w:hAnsi="Garamond" w:cs="Arial"/>
          <w:i/>
          <w:color w:val="000000" w:themeColor="text1"/>
          <w:sz w:val="28"/>
          <w:szCs w:val="28"/>
        </w:rPr>
        <w:t>esfera de la persona que está exenta del conocimiento generalizado por parte de los demás</w:t>
      </w:r>
      <w:r w:rsidR="0090742A" w:rsidRPr="00A54C5B">
        <w:rPr>
          <w:rFonts w:ascii="Garamond" w:hAnsi="Garamond" w:cs="Arial"/>
          <w:color w:val="000000" w:themeColor="text1"/>
          <w:sz w:val="28"/>
          <w:szCs w:val="28"/>
        </w:rPr>
        <w:t>"</w:t>
      </w:r>
      <w:r w:rsidR="0090742A" w:rsidRPr="00A54C5B">
        <w:rPr>
          <w:rStyle w:val="Refdenotaalpie"/>
          <w:rFonts w:ascii="Garamond" w:hAnsi="Garamond" w:cs="Arial"/>
          <w:color w:val="000000" w:themeColor="text1"/>
          <w:sz w:val="28"/>
          <w:szCs w:val="28"/>
        </w:rPr>
        <w:footnoteReference w:id="1"/>
      </w:r>
      <w:r w:rsidR="0090742A" w:rsidRPr="00A54C5B">
        <w:rPr>
          <w:rFonts w:ascii="Garamond" w:hAnsi="Garamond" w:cs="Arial"/>
          <w:color w:val="000000" w:themeColor="text1"/>
          <w:sz w:val="28"/>
          <w:szCs w:val="28"/>
        </w:rPr>
        <w:t xml:space="preserve">. También se ha definido </w:t>
      </w:r>
      <w:r w:rsidRPr="00A54C5B">
        <w:rPr>
          <w:rFonts w:ascii="Garamond" w:hAnsi="Garamond" w:cs="Times New Roman"/>
          <w:color w:val="000000" w:themeColor="text1"/>
          <w:sz w:val="28"/>
          <w:szCs w:val="28"/>
        </w:rPr>
        <w:t>como</w:t>
      </w:r>
      <w:r w:rsidR="0090742A" w:rsidRPr="00A54C5B">
        <w:rPr>
          <w:rFonts w:ascii="Garamond" w:hAnsi="Garamond" w:cs="Times New Roman"/>
          <w:color w:val="000000" w:themeColor="text1"/>
          <w:sz w:val="28"/>
          <w:szCs w:val="28"/>
        </w:rPr>
        <w:t xml:space="preserve"> la faceta intangible o inmaterial concerniente al ámbito que el sujeto mantiene libre de intrusiones de terceros, de la publicidad, del gobierno</w:t>
      </w:r>
      <w:r w:rsidR="00CD3EDE" w:rsidRPr="00A54C5B">
        <w:rPr>
          <w:rStyle w:val="Refdenotaalpie"/>
          <w:rFonts w:ascii="Garamond" w:hAnsi="Garamond" w:cs="Times New Roman"/>
          <w:color w:val="000000" w:themeColor="text1"/>
          <w:sz w:val="28"/>
          <w:szCs w:val="28"/>
        </w:rPr>
        <w:footnoteReference w:id="2"/>
      </w:r>
      <w:r w:rsidR="00CD3EDE" w:rsidRPr="00A54C5B">
        <w:rPr>
          <w:rFonts w:ascii="Garamond" w:hAnsi="Garamond" w:cs="Times New Roman"/>
          <w:color w:val="000000" w:themeColor="text1"/>
          <w:sz w:val="28"/>
          <w:szCs w:val="28"/>
        </w:rPr>
        <w:t xml:space="preserve">. Mientras que por honra se ha entendido </w:t>
      </w:r>
      <w:r w:rsidR="00CD3EDE" w:rsidRPr="00A54C5B">
        <w:rPr>
          <w:rFonts w:ascii="Garamond" w:hAnsi="Garamond"/>
          <w:color w:val="000000" w:themeColor="text1"/>
          <w:sz w:val="28"/>
          <w:szCs w:val="28"/>
          <w:shd w:val="clear" w:color="auto" w:fill="FFFFFF"/>
        </w:rPr>
        <w:t xml:space="preserve">como: “ </w:t>
      </w:r>
      <w:r w:rsidR="00CD3EDE" w:rsidRPr="00A54C5B">
        <w:rPr>
          <w:rFonts w:ascii="Garamond" w:hAnsi="Garamond"/>
          <w:i/>
          <w:color w:val="000000" w:themeColor="text1"/>
          <w:sz w:val="28"/>
          <w:szCs w:val="28"/>
          <w:shd w:val="clear" w:color="auto" w:fill="FFFFFF"/>
        </w:rPr>
        <w:t>el derecho fundamental que busca proteger el valor intrínseco de las personas frente a la sociedad y evitar todo menosprecio o acto difamatorio que lesione la apreciación o fama que los demás tengan de una persona</w:t>
      </w:r>
      <w:r w:rsidR="00CD3EDE" w:rsidRPr="00A54C5B">
        <w:rPr>
          <w:rFonts w:ascii="Garamond" w:hAnsi="Garamond"/>
          <w:color w:val="000000" w:themeColor="text1"/>
          <w:sz w:val="28"/>
          <w:szCs w:val="28"/>
          <w:shd w:val="clear" w:color="auto" w:fill="FFFFFF"/>
        </w:rPr>
        <w:t>”</w:t>
      </w:r>
      <w:r w:rsidR="00CD3EDE" w:rsidRPr="00A54C5B">
        <w:rPr>
          <w:rStyle w:val="Refdenotaalpie"/>
          <w:rFonts w:ascii="Garamond" w:hAnsi="Garamond"/>
          <w:color w:val="000000" w:themeColor="text1"/>
          <w:sz w:val="28"/>
          <w:szCs w:val="28"/>
          <w:shd w:val="clear" w:color="auto" w:fill="FFFFFF"/>
        </w:rPr>
        <w:footnoteReference w:id="3"/>
      </w:r>
      <w:r w:rsidR="00715F31" w:rsidRPr="00A54C5B">
        <w:rPr>
          <w:rFonts w:ascii="Garamond" w:hAnsi="Garamond"/>
          <w:color w:val="000000" w:themeColor="text1"/>
          <w:sz w:val="28"/>
          <w:szCs w:val="28"/>
          <w:shd w:val="clear" w:color="auto" w:fill="FFFFFF"/>
        </w:rPr>
        <w:t>.</w:t>
      </w:r>
    </w:p>
    <w:p w:rsidR="00733FAB" w:rsidRPr="00A54C5B" w:rsidRDefault="00733FAB" w:rsidP="00750455">
      <w:pPr>
        <w:autoSpaceDE w:val="0"/>
        <w:autoSpaceDN w:val="0"/>
        <w:adjustRightInd w:val="0"/>
        <w:spacing w:after="0" w:line="360" w:lineRule="auto"/>
        <w:ind w:firstLine="360"/>
        <w:jc w:val="both"/>
        <w:rPr>
          <w:rFonts w:ascii="Garamond" w:hAnsi="Garamond" w:cs="Arial"/>
          <w:i/>
          <w:iCs/>
          <w:color w:val="000000" w:themeColor="text1"/>
          <w:sz w:val="28"/>
          <w:szCs w:val="28"/>
        </w:rPr>
      </w:pPr>
      <w:r w:rsidRPr="00A54C5B">
        <w:rPr>
          <w:rFonts w:ascii="Garamond" w:hAnsi="Garamond"/>
          <w:color w:val="000000" w:themeColor="text1"/>
          <w:sz w:val="28"/>
          <w:szCs w:val="28"/>
          <w:shd w:val="clear" w:color="auto" w:fill="FFFFFF"/>
        </w:rPr>
        <w:t xml:space="preserve">Entonces debemos dilucidar </w:t>
      </w:r>
      <w:r w:rsidR="002444D8" w:rsidRPr="00A54C5B">
        <w:rPr>
          <w:rFonts w:ascii="Garamond" w:hAnsi="Garamond"/>
          <w:color w:val="000000" w:themeColor="text1"/>
          <w:sz w:val="28"/>
          <w:szCs w:val="28"/>
          <w:shd w:val="clear" w:color="auto" w:fill="FFFFFF"/>
        </w:rPr>
        <w:t>qué</w:t>
      </w:r>
      <w:r w:rsidRPr="00A54C5B">
        <w:rPr>
          <w:rFonts w:ascii="Garamond" w:hAnsi="Garamond"/>
          <w:color w:val="000000" w:themeColor="text1"/>
          <w:sz w:val="28"/>
          <w:szCs w:val="28"/>
          <w:shd w:val="clear" w:color="auto" w:fill="FFFFFF"/>
        </w:rPr>
        <w:t xml:space="preserve"> ocurre cuando colisiona el derecho a la publicidad </w:t>
      </w:r>
      <w:r w:rsidR="002444D8" w:rsidRPr="00A54C5B">
        <w:rPr>
          <w:rFonts w:ascii="Garamond" w:hAnsi="Garamond"/>
          <w:color w:val="000000" w:themeColor="text1"/>
          <w:sz w:val="28"/>
          <w:szCs w:val="28"/>
          <w:shd w:val="clear" w:color="auto" w:fill="FFFFFF"/>
        </w:rPr>
        <w:t xml:space="preserve">de los juicios con el derecho fundamental de respeto </w:t>
      </w:r>
      <w:r w:rsidR="00B95794" w:rsidRPr="00A54C5B">
        <w:rPr>
          <w:rFonts w:ascii="Garamond" w:hAnsi="Garamond"/>
          <w:color w:val="000000" w:themeColor="text1"/>
          <w:sz w:val="28"/>
          <w:szCs w:val="28"/>
          <w:shd w:val="clear" w:color="auto" w:fill="FFFFFF"/>
        </w:rPr>
        <w:t>a</w:t>
      </w:r>
      <w:r w:rsidRPr="00A54C5B">
        <w:rPr>
          <w:rFonts w:ascii="Garamond" w:hAnsi="Garamond"/>
          <w:color w:val="000000" w:themeColor="text1"/>
          <w:sz w:val="28"/>
          <w:szCs w:val="28"/>
          <w:shd w:val="clear" w:color="auto" w:fill="FFFFFF"/>
        </w:rPr>
        <w:t xml:space="preserve"> la intimidad y </w:t>
      </w:r>
      <w:r w:rsidR="00B95794" w:rsidRPr="00A54C5B">
        <w:rPr>
          <w:rFonts w:ascii="Garamond" w:hAnsi="Garamond"/>
          <w:color w:val="000000" w:themeColor="text1"/>
          <w:sz w:val="28"/>
          <w:szCs w:val="28"/>
          <w:shd w:val="clear" w:color="auto" w:fill="FFFFFF"/>
        </w:rPr>
        <w:t>a</w:t>
      </w:r>
      <w:r w:rsidRPr="00A54C5B">
        <w:rPr>
          <w:rFonts w:ascii="Garamond" w:hAnsi="Garamond"/>
          <w:color w:val="000000" w:themeColor="text1"/>
          <w:sz w:val="28"/>
          <w:szCs w:val="28"/>
          <w:shd w:val="clear" w:color="auto" w:fill="FFFFFF"/>
        </w:rPr>
        <w:t>la honra de los intervinientes en un proceso.</w:t>
      </w:r>
    </w:p>
    <w:p w:rsidR="00715F31" w:rsidRPr="00A54C5B" w:rsidRDefault="00715F31" w:rsidP="00750455">
      <w:pPr>
        <w:autoSpaceDE w:val="0"/>
        <w:autoSpaceDN w:val="0"/>
        <w:adjustRightInd w:val="0"/>
        <w:spacing w:after="0" w:line="360" w:lineRule="auto"/>
        <w:ind w:firstLine="360"/>
        <w:jc w:val="both"/>
        <w:rPr>
          <w:rFonts w:ascii="Garamond" w:hAnsi="Garamond"/>
          <w:color w:val="000000" w:themeColor="text1"/>
          <w:sz w:val="28"/>
          <w:szCs w:val="28"/>
          <w:shd w:val="clear" w:color="auto" w:fill="FFFFFF"/>
        </w:rPr>
      </w:pPr>
      <w:r w:rsidRPr="00A54C5B">
        <w:rPr>
          <w:rFonts w:ascii="Garamond" w:hAnsi="Garamond"/>
          <w:color w:val="000000" w:themeColor="text1"/>
          <w:sz w:val="28"/>
          <w:szCs w:val="28"/>
          <w:shd w:val="clear" w:color="auto" w:fill="FFFFFF"/>
        </w:rPr>
        <w:t>A raíz del juicio oral l</w:t>
      </w:r>
      <w:r w:rsidR="00733FAB" w:rsidRPr="00A54C5B">
        <w:rPr>
          <w:rFonts w:ascii="Garamond" w:hAnsi="Garamond"/>
          <w:color w:val="000000" w:themeColor="text1"/>
          <w:sz w:val="28"/>
          <w:szCs w:val="28"/>
          <w:shd w:val="clear" w:color="auto" w:fill="FFFFFF"/>
        </w:rPr>
        <w:t>l</w:t>
      </w:r>
      <w:r w:rsidRPr="00A54C5B">
        <w:rPr>
          <w:rFonts w:ascii="Garamond" w:hAnsi="Garamond"/>
          <w:color w:val="000000" w:themeColor="text1"/>
          <w:sz w:val="28"/>
          <w:szCs w:val="28"/>
          <w:shd w:val="clear" w:color="auto" w:fill="FFFFFF"/>
        </w:rPr>
        <w:t xml:space="preserve">evado en contra de Mauricio Ortega, por el ataque realizado en contra de su conviviente </w:t>
      </w:r>
      <w:proofErr w:type="spellStart"/>
      <w:r w:rsidRPr="00A54C5B">
        <w:rPr>
          <w:rFonts w:ascii="Garamond" w:hAnsi="Garamond"/>
          <w:color w:val="000000" w:themeColor="text1"/>
          <w:sz w:val="28"/>
          <w:szCs w:val="28"/>
          <w:shd w:val="clear" w:color="auto" w:fill="FFFFFF"/>
        </w:rPr>
        <w:t>Nabila</w:t>
      </w:r>
      <w:proofErr w:type="spellEnd"/>
      <w:r w:rsidRPr="00A54C5B">
        <w:rPr>
          <w:rFonts w:ascii="Garamond" w:hAnsi="Garamond"/>
          <w:color w:val="000000" w:themeColor="text1"/>
          <w:sz w:val="28"/>
          <w:szCs w:val="28"/>
          <w:shd w:val="clear" w:color="auto" w:fill="FFFFFF"/>
        </w:rPr>
        <w:t xml:space="preserve"> Riffo, vimos una gran cobertura comunicacional </w:t>
      </w:r>
      <w:r w:rsidR="00733FAB" w:rsidRPr="00A54C5B">
        <w:rPr>
          <w:rFonts w:ascii="Garamond" w:hAnsi="Garamond"/>
          <w:color w:val="000000" w:themeColor="text1"/>
          <w:sz w:val="28"/>
          <w:szCs w:val="28"/>
          <w:shd w:val="clear" w:color="auto" w:fill="FFFFFF"/>
        </w:rPr>
        <w:t xml:space="preserve">donde </w:t>
      </w:r>
      <w:r w:rsidRPr="00A54C5B">
        <w:rPr>
          <w:rFonts w:ascii="Garamond" w:hAnsi="Garamond"/>
          <w:color w:val="000000" w:themeColor="text1"/>
          <w:sz w:val="28"/>
          <w:szCs w:val="28"/>
          <w:shd w:val="clear" w:color="auto" w:fill="FFFFFF"/>
        </w:rPr>
        <w:t xml:space="preserve">en ciertas ocasiones la </w:t>
      </w:r>
      <w:r w:rsidR="00733FAB" w:rsidRPr="00A54C5B">
        <w:rPr>
          <w:rFonts w:ascii="Garamond" w:hAnsi="Garamond"/>
          <w:color w:val="000000" w:themeColor="text1"/>
          <w:sz w:val="28"/>
          <w:szCs w:val="28"/>
          <w:shd w:val="clear" w:color="auto" w:fill="FFFFFF"/>
        </w:rPr>
        <w:t>víctima fue vulnerada en su</w:t>
      </w:r>
      <w:r w:rsidRPr="00A54C5B">
        <w:rPr>
          <w:rFonts w:ascii="Garamond" w:hAnsi="Garamond"/>
          <w:color w:val="000000" w:themeColor="text1"/>
          <w:sz w:val="28"/>
          <w:szCs w:val="28"/>
          <w:shd w:val="clear" w:color="auto" w:fill="FFFFFF"/>
        </w:rPr>
        <w:t xml:space="preserve"> vida privada y honra, al exponer </w:t>
      </w:r>
      <w:r w:rsidR="00554638" w:rsidRPr="00A54C5B">
        <w:rPr>
          <w:rFonts w:ascii="Garamond" w:hAnsi="Garamond"/>
          <w:color w:val="000000" w:themeColor="text1"/>
          <w:sz w:val="28"/>
          <w:szCs w:val="28"/>
          <w:shd w:val="clear" w:color="auto" w:fill="FFFFFF"/>
        </w:rPr>
        <w:t xml:space="preserve">comunicacionalmente su </w:t>
      </w:r>
      <w:r w:rsidR="00B95794" w:rsidRPr="00A54C5B">
        <w:rPr>
          <w:rFonts w:ascii="Garamond" w:hAnsi="Garamond"/>
          <w:color w:val="000000" w:themeColor="text1"/>
          <w:sz w:val="28"/>
          <w:szCs w:val="28"/>
          <w:shd w:val="clear" w:color="auto" w:fill="FFFFFF"/>
        </w:rPr>
        <w:t>intimidad</w:t>
      </w:r>
      <w:r w:rsidR="00554638" w:rsidRPr="00A54C5B">
        <w:rPr>
          <w:rFonts w:ascii="Garamond" w:hAnsi="Garamond"/>
          <w:color w:val="000000" w:themeColor="text1"/>
          <w:sz w:val="28"/>
          <w:szCs w:val="28"/>
          <w:shd w:val="clear" w:color="auto" w:fill="FFFFFF"/>
        </w:rPr>
        <w:t>. Esto generó</w:t>
      </w:r>
      <w:r w:rsidRPr="00A54C5B">
        <w:rPr>
          <w:rFonts w:ascii="Garamond" w:hAnsi="Garamond"/>
          <w:color w:val="000000" w:themeColor="text1"/>
          <w:sz w:val="28"/>
          <w:szCs w:val="28"/>
          <w:shd w:val="clear" w:color="auto" w:fill="FFFFFF"/>
        </w:rPr>
        <w:t xml:space="preserve"> una gran crítica en distintos </w:t>
      </w:r>
      <w:r w:rsidR="00B95794" w:rsidRPr="00A54C5B">
        <w:rPr>
          <w:rFonts w:ascii="Garamond" w:hAnsi="Garamond"/>
          <w:color w:val="000000" w:themeColor="text1"/>
          <w:sz w:val="28"/>
          <w:szCs w:val="28"/>
          <w:shd w:val="clear" w:color="auto" w:fill="FFFFFF"/>
        </w:rPr>
        <w:t>sectores de la sociedad</w:t>
      </w:r>
      <w:r w:rsidRPr="00A54C5B">
        <w:rPr>
          <w:rFonts w:ascii="Garamond" w:hAnsi="Garamond"/>
          <w:color w:val="000000" w:themeColor="text1"/>
          <w:sz w:val="28"/>
          <w:szCs w:val="28"/>
          <w:shd w:val="clear" w:color="auto" w:fill="FFFFFF"/>
        </w:rPr>
        <w:t xml:space="preserve">, por cuanto la víctima se vio expuesta nuevamente a un proceso de presión que puede redundar en </w:t>
      </w:r>
      <w:r w:rsidR="00B95794" w:rsidRPr="00A54C5B">
        <w:rPr>
          <w:rFonts w:ascii="Garamond" w:hAnsi="Garamond"/>
          <w:color w:val="000000" w:themeColor="text1"/>
          <w:sz w:val="28"/>
          <w:szCs w:val="28"/>
          <w:shd w:val="clear" w:color="auto" w:fill="FFFFFF"/>
        </w:rPr>
        <w:t>la llamada</w:t>
      </w:r>
      <w:r w:rsidRPr="00A54C5B">
        <w:rPr>
          <w:rFonts w:ascii="Garamond" w:hAnsi="Garamond"/>
          <w:color w:val="000000" w:themeColor="text1"/>
          <w:sz w:val="28"/>
          <w:szCs w:val="28"/>
          <w:shd w:val="clear" w:color="auto" w:fill="FFFFFF"/>
        </w:rPr>
        <w:t xml:space="preserve"> doble victimización</w:t>
      </w:r>
      <w:r w:rsidR="00B95794" w:rsidRPr="00A54C5B">
        <w:rPr>
          <w:rFonts w:ascii="Garamond" w:hAnsi="Garamond"/>
          <w:color w:val="000000" w:themeColor="text1"/>
          <w:sz w:val="28"/>
          <w:szCs w:val="28"/>
          <w:shd w:val="clear" w:color="auto" w:fill="FFFFFF"/>
        </w:rPr>
        <w:t xml:space="preserve">, que perjudica su integridad </w:t>
      </w:r>
      <w:proofErr w:type="spellStart"/>
      <w:r w:rsidR="00B95794" w:rsidRPr="00A54C5B">
        <w:rPr>
          <w:rFonts w:ascii="Garamond" w:hAnsi="Garamond"/>
          <w:color w:val="000000" w:themeColor="text1"/>
          <w:sz w:val="28"/>
          <w:szCs w:val="28"/>
          <w:shd w:val="clear" w:color="auto" w:fill="FFFFFF"/>
        </w:rPr>
        <w:t>psicologica</w:t>
      </w:r>
      <w:proofErr w:type="spellEnd"/>
      <w:r w:rsidRPr="00A54C5B">
        <w:rPr>
          <w:rFonts w:ascii="Garamond" w:hAnsi="Garamond"/>
          <w:color w:val="000000" w:themeColor="text1"/>
          <w:sz w:val="28"/>
          <w:szCs w:val="28"/>
          <w:shd w:val="clear" w:color="auto" w:fill="FFFFFF"/>
        </w:rPr>
        <w:t>.</w:t>
      </w:r>
    </w:p>
    <w:p w:rsidR="00715F31" w:rsidRPr="00A54C5B" w:rsidRDefault="00B95794" w:rsidP="00750455">
      <w:pPr>
        <w:autoSpaceDE w:val="0"/>
        <w:autoSpaceDN w:val="0"/>
        <w:adjustRightInd w:val="0"/>
        <w:spacing w:after="0" w:line="360" w:lineRule="auto"/>
        <w:jc w:val="both"/>
        <w:rPr>
          <w:rFonts w:ascii="Garamond" w:hAnsi="Garamond"/>
          <w:color w:val="000000" w:themeColor="text1"/>
          <w:sz w:val="28"/>
          <w:szCs w:val="28"/>
          <w:shd w:val="clear" w:color="auto" w:fill="FFFFFF"/>
        </w:rPr>
      </w:pPr>
      <w:r w:rsidRPr="00A54C5B">
        <w:rPr>
          <w:rFonts w:ascii="Garamond" w:hAnsi="Garamond"/>
          <w:color w:val="000000" w:themeColor="text1"/>
          <w:sz w:val="28"/>
          <w:szCs w:val="28"/>
          <w:shd w:val="clear" w:color="auto" w:fill="FFFFFF"/>
        </w:rPr>
        <w:tab/>
        <w:t>Si bien la normativa actual</w:t>
      </w:r>
      <w:r w:rsidR="00715F31" w:rsidRPr="00A54C5B">
        <w:rPr>
          <w:rFonts w:ascii="Garamond" w:hAnsi="Garamond"/>
          <w:color w:val="000000" w:themeColor="text1"/>
          <w:sz w:val="28"/>
          <w:szCs w:val="28"/>
          <w:shd w:val="clear" w:color="auto" w:fill="FFFFFF"/>
        </w:rPr>
        <w:t xml:space="preserve"> regula la transmisión de los juicios por los medios de comunicación, creemos que este asunto debe ser mejorado con el objeto de que no se exponga nuevamente a una víctima a una situación similar. </w:t>
      </w:r>
      <w:r w:rsidR="00554638" w:rsidRPr="00A54C5B">
        <w:rPr>
          <w:rFonts w:ascii="Garamond" w:hAnsi="Garamond"/>
          <w:color w:val="000000" w:themeColor="text1"/>
          <w:sz w:val="28"/>
          <w:szCs w:val="28"/>
          <w:shd w:val="clear" w:color="auto" w:fill="FFFFFF"/>
        </w:rPr>
        <w:t>L</w:t>
      </w:r>
      <w:r w:rsidR="00715F31" w:rsidRPr="00A54C5B">
        <w:rPr>
          <w:rFonts w:ascii="Garamond" w:hAnsi="Garamond"/>
          <w:color w:val="000000" w:themeColor="text1"/>
          <w:sz w:val="28"/>
          <w:szCs w:val="28"/>
          <w:shd w:val="clear" w:color="auto" w:fill="FFFFFF"/>
        </w:rPr>
        <w:t xml:space="preserve">a publicidad de </w:t>
      </w:r>
      <w:r w:rsidR="00715F31" w:rsidRPr="00A54C5B">
        <w:rPr>
          <w:rFonts w:ascii="Garamond" w:hAnsi="Garamond"/>
          <w:color w:val="000000" w:themeColor="text1"/>
          <w:sz w:val="28"/>
          <w:szCs w:val="28"/>
          <w:shd w:val="clear" w:color="auto" w:fill="FFFFFF"/>
        </w:rPr>
        <w:lastRenderedPageBreak/>
        <w:t xml:space="preserve">un proceso no puede transgredir la </w:t>
      </w:r>
      <w:r w:rsidR="00554638" w:rsidRPr="00A54C5B">
        <w:rPr>
          <w:rFonts w:ascii="Garamond" w:hAnsi="Garamond"/>
          <w:color w:val="000000" w:themeColor="text1"/>
          <w:sz w:val="28"/>
          <w:szCs w:val="28"/>
          <w:shd w:val="clear" w:color="auto" w:fill="FFFFFF"/>
        </w:rPr>
        <w:t>dignidad</w:t>
      </w:r>
      <w:r w:rsidRPr="00A54C5B">
        <w:rPr>
          <w:rFonts w:ascii="Garamond" w:hAnsi="Garamond"/>
          <w:color w:val="000000" w:themeColor="text1"/>
          <w:sz w:val="28"/>
          <w:szCs w:val="28"/>
          <w:shd w:val="clear" w:color="auto" w:fill="FFFFFF"/>
        </w:rPr>
        <w:t xml:space="preserve"> de los intervinientes, el cual es un derecho básico de cada individuo.</w:t>
      </w:r>
      <w:r w:rsidR="00715F31" w:rsidRPr="00A54C5B">
        <w:rPr>
          <w:rFonts w:ascii="Garamond" w:hAnsi="Garamond"/>
          <w:color w:val="000000" w:themeColor="text1"/>
          <w:sz w:val="28"/>
          <w:szCs w:val="28"/>
          <w:shd w:val="clear" w:color="auto" w:fill="FFFFFF"/>
        </w:rPr>
        <w:t xml:space="preserve"> </w:t>
      </w:r>
    </w:p>
    <w:p w:rsidR="00715F31" w:rsidRDefault="00715F31" w:rsidP="00750455">
      <w:pPr>
        <w:autoSpaceDE w:val="0"/>
        <w:autoSpaceDN w:val="0"/>
        <w:adjustRightInd w:val="0"/>
        <w:spacing w:after="0" w:line="360" w:lineRule="auto"/>
        <w:jc w:val="both"/>
        <w:rPr>
          <w:rFonts w:ascii="Garamond" w:hAnsi="Garamond"/>
          <w:color w:val="000000" w:themeColor="text1"/>
          <w:sz w:val="28"/>
          <w:szCs w:val="28"/>
          <w:shd w:val="clear" w:color="auto" w:fill="FFFFFF"/>
        </w:rPr>
      </w:pPr>
      <w:r w:rsidRPr="00A54C5B">
        <w:rPr>
          <w:rFonts w:ascii="Garamond" w:hAnsi="Garamond"/>
          <w:color w:val="000000" w:themeColor="text1"/>
          <w:sz w:val="28"/>
          <w:szCs w:val="28"/>
          <w:shd w:val="clear" w:color="auto" w:fill="FFFFFF"/>
        </w:rPr>
        <w:tab/>
        <w:t>De todas formas,</w:t>
      </w:r>
      <w:r w:rsidR="00B95794" w:rsidRPr="00A54C5B">
        <w:rPr>
          <w:rFonts w:ascii="Garamond" w:hAnsi="Garamond"/>
          <w:color w:val="000000" w:themeColor="text1"/>
          <w:sz w:val="28"/>
          <w:szCs w:val="28"/>
          <w:shd w:val="clear" w:color="auto" w:fill="FFFFFF"/>
        </w:rPr>
        <w:t xml:space="preserve"> </w:t>
      </w:r>
      <w:r w:rsidR="00750455">
        <w:rPr>
          <w:rFonts w:ascii="Garamond" w:hAnsi="Garamond"/>
          <w:color w:val="000000" w:themeColor="text1"/>
          <w:sz w:val="28"/>
          <w:szCs w:val="28"/>
          <w:shd w:val="clear" w:color="auto" w:fill="FFFFFF"/>
        </w:rPr>
        <w:t>las restriccio</w:t>
      </w:r>
      <w:r w:rsidRPr="00A54C5B">
        <w:rPr>
          <w:rFonts w:ascii="Garamond" w:hAnsi="Garamond"/>
          <w:color w:val="000000" w:themeColor="text1"/>
          <w:sz w:val="28"/>
          <w:szCs w:val="28"/>
          <w:shd w:val="clear" w:color="auto" w:fill="FFFFFF"/>
        </w:rPr>
        <w:t>n</w:t>
      </w:r>
      <w:r w:rsidR="00750455">
        <w:rPr>
          <w:rFonts w:ascii="Garamond" w:hAnsi="Garamond"/>
          <w:color w:val="000000" w:themeColor="text1"/>
          <w:sz w:val="28"/>
          <w:szCs w:val="28"/>
          <w:shd w:val="clear" w:color="auto" w:fill="FFFFFF"/>
        </w:rPr>
        <w:t>es</w:t>
      </w:r>
      <w:r w:rsidRPr="00A54C5B">
        <w:rPr>
          <w:rFonts w:ascii="Garamond" w:hAnsi="Garamond"/>
          <w:color w:val="000000" w:themeColor="text1"/>
          <w:sz w:val="28"/>
          <w:szCs w:val="28"/>
          <w:shd w:val="clear" w:color="auto" w:fill="FFFFFF"/>
        </w:rPr>
        <w:t xml:space="preserve"> de la misma debe</w:t>
      </w:r>
      <w:r w:rsidR="00750455">
        <w:rPr>
          <w:rFonts w:ascii="Garamond" w:hAnsi="Garamond"/>
          <w:color w:val="000000" w:themeColor="text1"/>
          <w:sz w:val="28"/>
          <w:szCs w:val="28"/>
          <w:shd w:val="clear" w:color="auto" w:fill="FFFFFF"/>
        </w:rPr>
        <w:t>n</w:t>
      </w:r>
      <w:r w:rsidRPr="00A54C5B">
        <w:rPr>
          <w:rFonts w:ascii="Garamond" w:hAnsi="Garamond"/>
          <w:color w:val="000000" w:themeColor="text1"/>
          <w:sz w:val="28"/>
          <w:szCs w:val="28"/>
          <w:shd w:val="clear" w:color="auto" w:fill="FFFFFF"/>
        </w:rPr>
        <w:t xml:space="preserve"> ser excepcionalísima</w:t>
      </w:r>
      <w:r w:rsidR="00750455">
        <w:rPr>
          <w:rFonts w:ascii="Garamond" w:hAnsi="Garamond"/>
          <w:color w:val="000000" w:themeColor="text1"/>
          <w:sz w:val="28"/>
          <w:szCs w:val="28"/>
          <w:shd w:val="clear" w:color="auto" w:fill="FFFFFF"/>
        </w:rPr>
        <w:t>s</w:t>
      </w:r>
      <w:r w:rsidRPr="00A54C5B">
        <w:rPr>
          <w:rFonts w:ascii="Garamond" w:hAnsi="Garamond"/>
          <w:color w:val="000000" w:themeColor="text1"/>
          <w:sz w:val="28"/>
          <w:szCs w:val="28"/>
          <w:shd w:val="clear" w:color="auto" w:fill="FFFFFF"/>
        </w:rPr>
        <w:t xml:space="preserve">, como lo </w:t>
      </w:r>
      <w:r w:rsidR="00554638" w:rsidRPr="00A54C5B">
        <w:rPr>
          <w:rFonts w:ascii="Garamond" w:hAnsi="Garamond"/>
          <w:color w:val="000000" w:themeColor="text1"/>
          <w:sz w:val="28"/>
          <w:szCs w:val="28"/>
          <w:shd w:val="clear" w:color="auto" w:fill="FFFFFF"/>
        </w:rPr>
        <w:t>realizamos</w:t>
      </w:r>
      <w:r w:rsidR="00750455">
        <w:rPr>
          <w:rFonts w:ascii="Garamond" w:hAnsi="Garamond"/>
          <w:color w:val="000000" w:themeColor="text1"/>
          <w:sz w:val="28"/>
          <w:szCs w:val="28"/>
          <w:shd w:val="clear" w:color="auto" w:fill="FFFFFF"/>
        </w:rPr>
        <w:t xml:space="preserve"> mediante la presente moción.</w:t>
      </w:r>
    </w:p>
    <w:p w:rsidR="00750455" w:rsidRPr="00A54C5B" w:rsidRDefault="00750455" w:rsidP="00750455">
      <w:pPr>
        <w:autoSpaceDE w:val="0"/>
        <w:autoSpaceDN w:val="0"/>
        <w:adjustRightInd w:val="0"/>
        <w:spacing w:after="0" w:line="360" w:lineRule="auto"/>
        <w:jc w:val="both"/>
        <w:rPr>
          <w:rFonts w:ascii="Garamond" w:hAnsi="Garamond"/>
          <w:color w:val="000000" w:themeColor="text1"/>
          <w:sz w:val="28"/>
          <w:szCs w:val="28"/>
          <w:shd w:val="clear" w:color="auto" w:fill="FFFFFF"/>
        </w:rPr>
      </w:pPr>
    </w:p>
    <w:p w:rsidR="00715F31" w:rsidRPr="00A54C5B" w:rsidRDefault="00715F31" w:rsidP="00750455">
      <w:pPr>
        <w:pStyle w:val="Prrafodelista"/>
        <w:numPr>
          <w:ilvl w:val="0"/>
          <w:numId w:val="1"/>
        </w:numPr>
        <w:autoSpaceDE w:val="0"/>
        <w:autoSpaceDN w:val="0"/>
        <w:adjustRightInd w:val="0"/>
        <w:spacing w:after="0" w:line="360" w:lineRule="auto"/>
        <w:jc w:val="both"/>
        <w:rPr>
          <w:rFonts w:ascii="Garamond" w:hAnsi="Garamond" w:cs="Times New Roman"/>
          <w:color w:val="000000" w:themeColor="text1"/>
          <w:sz w:val="28"/>
          <w:szCs w:val="28"/>
        </w:rPr>
      </w:pPr>
      <w:r w:rsidRPr="00A54C5B">
        <w:rPr>
          <w:rFonts w:ascii="Garamond" w:hAnsi="Garamond"/>
          <w:b/>
          <w:color w:val="000000" w:themeColor="text1"/>
          <w:sz w:val="28"/>
          <w:szCs w:val="28"/>
          <w:shd w:val="clear" w:color="auto" w:fill="FFFFFF"/>
        </w:rPr>
        <w:t>Contenido</w:t>
      </w:r>
      <w:r w:rsidRPr="00A54C5B">
        <w:rPr>
          <w:rFonts w:ascii="Garamond" w:hAnsi="Garamond"/>
          <w:color w:val="000000" w:themeColor="text1"/>
          <w:sz w:val="28"/>
          <w:szCs w:val="28"/>
          <w:shd w:val="clear" w:color="auto" w:fill="FFFFFF"/>
        </w:rPr>
        <w:t>.</w:t>
      </w:r>
    </w:p>
    <w:p w:rsidR="00B95794" w:rsidRPr="00A54C5B" w:rsidRDefault="00B95794" w:rsidP="00750455">
      <w:pPr>
        <w:pStyle w:val="Prrafodelista"/>
        <w:autoSpaceDE w:val="0"/>
        <w:autoSpaceDN w:val="0"/>
        <w:adjustRightInd w:val="0"/>
        <w:spacing w:after="0" w:line="360" w:lineRule="auto"/>
        <w:ind w:left="1080"/>
        <w:jc w:val="both"/>
        <w:rPr>
          <w:rFonts w:ascii="Garamond" w:hAnsi="Garamond" w:cs="Times New Roman"/>
          <w:color w:val="000000" w:themeColor="text1"/>
          <w:sz w:val="28"/>
          <w:szCs w:val="28"/>
        </w:rPr>
      </w:pPr>
    </w:p>
    <w:p w:rsidR="00554638" w:rsidRPr="00A54C5B" w:rsidRDefault="00554638" w:rsidP="00750455">
      <w:pPr>
        <w:autoSpaceDE w:val="0"/>
        <w:autoSpaceDN w:val="0"/>
        <w:adjustRightInd w:val="0"/>
        <w:spacing w:after="0" w:line="360" w:lineRule="auto"/>
        <w:ind w:firstLine="360"/>
        <w:jc w:val="both"/>
        <w:rPr>
          <w:rFonts w:ascii="Garamond" w:hAnsi="Garamond"/>
          <w:color w:val="000000" w:themeColor="text1"/>
          <w:sz w:val="28"/>
          <w:szCs w:val="28"/>
          <w:shd w:val="clear" w:color="auto" w:fill="FFFFFF"/>
        </w:rPr>
      </w:pPr>
      <w:r w:rsidRPr="00A54C5B">
        <w:rPr>
          <w:rFonts w:ascii="Garamond" w:hAnsi="Garamond"/>
          <w:color w:val="000000" w:themeColor="text1"/>
          <w:sz w:val="28"/>
          <w:szCs w:val="28"/>
          <w:shd w:val="clear" w:color="auto" w:fill="FFFFFF"/>
        </w:rPr>
        <w:t xml:space="preserve">La iniciativa consta de cuatro artículos, que modifican el Código Procesal Penal, la Ley que crea los Tribunales de Familita, la que regula la Libertad de Expresión e Información y la </w:t>
      </w:r>
      <w:r w:rsidR="00B95794" w:rsidRPr="00A54C5B">
        <w:rPr>
          <w:rFonts w:ascii="Garamond" w:hAnsi="Garamond"/>
          <w:color w:val="000000" w:themeColor="text1"/>
          <w:sz w:val="28"/>
          <w:szCs w:val="28"/>
          <w:shd w:val="clear" w:color="auto" w:fill="FFFFFF"/>
        </w:rPr>
        <w:t>del</w:t>
      </w:r>
      <w:r w:rsidRPr="00A54C5B">
        <w:rPr>
          <w:rFonts w:ascii="Garamond" w:hAnsi="Garamond"/>
          <w:color w:val="000000" w:themeColor="text1"/>
          <w:sz w:val="28"/>
          <w:szCs w:val="28"/>
          <w:shd w:val="clear" w:color="auto" w:fill="FFFFFF"/>
        </w:rPr>
        <w:t xml:space="preserve"> Consejo Nacional de Televisión.</w:t>
      </w:r>
    </w:p>
    <w:p w:rsidR="00B95794" w:rsidRPr="00A54C5B" w:rsidRDefault="00B95794" w:rsidP="00750455">
      <w:pPr>
        <w:autoSpaceDE w:val="0"/>
        <w:autoSpaceDN w:val="0"/>
        <w:adjustRightInd w:val="0"/>
        <w:spacing w:after="0" w:line="360" w:lineRule="auto"/>
        <w:ind w:firstLine="360"/>
        <w:jc w:val="both"/>
        <w:rPr>
          <w:rFonts w:ascii="Garamond" w:hAnsi="Garamond" w:cs="Times New Roman"/>
          <w:color w:val="000000" w:themeColor="text1"/>
          <w:sz w:val="28"/>
          <w:szCs w:val="28"/>
        </w:rPr>
      </w:pPr>
    </w:p>
    <w:p w:rsidR="007C43B2" w:rsidRPr="00A54C5B" w:rsidRDefault="00554638" w:rsidP="00750455">
      <w:pPr>
        <w:pStyle w:val="Prrafodelista"/>
        <w:numPr>
          <w:ilvl w:val="0"/>
          <w:numId w:val="2"/>
        </w:numPr>
        <w:autoSpaceDE w:val="0"/>
        <w:autoSpaceDN w:val="0"/>
        <w:adjustRightInd w:val="0"/>
        <w:spacing w:after="0" w:line="360" w:lineRule="auto"/>
        <w:jc w:val="both"/>
        <w:rPr>
          <w:rFonts w:ascii="Garamond" w:hAnsi="Garamond" w:cs="Times New Roman"/>
          <w:b/>
          <w:color w:val="000000" w:themeColor="text1"/>
          <w:sz w:val="28"/>
          <w:szCs w:val="28"/>
        </w:rPr>
      </w:pPr>
      <w:r w:rsidRPr="00A54C5B">
        <w:rPr>
          <w:rFonts w:ascii="Garamond" w:hAnsi="Garamond"/>
          <w:b/>
          <w:color w:val="000000" w:themeColor="text1"/>
          <w:sz w:val="28"/>
          <w:szCs w:val="28"/>
          <w:shd w:val="clear" w:color="auto" w:fill="FFFFFF"/>
        </w:rPr>
        <w:t>Código</w:t>
      </w:r>
      <w:r w:rsidR="007C43B2" w:rsidRPr="00A54C5B">
        <w:rPr>
          <w:rFonts w:ascii="Garamond" w:hAnsi="Garamond"/>
          <w:b/>
          <w:color w:val="000000" w:themeColor="text1"/>
          <w:sz w:val="28"/>
          <w:szCs w:val="28"/>
          <w:shd w:val="clear" w:color="auto" w:fill="FFFFFF"/>
        </w:rPr>
        <w:t xml:space="preserve"> Procesal Penal.</w:t>
      </w:r>
    </w:p>
    <w:p w:rsidR="007C43B2" w:rsidRPr="00A54C5B" w:rsidRDefault="007C43B2" w:rsidP="00750455">
      <w:pPr>
        <w:pStyle w:val="Prrafodelista"/>
        <w:numPr>
          <w:ilvl w:val="0"/>
          <w:numId w:val="3"/>
        </w:numPr>
        <w:autoSpaceDE w:val="0"/>
        <w:autoSpaceDN w:val="0"/>
        <w:adjustRightInd w:val="0"/>
        <w:spacing w:after="0" w:line="360" w:lineRule="auto"/>
        <w:jc w:val="both"/>
        <w:rPr>
          <w:rFonts w:ascii="Garamond" w:hAnsi="Garamond"/>
          <w:b/>
          <w:color w:val="000000" w:themeColor="text1"/>
          <w:sz w:val="28"/>
          <w:szCs w:val="28"/>
          <w:shd w:val="clear" w:color="auto" w:fill="FFFFFF"/>
        </w:rPr>
      </w:pPr>
      <w:r w:rsidRPr="00A54C5B">
        <w:rPr>
          <w:rFonts w:ascii="Garamond" w:hAnsi="Garamond"/>
          <w:b/>
          <w:color w:val="000000" w:themeColor="text1"/>
          <w:sz w:val="28"/>
          <w:szCs w:val="28"/>
          <w:shd w:val="clear" w:color="auto" w:fill="FFFFFF"/>
        </w:rPr>
        <w:t>Excepción a la publicidad de los juicios orales.</w:t>
      </w:r>
    </w:p>
    <w:p w:rsidR="00715F31" w:rsidRPr="00A54C5B" w:rsidRDefault="007C43B2" w:rsidP="00750455">
      <w:pPr>
        <w:autoSpaceDE w:val="0"/>
        <w:autoSpaceDN w:val="0"/>
        <w:adjustRightInd w:val="0"/>
        <w:spacing w:after="0" w:line="360" w:lineRule="auto"/>
        <w:ind w:firstLine="708"/>
        <w:jc w:val="both"/>
        <w:rPr>
          <w:rFonts w:ascii="Garamond" w:hAnsi="Garamond"/>
          <w:color w:val="000000" w:themeColor="text1"/>
          <w:sz w:val="28"/>
          <w:szCs w:val="28"/>
          <w:shd w:val="clear" w:color="auto" w:fill="FFFFFF"/>
        </w:rPr>
      </w:pPr>
      <w:r w:rsidRPr="00A54C5B">
        <w:rPr>
          <w:rFonts w:ascii="Garamond" w:hAnsi="Garamond"/>
          <w:color w:val="000000" w:themeColor="text1"/>
          <w:sz w:val="28"/>
          <w:szCs w:val="28"/>
          <w:shd w:val="clear" w:color="auto" w:fill="FFFFFF"/>
        </w:rPr>
        <w:t xml:space="preserve">El </w:t>
      </w:r>
      <w:r w:rsidR="00554638" w:rsidRPr="00A54C5B">
        <w:rPr>
          <w:rFonts w:ascii="Garamond" w:hAnsi="Garamond"/>
          <w:color w:val="000000" w:themeColor="text1"/>
          <w:sz w:val="28"/>
          <w:szCs w:val="28"/>
          <w:shd w:val="clear" w:color="auto" w:fill="FFFFFF"/>
        </w:rPr>
        <w:t>artículo</w:t>
      </w:r>
      <w:r w:rsidRPr="00A54C5B">
        <w:rPr>
          <w:rFonts w:ascii="Garamond" w:hAnsi="Garamond"/>
          <w:color w:val="000000" w:themeColor="text1"/>
          <w:sz w:val="28"/>
          <w:szCs w:val="28"/>
          <w:shd w:val="clear" w:color="auto" w:fill="FFFFFF"/>
        </w:rPr>
        <w:t xml:space="preserve"> 289 del Código Procesal Penal establece</w:t>
      </w:r>
      <w:r w:rsidR="00554638" w:rsidRPr="00A54C5B">
        <w:rPr>
          <w:rFonts w:ascii="Garamond" w:hAnsi="Garamond"/>
          <w:color w:val="000000" w:themeColor="text1"/>
          <w:sz w:val="28"/>
          <w:szCs w:val="28"/>
          <w:shd w:val="clear" w:color="auto" w:fill="FFFFFF"/>
        </w:rPr>
        <w:t xml:space="preserve"> como regla general</w:t>
      </w:r>
      <w:r w:rsidRPr="00A54C5B">
        <w:rPr>
          <w:rFonts w:ascii="Garamond" w:hAnsi="Garamond"/>
          <w:color w:val="000000" w:themeColor="text1"/>
          <w:sz w:val="28"/>
          <w:szCs w:val="28"/>
          <w:shd w:val="clear" w:color="auto" w:fill="FFFFFF"/>
        </w:rPr>
        <w:t xml:space="preserve"> la publicidad de los juicios orales, pudiendo restringirlo, a petición de parte, para proteger la intimidad, honor o seguridad de algún interviniente.</w:t>
      </w:r>
    </w:p>
    <w:p w:rsidR="007C43B2" w:rsidRPr="00A54C5B" w:rsidRDefault="007C43B2" w:rsidP="00750455">
      <w:pPr>
        <w:autoSpaceDE w:val="0"/>
        <w:autoSpaceDN w:val="0"/>
        <w:adjustRightInd w:val="0"/>
        <w:spacing w:after="0" w:line="360" w:lineRule="auto"/>
        <w:ind w:firstLine="708"/>
        <w:jc w:val="both"/>
        <w:rPr>
          <w:rFonts w:ascii="Garamond" w:hAnsi="Garamond"/>
          <w:color w:val="000000" w:themeColor="text1"/>
          <w:sz w:val="28"/>
          <w:szCs w:val="28"/>
          <w:shd w:val="clear" w:color="auto" w:fill="FFFFFF"/>
        </w:rPr>
      </w:pPr>
      <w:r w:rsidRPr="00A54C5B">
        <w:rPr>
          <w:rFonts w:ascii="Garamond" w:hAnsi="Garamond"/>
          <w:color w:val="000000" w:themeColor="text1"/>
          <w:sz w:val="28"/>
          <w:szCs w:val="28"/>
          <w:shd w:val="clear" w:color="auto" w:fill="FFFFFF"/>
        </w:rPr>
        <w:t>La moción establece que el Tribunal podrá actuar de oficio en casos</w:t>
      </w:r>
      <w:r w:rsidR="00750455">
        <w:rPr>
          <w:rFonts w:ascii="Garamond" w:hAnsi="Garamond"/>
          <w:color w:val="000000" w:themeColor="text1"/>
          <w:sz w:val="28"/>
          <w:szCs w:val="28"/>
          <w:shd w:val="clear" w:color="auto" w:fill="FFFFFF"/>
        </w:rPr>
        <w:t xml:space="preserve"> calificados</w:t>
      </w:r>
      <w:r w:rsidRPr="00A54C5B">
        <w:rPr>
          <w:rFonts w:ascii="Garamond" w:hAnsi="Garamond"/>
          <w:color w:val="000000" w:themeColor="text1"/>
          <w:sz w:val="28"/>
          <w:szCs w:val="28"/>
          <w:shd w:val="clear" w:color="auto" w:fill="FFFFFF"/>
        </w:rPr>
        <w:t xml:space="preserve">. Además, </w:t>
      </w:r>
      <w:r w:rsidR="00554638" w:rsidRPr="00A54C5B">
        <w:rPr>
          <w:rFonts w:ascii="Garamond" w:hAnsi="Garamond"/>
          <w:color w:val="000000" w:themeColor="text1"/>
          <w:sz w:val="28"/>
          <w:szCs w:val="28"/>
          <w:shd w:val="clear" w:color="auto" w:fill="FFFFFF"/>
        </w:rPr>
        <w:t xml:space="preserve">dicha restricción </w:t>
      </w:r>
      <w:r w:rsidRPr="00A54C5B">
        <w:rPr>
          <w:rFonts w:ascii="Garamond" w:hAnsi="Garamond"/>
          <w:color w:val="000000" w:themeColor="text1"/>
          <w:sz w:val="28"/>
          <w:szCs w:val="28"/>
          <w:shd w:val="clear" w:color="auto" w:fill="FFFFFF"/>
        </w:rPr>
        <w:t xml:space="preserve">podrá ser </w:t>
      </w:r>
      <w:r w:rsidR="00554638" w:rsidRPr="00A54C5B">
        <w:rPr>
          <w:rFonts w:ascii="Garamond" w:hAnsi="Garamond"/>
          <w:color w:val="000000" w:themeColor="text1"/>
          <w:sz w:val="28"/>
          <w:szCs w:val="28"/>
          <w:shd w:val="clear" w:color="auto" w:fill="FFFFFF"/>
        </w:rPr>
        <w:t>utilizada</w:t>
      </w:r>
      <w:r w:rsidRPr="00A54C5B">
        <w:rPr>
          <w:rFonts w:ascii="Garamond" w:hAnsi="Garamond"/>
          <w:color w:val="000000" w:themeColor="text1"/>
          <w:sz w:val="28"/>
          <w:szCs w:val="28"/>
          <w:shd w:val="clear" w:color="auto" w:fill="FFFFFF"/>
        </w:rPr>
        <w:t xml:space="preserve"> para resguardar los derechos de los intervinientes.</w:t>
      </w:r>
    </w:p>
    <w:p w:rsidR="007C43B2" w:rsidRPr="00A54C5B" w:rsidRDefault="007C43B2" w:rsidP="00750455">
      <w:pPr>
        <w:pStyle w:val="Prrafodelista"/>
        <w:numPr>
          <w:ilvl w:val="0"/>
          <w:numId w:val="3"/>
        </w:numPr>
        <w:autoSpaceDE w:val="0"/>
        <w:autoSpaceDN w:val="0"/>
        <w:adjustRightInd w:val="0"/>
        <w:spacing w:after="0" w:line="360" w:lineRule="auto"/>
        <w:jc w:val="both"/>
        <w:rPr>
          <w:rFonts w:ascii="Garamond" w:hAnsi="Garamond" w:cs="Times New Roman"/>
          <w:b/>
          <w:color w:val="000000" w:themeColor="text1"/>
          <w:sz w:val="28"/>
          <w:szCs w:val="28"/>
        </w:rPr>
      </w:pPr>
      <w:r w:rsidRPr="00A54C5B">
        <w:rPr>
          <w:rFonts w:ascii="Garamond" w:hAnsi="Garamond" w:cs="Times New Roman"/>
          <w:b/>
          <w:color w:val="000000" w:themeColor="text1"/>
          <w:sz w:val="28"/>
          <w:szCs w:val="28"/>
        </w:rPr>
        <w:t>Medios de comunicación.</w:t>
      </w:r>
    </w:p>
    <w:p w:rsidR="0033317A" w:rsidRPr="00A54C5B" w:rsidRDefault="0033317A" w:rsidP="00750455">
      <w:pPr>
        <w:autoSpaceDE w:val="0"/>
        <w:autoSpaceDN w:val="0"/>
        <w:adjustRightInd w:val="0"/>
        <w:spacing w:after="0" w:line="360" w:lineRule="auto"/>
        <w:ind w:firstLine="708"/>
        <w:jc w:val="both"/>
        <w:rPr>
          <w:rFonts w:ascii="Garamond" w:hAnsi="Garamond" w:cs="Times New Roman"/>
          <w:color w:val="000000" w:themeColor="text1"/>
          <w:sz w:val="28"/>
          <w:szCs w:val="28"/>
        </w:rPr>
      </w:pPr>
      <w:r w:rsidRPr="00A54C5B">
        <w:rPr>
          <w:rFonts w:ascii="Garamond" w:hAnsi="Garamond" w:cs="Times New Roman"/>
          <w:color w:val="000000" w:themeColor="text1"/>
          <w:sz w:val="28"/>
          <w:szCs w:val="28"/>
        </w:rPr>
        <w:t xml:space="preserve">La propuesta crea un nuevo artículo 289 bis que </w:t>
      </w:r>
      <w:r w:rsidR="00750455">
        <w:rPr>
          <w:rFonts w:ascii="Garamond" w:hAnsi="Garamond" w:cs="Times New Roman"/>
          <w:color w:val="000000" w:themeColor="text1"/>
          <w:sz w:val="28"/>
          <w:szCs w:val="28"/>
        </w:rPr>
        <w:t>regulará</w:t>
      </w:r>
      <w:r w:rsidRPr="00A54C5B">
        <w:rPr>
          <w:rFonts w:ascii="Garamond" w:hAnsi="Garamond" w:cs="Times New Roman"/>
          <w:color w:val="000000" w:themeColor="text1"/>
          <w:sz w:val="28"/>
          <w:szCs w:val="28"/>
        </w:rPr>
        <w:t xml:space="preserve"> la intervención de los medios de comunicación en el desarrollo de las audiencias, </w:t>
      </w:r>
      <w:r w:rsidR="00554638" w:rsidRPr="00A54C5B">
        <w:rPr>
          <w:rFonts w:ascii="Garamond" w:hAnsi="Garamond" w:cs="Times New Roman"/>
          <w:color w:val="000000" w:themeColor="text1"/>
          <w:sz w:val="28"/>
          <w:szCs w:val="28"/>
        </w:rPr>
        <w:t>lo cual podrá</w:t>
      </w:r>
      <w:r w:rsidRPr="00A54C5B">
        <w:rPr>
          <w:rFonts w:ascii="Garamond" w:hAnsi="Garamond" w:cs="Times New Roman"/>
          <w:color w:val="000000" w:themeColor="text1"/>
          <w:sz w:val="28"/>
          <w:szCs w:val="28"/>
        </w:rPr>
        <w:t xml:space="preserve"> ser restringido </w:t>
      </w:r>
      <w:r w:rsidR="00B95794" w:rsidRPr="00A54C5B">
        <w:rPr>
          <w:rFonts w:ascii="Garamond" w:hAnsi="Garamond" w:cs="Times New Roman"/>
          <w:color w:val="000000" w:themeColor="text1"/>
          <w:sz w:val="28"/>
          <w:szCs w:val="28"/>
        </w:rPr>
        <w:t>a petición de parte</w:t>
      </w:r>
      <w:r w:rsidR="00750455">
        <w:rPr>
          <w:rFonts w:ascii="Garamond" w:hAnsi="Garamond" w:cs="Times New Roman"/>
          <w:color w:val="000000" w:themeColor="text1"/>
          <w:sz w:val="28"/>
          <w:szCs w:val="28"/>
        </w:rPr>
        <w:t>,</w:t>
      </w:r>
      <w:r w:rsidRPr="00A54C5B">
        <w:rPr>
          <w:rFonts w:ascii="Garamond" w:hAnsi="Garamond" w:cs="Times New Roman"/>
          <w:color w:val="000000" w:themeColor="text1"/>
          <w:sz w:val="28"/>
          <w:szCs w:val="28"/>
        </w:rPr>
        <w:t>, debiendo el tribunal resolver fundadamente.</w:t>
      </w:r>
    </w:p>
    <w:p w:rsidR="0033317A" w:rsidRPr="00A54C5B" w:rsidRDefault="0033317A" w:rsidP="00750455">
      <w:pPr>
        <w:autoSpaceDE w:val="0"/>
        <w:autoSpaceDN w:val="0"/>
        <w:adjustRightInd w:val="0"/>
        <w:spacing w:after="0" w:line="360" w:lineRule="auto"/>
        <w:ind w:firstLine="708"/>
        <w:jc w:val="both"/>
        <w:rPr>
          <w:rFonts w:ascii="Garamond" w:hAnsi="Garamond" w:cs="Times New Roman"/>
          <w:color w:val="000000" w:themeColor="text1"/>
          <w:sz w:val="28"/>
          <w:szCs w:val="28"/>
        </w:rPr>
      </w:pPr>
      <w:r w:rsidRPr="00A54C5B">
        <w:rPr>
          <w:rFonts w:ascii="Garamond" w:hAnsi="Garamond" w:cs="Times New Roman"/>
          <w:color w:val="000000" w:themeColor="text1"/>
          <w:sz w:val="28"/>
          <w:szCs w:val="28"/>
        </w:rPr>
        <w:t xml:space="preserve">En caso que se infrinja </w:t>
      </w:r>
      <w:r w:rsidR="00554638" w:rsidRPr="00A54C5B">
        <w:rPr>
          <w:rFonts w:ascii="Garamond" w:hAnsi="Garamond" w:cs="Times New Roman"/>
          <w:color w:val="000000" w:themeColor="text1"/>
          <w:sz w:val="28"/>
          <w:szCs w:val="28"/>
        </w:rPr>
        <w:t>la restricción dispuesta</w:t>
      </w:r>
      <w:r w:rsidRPr="00A54C5B">
        <w:rPr>
          <w:rFonts w:ascii="Garamond" w:hAnsi="Garamond" w:cs="Times New Roman"/>
          <w:color w:val="000000" w:themeColor="text1"/>
          <w:sz w:val="28"/>
          <w:szCs w:val="28"/>
        </w:rPr>
        <w:t xml:space="preserve"> por el tribunal, se podrá configurar el delito de desacato</w:t>
      </w:r>
      <w:r w:rsidR="00554638" w:rsidRPr="00A54C5B">
        <w:rPr>
          <w:rFonts w:ascii="Garamond" w:hAnsi="Garamond" w:cs="Times New Roman"/>
          <w:color w:val="000000" w:themeColor="text1"/>
          <w:sz w:val="28"/>
          <w:szCs w:val="28"/>
        </w:rPr>
        <w:t>.</w:t>
      </w:r>
    </w:p>
    <w:p w:rsidR="00B95794" w:rsidRPr="00A54C5B" w:rsidRDefault="00B95794" w:rsidP="00750455">
      <w:pPr>
        <w:autoSpaceDE w:val="0"/>
        <w:autoSpaceDN w:val="0"/>
        <w:adjustRightInd w:val="0"/>
        <w:spacing w:after="0" w:line="360" w:lineRule="auto"/>
        <w:ind w:firstLine="708"/>
        <w:jc w:val="both"/>
        <w:rPr>
          <w:rFonts w:ascii="Garamond" w:hAnsi="Garamond" w:cs="Times New Roman"/>
          <w:color w:val="000000" w:themeColor="text1"/>
          <w:sz w:val="28"/>
          <w:szCs w:val="28"/>
        </w:rPr>
      </w:pPr>
    </w:p>
    <w:p w:rsidR="0033317A" w:rsidRPr="00A54C5B" w:rsidRDefault="0033317A" w:rsidP="00750455">
      <w:pPr>
        <w:pStyle w:val="Prrafodelista"/>
        <w:numPr>
          <w:ilvl w:val="0"/>
          <w:numId w:val="3"/>
        </w:numPr>
        <w:autoSpaceDE w:val="0"/>
        <w:autoSpaceDN w:val="0"/>
        <w:adjustRightInd w:val="0"/>
        <w:spacing w:after="0" w:line="360" w:lineRule="auto"/>
        <w:jc w:val="both"/>
        <w:rPr>
          <w:rFonts w:ascii="Garamond" w:hAnsi="Garamond" w:cs="Times New Roman"/>
          <w:b/>
          <w:color w:val="000000" w:themeColor="text1"/>
          <w:sz w:val="28"/>
          <w:szCs w:val="28"/>
        </w:rPr>
      </w:pPr>
      <w:r w:rsidRPr="00A54C5B">
        <w:rPr>
          <w:rFonts w:ascii="Garamond" w:hAnsi="Garamond" w:cs="Times New Roman"/>
          <w:b/>
          <w:color w:val="000000" w:themeColor="text1"/>
          <w:sz w:val="28"/>
          <w:szCs w:val="28"/>
        </w:rPr>
        <w:t>Métodos de interrogación.</w:t>
      </w:r>
    </w:p>
    <w:p w:rsidR="0033317A" w:rsidRPr="00A54C5B" w:rsidRDefault="0033317A" w:rsidP="00750455">
      <w:pPr>
        <w:autoSpaceDE w:val="0"/>
        <w:autoSpaceDN w:val="0"/>
        <w:adjustRightInd w:val="0"/>
        <w:spacing w:after="0" w:line="360" w:lineRule="auto"/>
        <w:ind w:firstLine="708"/>
        <w:jc w:val="both"/>
        <w:rPr>
          <w:rFonts w:ascii="Garamond" w:hAnsi="Garamond" w:cs="Times New Roman"/>
          <w:color w:val="000000" w:themeColor="text1"/>
          <w:sz w:val="28"/>
          <w:szCs w:val="28"/>
        </w:rPr>
      </w:pPr>
      <w:r w:rsidRPr="00A54C5B">
        <w:rPr>
          <w:rFonts w:ascii="Garamond" w:hAnsi="Garamond" w:cs="Times New Roman"/>
          <w:color w:val="000000" w:themeColor="text1"/>
          <w:sz w:val="28"/>
          <w:szCs w:val="28"/>
        </w:rPr>
        <w:lastRenderedPageBreak/>
        <w:t xml:space="preserve">El </w:t>
      </w:r>
      <w:r w:rsidR="00554638" w:rsidRPr="00A54C5B">
        <w:rPr>
          <w:rFonts w:ascii="Garamond" w:hAnsi="Garamond" w:cs="Times New Roman"/>
          <w:color w:val="000000" w:themeColor="text1"/>
          <w:sz w:val="28"/>
          <w:szCs w:val="28"/>
        </w:rPr>
        <w:t>artículo</w:t>
      </w:r>
      <w:r w:rsidRPr="00A54C5B">
        <w:rPr>
          <w:rFonts w:ascii="Garamond" w:hAnsi="Garamond" w:cs="Times New Roman"/>
          <w:color w:val="000000" w:themeColor="text1"/>
          <w:sz w:val="28"/>
          <w:szCs w:val="28"/>
        </w:rPr>
        <w:t xml:space="preserve"> 330 del Código regula los métodos de interrogación. La moción establece que las interrogaciones y </w:t>
      </w:r>
      <w:proofErr w:type="spellStart"/>
      <w:r w:rsidRPr="00A54C5B">
        <w:rPr>
          <w:rFonts w:ascii="Garamond" w:hAnsi="Garamond" w:cs="Times New Roman"/>
          <w:color w:val="000000" w:themeColor="text1"/>
          <w:sz w:val="28"/>
          <w:szCs w:val="28"/>
        </w:rPr>
        <w:t>contrainterrogaciones</w:t>
      </w:r>
      <w:proofErr w:type="spellEnd"/>
      <w:r w:rsidRPr="00A54C5B">
        <w:rPr>
          <w:rFonts w:ascii="Garamond" w:hAnsi="Garamond" w:cs="Times New Roman"/>
          <w:color w:val="000000" w:themeColor="text1"/>
          <w:sz w:val="28"/>
          <w:szCs w:val="28"/>
        </w:rPr>
        <w:t xml:space="preserve"> que se realicen a la víctima </w:t>
      </w:r>
      <w:r w:rsidR="00554638" w:rsidRPr="00A54C5B">
        <w:rPr>
          <w:rFonts w:ascii="Garamond" w:hAnsi="Garamond" w:cs="Times New Roman"/>
          <w:color w:val="000000" w:themeColor="text1"/>
          <w:sz w:val="28"/>
          <w:szCs w:val="28"/>
        </w:rPr>
        <w:t>no podrán vulnerar</w:t>
      </w:r>
      <w:r w:rsidRPr="00A54C5B">
        <w:rPr>
          <w:rFonts w:ascii="Garamond" w:hAnsi="Garamond" w:cs="Times New Roman"/>
          <w:color w:val="000000" w:themeColor="text1"/>
          <w:sz w:val="28"/>
          <w:szCs w:val="28"/>
        </w:rPr>
        <w:t xml:space="preserve"> la dignidad del mismo, como lo son cuando transgreda su intimidad u honra. </w:t>
      </w:r>
    </w:p>
    <w:p w:rsidR="00554638" w:rsidRPr="00A54C5B" w:rsidRDefault="00554638" w:rsidP="00750455">
      <w:pPr>
        <w:autoSpaceDE w:val="0"/>
        <w:autoSpaceDN w:val="0"/>
        <w:adjustRightInd w:val="0"/>
        <w:spacing w:after="0" w:line="360" w:lineRule="auto"/>
        <w:ind w:firstLine="708"/>
        <w:jc w:val="both"/>
        <w:rPr>
          <w:rFonts w:ascii="Garamond" w:hAnsi="Garamond" w:cs="Times New Roman"/>
          <w:color w:val="000000" w:themeColor="text1"/>
          <w:sz w:val="28"/>
          <w:szCs w:val="28"/>
        </w:rPr>
      </w:pPr>
    </w:p>
    <w:p w:rsidR="0033317A" w:rsidRPr="00A54C5B" w:rsidRDefault="0033317A" w:rsidP="00750455">
      <w:pPr>
        <w:pStyle w:val="Prrafodelista"/>
        <w:numPr>
          <w:ilvl w:val="0"/>
          <w:numId w:val="2"/>
        </w:numPr>
        <w:autoSpaceDE w:val="0"/>
        <w:autoSpaceDN w:val="0"/>
        <w:adjustRightInd w:val="0"/>
        <w:spacing w:after="0" w:line="360" w:lineRule="auto"/>
        <w:jc w:val="both"/>
        <w:rPr>
          <w:rFonts w:ascii="Garamond" w:hAnsi="Garamond" w:cs="Times New Roman"/>
          <w:b/>
          <w:color w:val="000000" w:themeColor="text1"/>
          <w:sz w:val="28"/>
          <w:szCs w:val="28"/>
        </w:rPr>
      </w:pPr>
      <w:r w:rsidRPr="00A54C5B">
        <w:rPr>
          <w:rFonts w:ascii="Garamond" w:hAnsi="Garamond" w:cs="Times New Roman"/>
          <w:b/>
          <w:color w:val="000000" w:themeColor="text1"/>
          <w:sz w:val="28"/>
          <w:szCs w:val="28"/>
        </w:rPr>
        <w:t>Publicidad en los procedimientos de familia.</w:t>
      </w:r>
    </w:p>
    <w:p w:rsidR="00554638" w:rsidRPr="00A54C5B" w:rsidRDefault="00EC44AB" w:rsidP="00750455">
      <w:pPr>
        <w:autoSpaceDE w:val="0"/>
        <w:autoSpaceDN w:val="0"/>
        <w:adjustRightInd w:val="0"/>
        <w:spacing w:after="0" w:line="360" w:lineRule="auto"/>
        <w:ind w:firstLine="708"/>
        <w:jc w:val="both"/>
        <w:rPr>
          <w:rFonts w:ascii="Garamond" w:hAnsi="Garamond" w:cs="Times New Roman"/>
          <w:color w:val="000000" w:themeColor="text1"/>
          <w:sz w:val="28"/>
          <w:szCs w:val="28"/>
        </w:rPr>
      </w:pPr>
      <w:r w:rsidRPr="00A54C5B">
        <w:rPr>
          <w:rFonts w:ascii="Garamond" w:hAnsi="Garamond" w:cs="Times New Roman"/>
          <w:color w:val="000000" w:themeColor="text1"/>
          <w:sz w:val="28"/>
          <w:szCs w:val="28"/>
        </w:rPr>
        <w:t xml:space="preserve">Se modifica el </w:t>
      </w:r>
      <w:r w:rsidR="00554638" w:rsidRPr="00A54C5B">
        <w:rPr>
          <w:rFonts w:ascii="Garamond" w:hAnsi="Garamond" w:cs="Times New Roman"/>
          <w:color w:val="000000" w:themeColor="text1"/>
          <w:sz w:val="28"/>
          <w:szCs w:val="28"/>
        </w:rPr>
        <w:t>artículo</w:t>
      </w:r>
      <w:r w:rsidRPr="00A54C5B">
        <w:rPr>
          <w:rFonts w:ascii="Garamond" w:hAnsi="Garamond" w:cs="Times New Roman"/>
          <w:color w:val="000000" w:themeColor="text1"/>
          <w:sz w:val="28"/>
          <w:szCs w:val="28"/>
        </w:rPr>
        <w:t xml:space="preserve"> 15 de la Ley 19.968, que crea los Tribunales de Familia, para que las actuaciones sean reservadas en los casos de afectación de la intimidad y </w:t>
      </w:r>
      <w:r w:rsidR="00B95794" w:rsidRPr="00A54C5B">
        <w:rPr>
          <w:rFonts w:ascii="Garamond" w:hAnsi="Garamond" w:cs="Times New Roman"/>
          <w:color w:val="000000" w:themeColor="text1"/>
          <w:sz w:val="28"/>
          <w:szCs w:val="28"/>
        </w:rPr>
        <w:t>a la honra</w:t>
      </w:r>
      <w:r w:rsidRPr="00A54C5B">
        <w:rPr>
          <w:rFonts w:ascii="Garamond" w:hAnsi="Garamond" w:cs="Times New Roman"/>
          <w:color w:val="000000" w:themeColor="text1"/>
          <w:sz w:val="28"/>
          <w:szCs w:val="28"/>
        </w:rPr>
        <w:t xml:space="preserve"> de las partes, a menos que </w:t>
      </w:r>
      <w:r w:rsidR="00554638" w:rsidRPr="00A54C5B">
        <w:rPr>
          <w:rFonts w:ascii="Garamond" w:hAnsi="Garamond" w:cs="Times New Roman"/>
          <w:color w:val="000000" w:themeColor="text1"/>
          <w:sz w:val="28"/>
          <w:szCs w:val="28"/>
        </w:rPr>
        <w:t xml:space="preserve">la publicidad </w:t>
      </w:r>
      <w:r w:rsidRPr="00A54C5B">
        <w:rPr>
          <w:rFonts w:ascii="Garamond" w:hAnsi="Garamond" w:cs="Times New Roman"/>
          <w:color w:val="000000" w:themeColor="text1"/>
          <w:sz w:val="28"/>
          <w:szCs w:val="28"/>
        </w:rPr>
        <w:t xml:space="preserve">sea </w:t>
      </w:r>
      <w:r w:rsidR="00554638" w:rsidRPr="00A54C5B">
        <w:rPr>
          <w:rFonts w:ascii="Garamond" w:hAnsi="Garamond" w:cs="Times New Roman"/>
          <w:color w:val="000000" w:themeColor="text1"/>
          <w:sz w:val="28"/>
          <w:szCs w:val="28"/>
        </w:rPr>
        <w:t>autorizada</w:t>
      </w:r>
      <w:r w:rsidR="00B95794" w:rsidRPr="00A54C5B">
        <w:rPr>
          <w:rFonts w:ascii="Garamond" w:hAnsi="Garamond" w:cs="Times New Roman"/>
          <w:color w:val="000000" w:themeColor="text1"/>
          <w:sz w:val="28"/>
          <w:szCs w:val="28"/>
        </w:rPr>
        <w:t xml:space="preserve"> por los intervinientes, sobre todo, tratándose de casos de violencia intrafamiliar, o cuando actúen </w:t>
      </w:r>
      <w:r w:rsidR="003B6249" w:rsidRPr="00A54C5B">
        <w:rPr>
          <w:rFonts w:ascii="Garamond" w:hAnsi="Garamond" w:cs="Times New Roman"/>
          <w:color w:val="000000" w:themeColor="text1"/>
          <w:sz w:val="28"/>
          <w:szCs w:val="28"/>
        </w:rPr>
        <w:t>niños, niñas y adolescentes.</w:t>
      </w:r>
    </w:p>
    <w:p w:rsidR="00554638" w:rsidRPr="00A54C5B" w:rsidRDefault="00554638" w:rsidP="00750455">
      <w:pPr>
        <w:autoSpaceDE w:val="0"/>
        <w:autoSpaceDN w:val="0"/>
        <w:adjustRightInd w:val="0"/>
        <w:spacing w:after="0" w:line="360" w:lineRule="auto"/>
        <w:jc w:val="both"/>
        <w:rPr>
          <w:rFonts w:ascii="Garamond" w:hAnsi="Garamond" w:cs="Times New Roman"/>
          <w:color w:val="000000" w:themeColor="text1"/>
          <w:sz w:val="28"/>
          <w:szCs w:val="28"/>
        </w:rPr>
      </w:pPr>
    </w:p>
    <w:p w:rsidR="00692DCF" w:rsidRPr="00A54C5B" w:rsidRDefault="00692DCF" w:rsidP="00750455">
      <w:pPr>
        <w:pStyle w:val="Prrafodelista"/>
        <w:numPr>
          <w:ilvl w:val="0"/>
          <w:numId w:val="2"/>
        </w:numPr>
        <w:autoSpaceDE w:val="0"/>
        <w:autoSpaceDN w:val="0"/>
        <w:adjustRightInd w:val="0"/>
        <w:spacing w:after="0" w:line="360" w:lineRule="auto"/>
        <w:jc w:val="both"/>
        <w:rPr>
          <w:rFonts w:ascii="Garamond" w:hAnsi="Garamond" w:cs="Times New Roman"/>
          <w:b/>
          <w:color w:val="000000" w:themeColor="text1"/>
          <w:sz w:val="28"/>
          <w:szCs w:val="28"/>
        </w:rPr>
      </w:pPr>
      <w:r w:rsidRPr="00A54C5B">
        <w:rPr>
          <w:rFonts w:ascii="Garamond" w:hAnsi="Garamond" w:cs="Times New Roman"/>
          <w:b/>
          <w:color w:val="000000" w:themeColor="text1"/>
          <w:sz w:val="28"/>
          <w:szCs w:val="28"/>
        </w:rPr>
        <w:t>Correcto funcionamiento de los servicios de televisión.</w:t>
      </w:r>
    </w:p>
    <w:p w:rsidR="0033317A" w:rsidRPr="00A54C5B" w:rsidRDefault="00692DCF" w:rsidP="00750455">
      <w:pPr>
        <w:autoSpaceDE w:val="0"/>
        <w:autoSpaceDN w:val="0"/>
        <w:adjustRightInd w:val="0"/>
        <w:spacing w:after="0" w:line="360" w:lineRule="auto"/>
        <w:ind w:firstLine="708"/>
        <w:jc w:val="both"/>
        <w:rPr>
          <w:rFonts w:ascii="Garamond" w:hAnsi="Garamond" w:cs="Times New Roman"/>
          <w:color w:val="000000" w:themeColor="text1"/>
          <w:sz w:val="28"/>
          <w:szCs w:val="28"/>
        </w:rPr>
      </w:pPr>
      <w:r w:rsidRPr="00A54C5B">
        <w:rPr>
          <w:rFonts w:ascii="Garamond" w:hAnsi="Garamond" w:cs="Times New Roman"/>
          <w:color w:val="000000" w:themeColor="text1"/>
          <w:sz w:val="28"/>
          <w:szCs w:val="28"/>
        </w:rPr>
        <w:t xml:space="preserve">Se modifica la Ley del </w:t>
      </w:r>
      <w:r w:rsidR="003B6249" w:rsidRPr="00A54C5B">
        <w:rPr>
          <w:rFonts w:ascii="Garamond" w:hAnsi="Garamond" w:cs="Times New Roman"/>
          <w:color w:val="000000" w:themeColor="text1"/>
          <w:sz w:val="28"/>
          <w:szCs w:val="28"/>
        </w:rPr>
        <w:t>Consejo Nacional de Televisión,</w:t>
      </w:r>
      <w:r w:rsidR="00C466CB" w:rsidRPr="00A54C5B">
        <w:rPr>
          <w:rFonts w:ascii="Garamond" w:hAnsi="Garamond" w:cs="Times New Roman"/>
          <w:color w:val="000000" w:themeColor="text1"/>
          <w:sz w:val="28"/>
          <w:szCs w:val="28"/>
        </w:rPr>
        <w:t xml:space="preserve"> para agregar en su</w:t>
      </w:r>
      <w:r w:rsidRPr="00A54C5B">
        <w:rPr>
          <w:rFonts w:ascii="Garamond" w:hAnsi="Garamond" w:cs="Times New Roman"/>
          <w:color w:val="000000" w:themeColor="text1"/>
          <w:sz w:val="28"/>
          <w:szCs w:val="28"/>
        </w:rPr>
        <w:t xml:space="preserve"> </w:t>
      </w:r>
      <w:r w:rsidR="00C466CB" w:rsidRPr="00A54C5B">
        <w:rPr>
          <w:rFonts w:ascii="Garamond" w:hAnsi="Garamond" w:cs="Times New Roman"/>
          <w:color w:val="000000" w:themeColor="text1"/>
          <w:sz w:val="28"/>
          <w:szCs w:val="28"/>
        </w:rPr>
        <w:t>artículo</w:t>
      </w:r>
      <w:r w:rsidRPr="00A54C5B">
        <w:rPr>
          <w:rFonts w:ascii="Garamond" w:hAnsi="Garamond" w:cs="Times New Roman"/>
          <w:color w:val="000000" w:themeColor="text1"/>
          <w:sz w:val="28"/>
          <w:szCs w:val="28"/>
        </w:rPr>
        <w:t xml:space="preserve"> 1° como </w:t>
      </w:r>
      <w:r w:rsidR="00C466CB" w:rsidRPr="00A54C5B">
        <w:rPr>
          <w:rFonts w:ascii="Garamond" w:hAnsi="Garamond" w:cs="Times New Roman"/>
          <w:color w:val="000000" w:themeColor="text1"/>
          <w:sz w:val="28"/>
          <w:szCs w:val="28"/>
        </w:rPr>
        <w:t xml:space="preserve">una figura de </w:t>
      </w:r>
      <w:r w:rsidRPr="00A54C5B">
        <w:rPr>
          <w:rFonts w:ascii="Garamond" w:hAnsi="Garamond" w:cs="Times New Roman"/>
          <w:color w:val="000000" w:themeColor="text1"/>
          <w:sz w:val="28"/>
          <w:szCs w:val="28"/>
        </w:rPr>
        <w:t xml:space="preserve">correcto funcionamiento </w:t>
      </w:r>
      <w:r w:rsidR="00C466CB" w:rsidRPr="00A54C5B">
        <w:rPr>
          <w:rFonts w:ascii="Garamond" w:hAnsi="Garamond" w:cs="Times New Roman"/>
          <w:color w:val="000000" w:themeColor="text1"/>
          <w:sz w:val="28"/>
          <w:szCs w:val="28"/>
        </w:rPr>
        <w:t xml:space="preserve">de los servicios de televisión, </w:t>
      </w:r>
      <w:r w:rsidRPr="00A54C5B">
        <w:rPr>
          <w:rFonts w:ascii="Garamond" w:hAnsi="Garamond" w:cs="Times New Roman"/>
          <w:color w:val="000000" w:themeColor="text1"/>
          <w:sz w:val="28"/>
          <w:szCs w:val="28"/>
        </w:rPr>
        <w:t>el res</w:t>
      </w:r>
      <w:r w:rsidR="003B6249" w:rsidRPr="00A54C5B">
        <w:rPr>
          <w:rFonts w:ascii="Garamond" w:hAnsi="Garamond" w:cs="Times New Roman"/>
          <w:color w:val="000000" w:themeColor="text1"/>
          <w:sz w:val="28"/>
          <w:szCs w:val="28"/>
        </w:rPr>
        <w:t>pe</w:t>
      </w:r>
      <w:r w:rsidRPr="00A54C5B">
        <w:rPr>
          <w:rFonts w:ascii="Garamond" w:hAnsi="Garamond" w:cs="Times New Roman"/>
          <w:color w:val="000000" w:themeColor="text1"/>
          <w:sz w:val="28"/>
          <w:szCs w:val="28"/>
        </w:rPr>
        <w:t xml:space="preserve">to a la intimidad y privacidad de las personas. Además, se agrega la prohibición de la difusión de contenidos denigratorios a la dignidad de la mujer.  </w:t>
      </w:r>
      <w:r w:rsidR="00EC44AB" w:rsidRPr="00A54C5B">
        <w:rPr>
          <w:rFonts w:ascii="Garamond" w:hAnsi="Garamond" w:cs="Times New Roman"/>
          <w:color w:val="000000" w:themeColor="text1"/>
          <w:sz w:val="28"/>
          <w:szCs w:val="28"/>
        </w:rPr>
        <w:t xml:space="preserve"> </w:t>
      </w:r>
    </w:p>
    <w:p w:rsidR="00692DCF" w:rsidRPr="00A54C5B" w:rsidRDefault="00692DCF" w:rsidP="00750455">
      <w:pPr>
        <w:autoSpaceDE w:val="0"/>
        <w:autoSpaceDN w:val="0"/>
        <w:adjustRightInd w:val="0"/>
        <w:spacing w:after="0" w:line="360" w:lineRule="auto"/>
        <w:jc w:val="both"/>
        <w:rPr>
          <w:rFonts w:ascii="Garamond" w:hAnsi="Garamond" w:cs="Times New Roman"/>
          <w:color w:val="000000" w:themeColor="text1"/>
          <w:sz w:val="28"/>
          <w:szCs w:val="28"/>
        </w:rPr>
      </w:pPr>
    </w:p>
    <w:p w:rsidR="00692DCF" w:rsidRPr="00A54C5B" w:rsidRDefault="00692DCF" w:rsidP="00750455">
      <w:pPr>
        <w:autoSpaceDE w:val="0"/>
        <w:autoSpaceDN w:val="0"/>
        <w:adjustRightInd w:val="0"/>
        <w:spacing w:line="360" w:lineRule="auto"/>
        <w:ind w:firstLine="708"/>
        <w:jc w:val="both"/>
        <w:rPr>
          <w:rFonts w:ascii="Garamond" w:hAnsi="Garamond"/>
          <w:color w:val="000000" w:themeColor="text1"/>
          <w:sz w:val="28"/>
          <w:szCs w:val="28"/>
        </w:rPr>
      </w:pPr>
      <w:r w:rsidRPr="00A54C5B">
        <w:rPr>
          <w:rFonts w:ascii="Garamond" w:hAnsi="Garamond"/>
          <w:color w:val="000000" w:themeColor="text1"/>
          <w:sz w:val="28"/>
          <w:szCs w:val="28"/>
        </w:rPr>
        <w:t xml:space="preserve">Es </w:t>
      </w:r>
      <w:r w:rsidR="00C466CB" w:rsidRPr="00A54C5B">
        <w:rPr>
          <w:rFonts w:ascii="Garamond" w:hAnsi="Garamond"/>
          <w:color w:val="000000" w:themeColor="text1"/>
          <w:sz w:val="28"/>
          <w:szCs w:val="28"/>
        </w:rPr>
        <w:t>por esto, que sobre</w:t>
      </w:r>
      <w:r w:rsidRPr="00A54C5B">
        <w:rPr>
          <w:rFonts w:ascii="Garamond" w:hAnsi="Garamond"/>
          <w:color w:val="000000" w:themeColor="text1"/>
          <w:sz w:val="28"/>
          <w:szCs w:val="28"/>
        </w:rPr>
        <w:t xml:space="preserve"> la base de estos antecedentes venimos en proponer el siguiente:</w:t>
      </w:r>
    </w:p>
    <w:p w:rsidR="00692DCF" w:rsidRPr="00A54C5B" w:rsidRDefault="00692DCF" w:rsidP="00750455">
      <w:pPr>
        <w:autoSpaceDE w:val="0"/>
        <w:autoSpaceDN w:val="0"/>
        <w:adjustRightInd w:val="0"/>
        <w:spacing w:after="0" w:line="360" w:lineRule="auto"/>
        <w:jc w:val="both"/>
        <w:rPr>
          <w:rFonts w:ascii="Garamond" w:hAnsi="Garamond" w:cs="Times New Roman"/>
          <w:color w:val="000000" w:themeColor="text1"/>
          <w:sz w:val="28"/>
          <w:szCs w:val="28"/>
        </w:rPr>
      </w:pPr>
    </w:p>
    <w:p w:rsidR="00692DCF" w:rsidRPr="00A54C5B" w:rsidRDefault="00C466CB" w:rsidP="00750455">
      <w:pPr>
        <w:autoSpaceDE w:val="0"/>
        <w:autoSpaceDN w:val="0"/>
        <w:adjustRightInd w:val="0"/>
        <w:spacing w:after="0" w:line="360" w:lineRule="auto"/>
        <w:jc w:val="both"/>
        <w:rPr>
          <w:rFonts w:ascii="Garamond" w:hAnsi="Garamond" w:cs="Times New Roman"/>
          <w:b/>
          <w:color w:val="000000" w:themeColor="text1"/>
          <w:sz w:val="28"/>
          <w:szCs w:val="28"/>
        </w:rPr>
      </w:pPr>
      <w:r w:rsidRPr="00A54C5B">
        <w:rPr>
          <w:rFonts w:ascii="Garamond" w:hAnsi="Garamond" w:cs="Times New Roman"/>
          <w:b/>
          <w:color w:val="000000" w:themeColor="text1"/>
          <w:sz w:val="28"/>
          <w:szCs w:val="28"/>
        </w:rPr>
        <w:t>PROYECTO DE LEY.</w:t>
      </w:r>
    </w:p>
    <w:p w:rsidR="00C466CB" w:rsidRPr="00A54C5B" w:rsidRDefault="00C466CB" w:rsidP="00750455">
      <w:pPr>
        <w:spacing w:line="360" w:lineRule="auto"/>
        <w:jc w:val="both"/>
        <w:rPr>
          <w:rFonts w:ascii="Garamond" w:hAnsi="Garamond" w:cs="Courier New"/>
          <w:b/>
          <w:color w:val="000000" w:themeColor="text1"/>
          <w:sz w:val="28"/>
          <w:szCs w:val="28"/>
        </w:rPr>
      </w:pPr>
    </w:p>
    <w:p w:rsidR="00363F48" w:rsidRPr="00A54C5B" w:rsidRDefault="00363F48" w:rsidP="00750455">
      <w:pPr>
        <w:spacing w:line="360" w:lineRule="auto"/>
        <w:jc w:val="both"/>
        <w:rPr>
          <w:rFonts w:ascii="Garamond" w:hAnsi="Garamond" w:cs="Courier New"/>
          <w:b/>
          <w:color w:val="000000" w:themeColor="text1"/>
          <w:sz w:val="28"/>
          <w:szCs w:val="28"/>
        </w:rPr>
      </w:pPr>
      <w:r w:rsidRPr="00A54C5B">
        <w:rPr>
          <w:rFonts w:ascii="Garamond" w:hAnsi="Garamond" w:cs="Courier New"/>
          <w:b/>
          <w:color w:val="000000" w:themeColor="text1"/>
          <w:sz w:val="28"/>
          <w:szCs w:val="28"/>
        </w:rPr>
        <w:t>ARTICULO 1°</w:t>
      </w:r>
    </w:p>
    <w:p w:rsidR="00363F48" w:rsidRPr="00A54C5B" w:rsidRDefault="00363F48" w:rsidP="00750455">
      <w:p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Para modificar el Código Procesal Penal:</w:t>
      </w:r>
    </w:p>
    <w:p w:rsidR="00A54C5B" w:rsidRPr="00A54C5B" w:rsidRDefault="00A54C5B" w:rsidP="00750455">
      <w:pPr>
        <w:pStyle w:val="Prrafodelista"/>
        <w:numPr>
          <w:ilvl w:val="0"/>
          <w:numId w:val="13"/>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Modifíquese el artículo 289 en el siguiente sentido:</w:t>
      </w:r>
    </w:p>
    <w:p w:rsidR="00A54C5B" w:rsidRPr="00A54C5B" w:rsidRDefault="00A54C5B" w:rsidP="00750455">
      <w:pPr>
        <w:pStyle w:val="Prrafodelista"/>
        <w:numPr>
          <w:ilvl w:val="0"/>
          <w:numId w:val="14"/>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lastRenderedPageBreak/>
        <w:t>Agréguese</w:t>
      </w:r>
      <w:r w:rsidRPr="00A54C5B">
        <w:rPr>
          <w:rFonts w:ascii="Garamond" w:hAnsi="Garamond" w:cs="Courier New"/>
          <w:color w:val="000000" w:themeColor="text1"/>
          <w:sz w:val="28"/>
          <w:szCs w:val="28"/>
        </w:rPr>
        <w:t xml:space="preserve"> en el inciso primero</w:t>
      </w:r>
    </w:p>
    <w:p w:rsidR="00A54C5B" w:rsidRPr="00A54C5B" w:rsidRDefault="00A54C5B" w:rsidP="00750455">
      <w:pPr>
        <w:pStyle w:val="Prrafodelista"/>
        <w:numPr>
          <w:ilvl w:val="0"/>
          <w:numId w:val="15"/>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Luego de la palabra “pública” la frase:  “por regla general”;</w:t>
      </w:r>
    </w:p>
    <w:p w:rsidR="00A54C5B" w:rsidRPr="00A54C5B" w:rsidRDefault="00A54C5B" w:rsidP="00750455">
      <w:pPr>
        <w:pStyle w:val="Prrafodelista"/>
        <w:numPr>
          <w:ilvl w:val="0"/>
          <w:numId w:val="15"/>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 xml:space="preserve">Luego de “juicio”, agregar la frase: “, en especial de la víctima o </w:t>
      </w:r>
      <w:r>
        <w:rPr>
          <w:rFonts w:ascii="Garamond" w:hAnsi="Garamond" w:cs="Courier New"/>
          <w:color w:val="000000" w:themeColor="text1"/>
          <w:sz w:val="28"/>
          <w:szCs w:val="28"/>
        </w:rPr>
        <w:t>d</w:t>
      </w:r>
      <w:r w:rsidRPr="00A54C5B">
        <w:rPr>
          <w:rFonts w:ascii="Garamond" w:hAnsi="Garamond" w:cs="Courier New"/>
          <w:color w:val="000000" w:themeColor="text1"/>
          <w:sz w:val="28"/>
          <w:szCs w:val="28"/>
        </w:rPr>
        <w:t>el imputado,”</w:t>
      </w:r>
    </w:p>
    <w:p w:rsidR="00A54C5B" w:rsidRPr="00A54C5B" w:rsidRDefault="00A54C5B" w:rsidP="00750455">
      <w:pPr>
        <w:pStyle w:val="Prrafodelista"/>
        <w:numPr>
          <w:ilvl w:val="0"/>
          <w:numId w:val="14"/>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Reemplazase el inciso segundo por el siguiente:</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 xml:space="preserve">“El Tribunal podrá utilizar dicha facultad de oficio en casos calificados, cuando exista un peligro grave de vulneración a la privacidad de los intervinientes, en especial cuando se trate de niños, niñas y adolescentes, así como de víctimas de los delitos contemplados en la Ley 20.066. </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Los intervinientes podrán oponerse a dicha medida, resolviendo el tribunal de forma fundada.”</w:t>
      </w:r>
    </w:p>
    <w:p w:rsidR="00A54C5B" w:rsidRPr="00A54C5B" w:rsidRDefault="00A54C5B" w:rsidP="00750455">
      <w:pPr>
        <w:pStyle w:val="Prrafodelista"/>
        <w:spacing w:line="360" w:lineRule="auto"/>
        <w:ind w:left="1080"/>
        <w:jc w:val="both"/>
        <w:rPr>
          <w:rFonts w:ascii="Garamond" w:hAnsi="Garamond" w:cs="Courier New"/>
          <w:color w:val="000000" w:themeColor="text1"/>
          <w:sz w:val="28"/>
          <w:szCs w:val="28"/>
        </w:rPr>
      </w:pPr>
    </w:p>
    <w:p w:rsidR="00363F48" w:rsidRPr="00A54C5B" w:rsidRDefault="00363F48" w:rsidP="00750455">
      <w:pPr>
        <w:pStyle w:val="Prrafodelista"/>
        <w:spacing w:line="360" w:lineRule="auto"/>
        <w:ind w:left="1080"/>
        <w:jc w:val="both"/>
        <w:rPr>
          <w:rFonts w:ascii="Garamond" w:hAnsi="Garamond" w:cs="Courier New"/>
          <w:color w:val="000000" w:themeColor="text1"/>
          <w:sz w:val="28"/>
          <w:szCs w:val="28"/>
        </w:rPr>
      </w:pPr>
    </w:p>
    <w:p w:rsidR="00363F48" w:rsidRPr="00A54C5B" w:rsidRDefault="00363F48" w:rsidP="00750455">
      <w:pPr>
        <w:pStyle w:val="Prrafodelista"/>
        <w:numPr>
          <w:ilvl w:val="0"/>
          <w:numId w:val="4"/>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Agréguese un nuevo artículo 289 bis:</w:t>
      </w:r>
    </w:p>
    <w:p w:rsidR="00A54C5B" w:rsidRPr="00A54C5B" w:rsidRDefault="00363F48"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w:t>
      </w:r>
      <w:r w:rsidR="00A54C5B" w:rsidRPr="00A54C5B">
        <w:rPr>
          <w:rFonts w:ascii="Garamond" w:hAnsi="Garamond" w:cs="Courier New"/>
          <w:color w:val="000000" w:themeColor="text1"/>
          <w:sz w:val="28"/>
          <w:szCs w:val="28"/>
        </w:rPr>
        <w:t xml:space="preserve">Los medios de comunicación social podrán fotografiar, filmar o transmitir alguna parte de las audiencias de juicio que el tribunal determinare. </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 xml:space="preserve">Los intervinientes podrán oponerse a esto, para preservar la intimidad, la privacidad y el honor de los imputados y las víctimas, como así el debido respeto a </w:t>
      </w:r>
      <w:r w:rsidRPr="00A54C5B">
        <w:rPr>
          <w:rFonts w:ascii="Garamond" w:hAnsi="Garamond" w:cs="Courier New"/>
          <w:color w:val="000000" w:themeColor="text1"/>
          <w:sz w:val="28"/>
          <w:szCs w:val="28"/>
        </w:rPr>
        <w:t>esta</w:t>
      </w:r>
      <w:r w:rsidRPr="00A54C5B">
        <w:rPr>
          <w:rFonts w:ascii="Garamond" w:hAnsi="Garamond" w:cs="Courier New"/>
          <w:color w:val="000000" w:themeColor="text1"/>
          <w:sz w:val="28"/>
          <w:szCs w:val="28"/>
        </w:rPr>
        <w:t xml:space="preserve"> o a su familia, para lo cual el Tribunal resolverá, decretando alguna de las siguientes medidas:</w:t>
      </w:r>
    </w:p>
    <w:p w:rsidR="00A54C5B" w:rsidRPr="00A54C5B" w:rsidRDefault="00A54C5B" w:rsidP="00750455">
      <w:pPr>
        <w:pStyle w:val="Prrafodelista"/>
        <w:numPr>
          <w:ilvl w:val="0"/>
          <w:numId w:val="16"/>
        </w:num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Prohibir a los medios de comunicación social el acceso a la sala de audiencia</w:t>
      </w:r>
      <w:r w:rsidRPr="00A54C5B">
        <w:rPr>
          <w:rFonts w:ascii="Garamond" w:hAnsi="Garamond" w:cs="Didot"/>
          <w:color w:val="000000" w:themeColor="text1"/>
          <w:sz w:val="28"/>
          <w:szCs w:val="28"/>
        </w:rPr>
        <w:t>.</w:t>
      </w:r>
    </w:p>
    <w:p w:rsidR="00A54C5B" w:rsidRPr="00A54C5B" w:rsidRDefault="00A54C5B" w:rsidP="00750455">
      <w:pPr>
        <w:pStyle w:val="Prrafodelista"/>
        <w:numPr>
          <w:ilvl w:val="0"/>
          <w:numId w:val="16"/>
        </w:num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 xml:space="preserve">Prohibir la grabación de imágenes o sonidos de determinadas pruebas, </w:t>
      </w:r>
    </w:p>
    <w:p w:rsidR="00A54C5B" w:rsidRPr="00A54C5B" w:rsidRDefault="00A54C5B" w:rsidP="00750455">
      <w:pPr>
        <w:pStyle w:val="Prrafodelista"/>
        <w:numPr>
          <w:ilvl w:val="0"/>
          <w:numId w:val="16"/>
        </w:num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Prohibir la trasmisión de imágenes de algunos de los intervinientes, testigos, peritos;</w:t>
      </w:r>
    </w:p>
    <w:p w:rsidR="00A54C5B" w:rsidRPr="00A54C5B" w:rsidRDefault="00A54C5B" w:rsidP="00750455">
      <w:pPr>
        <w:pStyle w:val="Prrafodelista"/>
        <w:numPr>
          <w:ilvl w:val="0"/>
          <w:numId w:val="16"/>
        </w:num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lastRenderedPageBreak/>
        <w:t>Prohibir que se divulgue la identidad de víctimas, testigos, peritos o cualquier otro interviniente en el juicio.</w:t>
      </w:r>
    </w:p>
    <w:p w:rsidR="00363F48" w:rsidRPr="00A54C5B" w:rsidRDefault="00A54C5B" w:rsidP="00750455">
      <w:p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En caso que se infrinja dicha restricción, se sancionará dicha conducta según lo previsto en el inciso 2º del artículo 240 Código de Procedimiento Civil.”</w:t>
      </w:r>
      <w:r w:rsidRPr="00A54C5B">
        <w:rPr>
          <w:rFonts w:ascii="Garamond" w:hAnsi="Garamond" w:cs="Courier New"/>
          <w:color w:val="000000" w:themeColor="text1"/>
          <w:sz w:val="28"/>
          <w:szCs w:val="28"/>
        </w:rPr>
        <w:t>.</w:t>
      </w:r>
    </w:p>
    <w:p w:rsidR="00363F48" w:rsidRPr="00A54C5B" w:rsidRDefault="00363F48" w:rsidP="00750455">
      <w:pPr>
        <w:pStyle w:val="Prrafodelista"/>
        <w:numPr>
          <w:ilvl w:val="0"/>
          <w:numId w:val="4"/>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Modifíquese el articulo 330 en el siguiente sentido:</w:t>
      </w:r>
    </w:p>
    <w:p w:rsidR="00A54C5B" w:rsidRPr="00A54C5B" w:rsidRDefault="00A54C5B" w:rsidP="00750455">
      <w:pPr>
        <w:pStyle w:val="Prrafodelista"/>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Agréguese en el inciso primero, luego del verbo “coaccionar”, la frase: “o a acosar”.</w:t>
      </w:r>
    </w:p>
    <w:p w:rsidR="00A54C5B" w:rsidRPr="00A54C5B" w:rsidRDefault="00A54C5B" w:rsidP="00750455">
      <w:pPr>
        <w:pStyle w:val="Prrafodelista"/>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Intercálese el siguiente inciso segundo:</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“En relación a la víctima, no se podrán realizar interrogaciones ni contrainterrogatorios que perturben la intimidad, la privacidad o la honra de este, a menos que el mismo acepte responder.”</w:t>
      </w:r>
    </w:p>
    <w:p w:rsidR="00363F48" w:rsidRPr="00A54C5B" w:rsidRDefault="00363F48" w:rsidP="00750455">
      <w:pPr>
        <w:spacing w:line="360" w:lineRule="auto"/>
        <w:jc w:val="both"/>
        <w:rPr>
          <w:rFonts w:ascii="Garamond" w:hAnsi="Garamond" w:cs="Courier New"/>
          <w:color w:val="000000" w:themeColor="text1"/>
          <w:sz w:val="28"/>
          <w:szCs w:val="28"/>
        </w:rPr>
      </w:pPr>
    </w:p>
    <w:p w:rsidR="00363F48" w:rsidRPr="00A54C5B" w:rsidRDefault="00363F48" w:rsidP="00750455">
      <w:pPr>
        <w:spacing w:line="360" w:lineRule="auto"/>
        <w:jc w:val="both"/>
        <w:rPr>
          <w:rFonts w:ascii="Garamond" w:hAnsi="Garamond" w:cs="Courier New"/>
          <w:b/>
          <w:color w:val="000000" w:themeColor="text1"/>
          <w:sz w:val="28"/>
          <w:szCs w:val="28"/>
        </w:rPr>
      </w:pPr>
      <w:r w:rsidRPr="00A54C5B">
        <w:rPr>
          <w:rFonts w:ascii="Garamond" w:hAnsi="Garamond" w:cs="Courier New"/>
          <w:b/>
          <w:color w:val="000000" w:themeColor="text1"/>
          <w:sz w:val="28"/>
          <w:szCs w:val="28"/>
        </w:rPr>
        <w:t>ARTICULO 2°</w:t>
      </w:r>
    </w:p>
    <w:p w:rsidR="00363F48" w:rsidRPr="00A54C5B" w:rsidRDefault="00363F48" w:rsidP="00750455">
      <w:p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Modifíquese la Ley N° 19.968, reemplazando el inciso segundo del articulo 15 por el siguiente:</w:t>
      </w:r>
    </w:p>
    <w:p w:rsidR="00A54C5B" w:rsidRPr="00A54C5B" w:rsidRDefault="00363F48"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w:t>
      </w:r>
      <w:r w:rsidR="00A54C5B" w:rsidRPr="00A54C5B">
        <w:rPr>
          <w:rFonts w:ascii="Garamond" w:hAnsi="Garamond" w:cs="Courier New"/>
          <w:color w:val="000000" w:themeColor="text1"/>
          <w:sz w:val="28"/>
          <w:szCs w:val="28"/>
        </w:rPr>
        <w:t xml:space="preserve">“Excepcionalmente, serán reservados cuando exista un peligro grave de afectación del derecho a la privacidad y al honor de las partes, especialmente en casos de violencia intrafamiliar, o cuando intervengan niños, niñas y adolescentes, a menos que sea autorizado por los intervinientes y autorizado </w:t>
      </w:r>
      <w:r w:rsidR="00A54C5B" w:rsidRPr="00A54C5B">
        <w:rPr>
          <w:rFonts w:ascii="Garamond" w:hAnsi="Garamond" w:cs="Courier New"/>
          <w:color w:val="000000" w:themeColor="text1"/>
          <w:sz w:val="28"/>
          <w:szCs w:val="28"/>
        </w:rPr>
        <w:t>por el</w:t>
      </w:r>
      <w:r w:rsidR="00A54C5B" w:rsidRPr="00A54C5B">
        <w:rPr>
          <w:rFonts w:ascii="Garamond" w:hAnsi="Garamond" w:cs="Courier New"/>
          <w:color w:val="000000" w:themeColor="text1"/>
          <w:sz w:val="28"/>
          <w:szCs w:val="28"/>
        </w:rPr>
        <w:t xml:space="preserve"> juez. </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Para llevar a cabo dicha restricción el juez podrá disponer una o más de las siguientes medidas:</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a) Impedir el acceso u ordenar la salida de personas determinadas o del público en general, de la sala donde se efectúa la</w:t>
      </w:r>
      <w:r>
        <w:rPr>
          <w:rFonts w:ascii="Garamond" w:hAnsi="Garamond" w:cs="Courier New"/>
          <w:color w:val="000000" w:themeColor="text1"/>
          <w:sz w:val="28"/>
          <w:szCs w:val="28"/>
        </w:rPr>
        <w:t xml:space="preserve"> audiencia;</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lastRenderedPageBreak/>
        <w:t>b) Impedir el acceso del público en general o de los medios de comunicación social, u ordenar su salida para la prác</w:t>
      </w:r>
      <w:r>
        <w:rPr>
          <w:rFonts w:ascii="Garamond" w:hAnsi="Garamond" w:cs="Courier New"/>
          <w:color w:val="000000" w:themeColor="text1"/>
          <w:sz w:val="28"/>
          <w:szCs w:val="28"/>
        </w:rPr>
        <w:t>tica de diligencias específicas;</w:t>
      </w:r>
    </w:p>
    <w:p w:rsidR="00A54C5B" w:rsidRPr="00A54C5B" w:rsidRDefault="00A54C5B" w:rsidP="00750455">
      <w:pPr>
        <w:autoSpaceDE w:val="0"/>
        <w:autoSpaceDN w:val="0"/>
        <w:adjustRightInd w:val="0"/>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c) Prohibir la grabación y transmisión de imágenes o del sonido de las audiencias;</w:t>
      </w:r>
    </w:p>
    <w:p w:rsidR="00A54C5B" w:rsidRPr="00A54C5B" w:rsidRDefault="00A54C5B" w:rsidP="00750455">
      <w:p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d) Prohibir que se divulgue la identidad de víctimas, testigos, peritos o cualquier otro interviniente en el juicio, para lo cual se podrá suprimir de las actas de audiencias toda información que pud</w:t>
      </w:r>
      <w:r>
        <w:rPr>
          <w:rFonts w:ascii="Garamond" w:hAnsi="Garamond" w:cs="Courier New"/>
          <w:color w:val="000000" w:themeColor="text1"/>
          <w:sz w:val="28"/>
          <w:szCs w:val="28"/>
        </w:rPr>
        <w:t>iera servir para identificarlos;</w:t>
      </w:r>
    </w:p>
    <w:p w:rsidR="00A54C5B" w:rsidRPr="00A54C5B" w:rsidRDefault="00A54C5B" w:rsidP="00750455">
      <w:pPr>
        <w:spacing w:line="360" w:lineRule="auto"/>
        <w:jc w:val="both"/>
        <w:rPr>
          <w:rFonts w:ascii="Garamond" w:hAnsi="Garamond" w:cs="Courier New"/>
          <w:color w:val="000000" w:themeColor="text1"/>
          <w:sz w:val="28"/>
          <w:szCs w:val="28"/>
        </w:rPr>
      </w:pPr>
      <w:r w:rsidRPr="00A54C5B">
        <w:rPr>
          <w:rFonts w:ascii="Garamond" w:hAnsi="Garamond" w:cs="Didot"/>
          <w:color w:val="000000" w:themeColor="text1"/>
          <w:sz w:val="28"/>
          <w:szCs w:val="28"/>
        </w:rPr>
        <w:t>e</w:t>
      </w:r>
      <w:r w:rsidRPr="00A54C5B">
        <w:rPr>
          <w:rFonts w:ascii="Garamond" w:hAnsi="Garamond" w:cs="Courier New"/>
          <w:color w:val="000000" w:themeColor="text1"/>
          <w:sz w:val="28"/>
          <w:szCs w:val="28"/>
        </w:rPr>
        <w:t>) Prohibir a los intervinientes que entreguen información o formulen declaraciones a los medios de comunicación social relativas a la identidad de la víctima o testigo y su declaración</w:t>
      </w:r>
      <w:r>
        <w:rPr>
          <w:rFonts w:ascii="Garamond" w:hAnsi="Garamond" w:cs="Courier New"/>
          <w:color w:val="000000" w:themeColor="text1"/>
          <w:sz w:val="28"/>
          <w:szCs w:val="28"/>
        </w:rPr>
        <w:t>;</w:t>
      </w:r>
    </w:p>
    <w:p w:rsidR="00A54C5B" w:rsidRPr="00A54C5B" w:rsidRDefault="00A54C5B" w:rsidP="00750455">
      <w:pPr>
        <w:spacing w:line="360" w:lineRule="auto"/>
        <w:jc w:val="both"/>
        <w:rPr>
          <w:rFonts w:ascii="Garamond" w:hAnsi="Garamond" w:cs="Courier New"/>
          <w:color w:val="000000" w:themeColor="text1"/>
          <w:sz w:val="28"/>
          <w:szCs w:val="28"/>
          <w:lang w:val="es-ES"/>
        </w:rPr>
      </w:pPr>
      <w:r w:rsidRPr="00A54C5B">
        <w:rPr>
          <w:rFonts w:ascii="Garamond" w:hAnsi="Garamond" w:cs="Courier New"/>
          <w:color w:val="000000" w:themeColor="text1"/>
          <w:sz w:val="28"/>
          <w:szCs w:val="28"/>
          <w:lang w:val="es-ES"/>
        </w:rPr>
        <w:t>e) Resguardar la privacidad de la víctima en casos de violencia intrafamiliar, o del niño, niña o adolescente que concurra a declarar, y evitar que tenga contacto con los demás asistentes a la audiencia, especialmente durante el ingreso y salida del recinto donde funcione el tribunal.</w:t>
      </w:r>
      <w:r w:rsidRPr="00A54C5B">
        <w:rPr>
          <w:rFonts w:ascii="Garamond" w:hAnsi="Garamond" w:cs="Courier New"/>
          <w:color w:val="000000" w:themeColor="text1"/>
          <w:sz w:val="28"/>
          <w:szCs w:val="28"/>
        </w:rPr>
        <w:t>”</w:t>
      </w:r>
    </w:p>
    <w:p w:rsidR="00363F48" w:rsidRPr="00A54C5B" w:rsidRDefault="00363F48" w:rsidP="00750455">
      <w:pPr>
        <w:autoSpaceDE w:val="0"/>
        <w:autoSpaceDN w:val="0"/>
        <w:adjustRightInd w:val="0"/>
        <w:spacing w:line="360" w:lineRule="auto"/>
        <w:jc w:val="both"/>
        <w:rPr>
          <w:rFonts w:ascii="Garamond" w:hAnsi="Garamond" w:cs="Courier New"/>
          <w:color w:val="000000" w:themeColor="text1"/>
          <w:sz w:val="28"/>
          <w:szCs w:val="28"/>
        </w:rPr>
      </w:pPr>
    </w:p>
    <w:p w:rsidR="00363F48" w:rsidRPr="00A54C5B" w:rsidRDefault="00363F48" w:rsidP="00750455">
      <w:pPr>
        <w:spacing w:line="360" w:lineRule="auto"/>
        <w:jc w:val="both"/>
        <w:rPr>
          <w:rFonts w:ascii="Garamond" w:hAnsi="Garamond" w:cs="Courier New"/>
          <w:color w:val="000000" w:themeColor="text1"/>
          <w:sz w:val="28"/>
          <w:szCs w:val="28"/>
        </w:rPr>
      </w:pPr>
    </w:p>
    <w:p w:rsidR="00363F48" w:rsidRPr="00A54C5B" w:rsidRDefault="00363F48" w:rsidP="00750455">
      <w:pPr>
        <w:spacing w:line="360" w:lineRule="auto"/>
        <w:jc w:val="both"/>
        <w:rPr>
          <w:rFonts w:ascii="Garamond" w:hAnsi="Garamond" w:cs="Courier New"/>
          <w:b/>
          <w:color w:val="000000" w:themeColor="text1"/>
          <w:sz w:val="28"/>
          <w:szCs w:val="28"/>
        </w:rPr>
      </w:pPr>
      <w:r w:rsidRPr="00A54C5B">
        <w:rPr>
          <w:rFonts w:ascii="Garamond" w:hAnsi="Garamond" w:cs="Courier New"/>
          <w:b/>
          <w:color w:val="000000" w:themeColor="text1"/>
          <w:sz w:val="28"/>
          <w:szCs w:val="28"/>
        </w:rPr>
        <w:t>ARTICULO 3°</w:t>
      </w:r>
    </w:p>
    <w:p w:rsidR="00363F48" w:rsidRPr="00A54C5B" w:rsidRDefault="00363F48" w:rsidP="00750455">
      <w:p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Para modificar el artículo 1° de la ley N° 18.838, de la siguiente forma:</w:t>
      </w:r>
    </w:p>
    <w:p w:rsidR="00A54C5B" w:rsidRPr="00A54C5B" w:rsidRDefault="00A54C5B" w:rsidP="00750455">
      <w:p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 xml:space="preserve">En el </w:t>
      </w:r>
      <w:r w:rsidRPr="00A54C5B">
        <w:rPr>
          <w:rFonts w:ascii="Garamond" w:hAnsi="Garamond" w:cs="Courier New"/>
          <w:color w:val="000000" w:themeColor="text1"/>
          <w:sz w:val="28"/>
          <w:szCs w:val="28"/>
        </w:rPr>
        <w:t>artículo</w:t>
      </w:r>
      <w:r w:rsidRPr="00A54C5B">
        <w:rPr>
          <w:rFonts w:ascii="Garamond" w:hAnsi="Garamond" w:cs="Courier New"/>
          <w:color w:val="000000" w:themeColor="text1"/>
          <w:sz w:val="28"/>
          <w:szCs w:val="28"/>
        </w:rPr>
        <w:t xml:space="preserve"> 1°:</w:t>
      </w:r>
    </w:p>
    <w:p w:rsidR="00A54C5B" w:rsidRPr="00A54C5B" w:rsidRDefault="00750455" w:rsidP="00750455">
      <w:pPr>
        <w:pStyle w:val="Prrafodelista"/>
        <w:numPr>
          <w:ilvl w:val="0"/>
          <w:numId w:val="18"/>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Intercálese</w:t>
      </w:r>
      <w:r w:rsidR="00A54C5B" w:rsidRPr="00A54C5B">
        <w:rPr>
          <w:rFonts w:ascii="Garamond" w:hAnsi="Garamond" w:cs="Courier New"/>
          <w:color w:val="000000" w:themeColor="text1"/>
          <w:sz w:val="28"/>
          <w:szCs w:val="28"/>
        </w:rPr>
        <w:t xml:space="preserve"> en el inciso cuarto luego de la palabra “mujeres” seguido de una coma (,), la frase “a la intimidad y la privacidad de las personas”</w:t>
      </w:r>
    </w:p>
    <w:p w:rsidR="00A54C5B" w:rsidRPr="00A54C5B" w:rsidRDefault="00750455" w:rsidP="00750455">
      <w:pPr>
        <w:pStyle w:val="Prrafodelista"/>
        <w:numPr>
          <w:ilvl w:val="0"/>
          <w:numId w:val="18"/>
        </w:numPr>
        <w:spacing w:line="360" w:lineRule="auto"/>
        <w:jc w:val="both"/>
        <w:rPr>
          <w:rFonts w:ascii="Garamond" w:hAnsi="Garamond" w:cs="Courier New"/>
          <w:color w:val="000000" w:themeColor="text1"/>
          <w:sz w:val="28"/>
          <w:szCs w:val="28"/>
        </w:rPr>
      </w:pPr>
      <w:r w:rsidRPr="00A54C5B">
        <w:rPr>
          <w:rFonts w:ascii="Garamond" w:hAnsi="Garamond" w:cs="Courier New"/>
          <w:color w:val="000000" w:themeColor="text1"/>
          <w:sz w:val="28"/>
          <w:szCs w:val="28"/>
        </w:rPr>
        <w:t>Agréguese</w:t>
      </w:r>
      <w:r w:rsidR="00A54C5B" w:rsidRPr="00A54C5B">
        <w:rPr>
          <w:rFonts w:ascii="Garamond" w:hAnsi="Garamond" w:cs="Courier New"/>
          <w:color w:val="000000" w:themeColor="text1"/>
          <w:sz w:val="28"/>
          <w:szCs w:val="28"/>
        </w:rPr>
        <w:t xml:space="preserve"> un inciso noveno y final del siguiente tenor:</w:t>
      </w:r>
    </w:p>
    <w:p w:rsidR="00A54C5B" w:rsidRPr="00A54C5B" w:rsidRDefault="00A54C5B" w:rsidP="00750455">
      <w:pPr>
        <w:pStyle w:val="HTMLconformatoprevio"/>
        <w:shd w:val="clear" w:color="auto" w:fill="FFFFFF"/>
        <w:spacing w:line="360" w:lineRule="auto"/>
        <w:jc w:val="both"/>
        <w:rPr>
          <w:rFonts w:ascii="Garamond" w:hAnsi="Garamond"/>
          <w:color w:val="000000" w:themeColor="text1"/>
          <w:sz w:val="28"/>
          <w:szCs w:val="28"/>
        </w:rPr>
      </w:pPr>
      <w:r w:rsidRPr="00A54C5B">
        <w:rPr>
          <w:rFonts w:ascii="Garamond" w:hAnsi="Garamond"/>
          <w:color w:val="000000" w:themeColor="text1"/>
          <w:sz w:val="28"/>
          <w:szCs w:val="28"/>
        </w:rPr>
        <w:t>“</w:t>
      </w:r>
      <w:r w:rsidRPr="00A54C5B">
        <w:rPr>
          <w:rFonts w:ascii="Garamond" w:hAnsi="Garamond"/>
          <w:iCs/>
          <w:color w:val="000000" w:themeColor="text1"/>
          <w:sz w:val="28"/>
          <w:szCs w:val="28"/>
          <w:shd w:val="clear" w:color="auto" w:fill="FFFFFF"/>
        </w:rPr>
        <w:t>Para el correcto funcionamiento de estos servicios se evitará difundir contenidos denigratorios de la dignidad de la mujer.”.</w:t>
      </w:r>
    </w:p>
    <w:p w:rsidR="00363F48" w:rsidRPr="00A54C5B" w:rsidRDefault="00363F48" w:rsidP="00750455">
      <w:pPr>
        <w:autoSpaceDE w:val="0"/>
        <w:autoSpaceDN w:val="0"/>
        <w:adjustRightInd w:val="0"/>
        <w:spacing w:after="0" w:line="360" w:lineRule="auto"/>
        <w:jc w:val="both"/>
        <w:rPr>
          <w:rFonts w:ascii="Garamond" w:hAnsi="Garamond" w:cs="Times New Roman"/>
          <w:color w:val="000000" w:themeColor="text1"/>
          <w:sz w:val="28"/>
          <w:szCs w:val="28"/>
        </w:rPr>
      </w:pPr>
    </w:p>
    <w:sectPr w:rsidR="00363F48" w:rsidRPr="00A54C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13" w:rsidRDefault="00D43213" w:rsidP="0090742A">
      <w:pPr>
        <w:spacing w:after="0" w:line="240" w:lineRule="auto"/>
      </w:pPr>
      <w:r>
        <w:separator/>
      </w:r>
    </w:p>
  </w:endnote>
  <w:endnote w:type="continuationSeparator" w:id="0">
    <w:p w:rsidR="00D43213" w:rsidRDefault="00D43213" w:rsidP="0090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dot">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13" w:rsidRDefault="00D43213" w:rsidP="0090742A">
      <w:pPr>
        <w:spacing w:after="0" w:line="240" w:lineRule="auto"/>
      </w:pPr>
      <w:r>
        <w:separator/>
      </w:r>
    </w:p>
  </w:footnote>
  <w:footnote w:type="continuationSeparator" w:id="0">
    <w:p w:rsidR="00D43213" w:rsidRDefault="00D43213" w:rsidP="0090742A">
      <w:pPr>
        <w:spacing w:after="0" w:line="240" w:lineRule="auto"/>
      </w:pPr>
      <w:r>
        <w:continuationSeparator/>
      </w:r>
    </w:p>
  </w:footnote>
  <w:footnote w:id="1">
    <w:p w:rsidR="0090742A" w:rsidRPr="00CD3EDE" w:rsidRDefault="0090742A">
      <w:pPr>
        <w:pStyle w:val="Textonotapie"/>
        <w:rPr>
          <w:rFonts w:ascii="Garamond" w:hAnsi="Garamond"/>
        </w:rPr>
      </w:pPr>
      <w:r w:rsidRPr="00CD3EDE">
        <w:rPr>
          <w:rStyle w:val="Refdenotaalpie"/>
          <w:rFonts w:ascii="Garamond" w:hAnsi="Garamond"/>
          <w:sz w:val="28"/>
          <w:szCs w:val="28"/>
        </w:rPr>
        <w:footnoteRef/>
      </w:r>
      <w:r w:rsidRPr="00CD3EDE">
        <w:rPr>
          <w:rFonts w:ascii="Garamond" w:hAnsi="Garamond"/>
          <w:sz w:val="28"/>
          <w:szCs w:val="28"/>
        </w:rPr>
        <w:t xml:space="preserve"> </w:t>
      </w:r>
      <w:r w:rsidRPr="00CD3EDE">
        <w:rPr>
          <w:rFonts w:ascii="Garamond" w:hAnsi="Garamond"/>
          <w:color w:val="000000"/>
        </w:rPr>
        <w:t>Nino, Carlos S.; "Fundamentos de derecho constitucional. Análisis filosófico, jurídico y politológico de la práctica constitucional", Ed. Astrea, 1992, pág. 327</w:t>
      </w:r>
    </w:p>
  </w:footnote>
  <w:footnote w:id="2">
    <w:p w:rsidR="00CD3EDE" w:rsidRPr="00CD3EDE" w:rsidRDefault="00CD3EDE">
      <w:pPr>
        <w:pStyle w:val="Textonotapie"/>
        <w:rPr>
          <w:rFonts w:ascii="Garamond" w:hAnsi="Garamond"/>
        </w:rPr>
      </w:pPr>
      <w:r w:rsidRPr="00CD3EDE">
        <w:rPr>
          <w:rStyle w:val="Refdenotaalpie"/>
          <w:rFonts w:ascii="Garamond" w:hAnsi="Garamond"/>
        </w:rPr>
        <w:footnoteRef/>
      </w:r>
      <w:r w:rsidRPr="00CD3EDE">
        <w:rPr>
          <w:rFonts w:ascii="Garamond" w:hAnsi="Garamond"/>
        </w:rPr>
        <w:t xml:space="preserve"> </w:t>
      </w:r>
      <w:proofErr w:type="spellStart"/>
      <w:r w:rsidRPr="00CD3EDE">
        <w:rPr>
          <w:rFonts w:ascii="Garamond" w:hAnsi="Garamond"/>
        </w:rPr>
        <w:t>Politoff</w:t>
      </w:r>
      <w:proofErr w:type="spellEnd"/>
      <w:r w:rsidR="002444D8">
        <w:rPr>
          <w:rFonts w:ascii="Garamond" w:hAnsi="Garamond"/>
        </w:rPr>
        <w:t xml:space="preserve">, Sergio; Matus, Jean Pierre y </w:t>
      </w:r>
      <w:proofErr w:type="spellStart"/>
      <w:r w:rsidR="002444D8">
        <w:rPr>
          <w:rFonts w:ascii="Garamond" w:hAnsi="Garamond"/>
        </w:rPr>
        <w:t>Ramirez</w:t>
      </w:r>
      <w:proofErr w:type="spellEnd"/>
      <w:r w:rsidR="002444D8">
        <w:rPr>
          <w:rFonts w:ascii="Garamond" w:hAnsi="Garamond"/>
        </w:rPr>
        <w:t xml:space="preserve">, María. “Lecciones de Derecho Penal, Parte Especial”. Ed. Jurídica, 2005 </w:t>
      </w:r>
      <w:r w:rsidRPr="00CD3EDE">
        <w:rPr>
          <w:rFonts w:ascii="Garamond" w:hAnsi="Garamond"/>
        </w:rPr>
        <w:t>, p. 233</w:t>
      </w:r>
    </w:p>
  </w:footnote>
  <w:footnote w:id="3">
    <w:p w:rsidR="00CD3EDE" w:rsidRPr="00CD3EDE" w:rsidRDefault="00CD3EDE">
      <w:pPr>
        <w:pStyle w:val="Textonotapie"/>
        <w:rPr>
          <w:rFonts w:ascii="Garamond" w:hAnsi="Garamond"/>
          <w:sz w:val="28"/>
          <w:szCs w:val="28"/>
        </w:rPr>
      </w:pPr>
      <w:r w:rsidRPr="00CD3EDE">
        <w:rPr>
          <w:rStyle w:val="Refdenotaalpie"/>
          <w:rFonts w:ascii="Garamond" w:hAnsi="Garamond"/>
        </w:rPr>
        <w:footnoteRef/>
      </w:r>
      <w:r w:rsidRPr="00CD3EDE">
        <w:rPr>
          <w:rFonts w:ascii="Garamond" w:hAnsi="Garamond"/>
        </w:rPr>
        <w:t xml:space="preserve"> </w:t>
      </w:r>
      <w:r w:rsidR="002444D8">
        <w:rPr>
          <w:rFonts w:ascii="Garamond" w:hAnsi="Garamond"/>
        </w:rPr>
        <w:t xml:space="preserve">Fuentes </w:t>
      </w:r>
      <w:proofErr w:type="spellStart"/>
      <w:r w:rsidR="002444D8">
        <w:rPr>
          <w:rFonts w:ascii="Garamond" w:hAnsi="Garamond"/>
        </w:rPr>
        <w:t>Maria</w:t>
      </w:r>
      <w:proofErr w:type="spellEnd"/>
      <w:r w:rsidR="002444D8">
        <w:rPr>
          <w:rFonts w:ascii="Garamond" w:hAnsi="Garamond"/>
        </w:rPr>
        <w:t>. “El Derecho a la Honra como Límite a la Libertad de Información hasta el momento de la Acusación Penal”. En &lt;</w:t>
      </w:r>
      <w:r w:rsidRPr="00CD3EDE">
        <w:rPr>
          <w:rFonts w:ascii="Garamond" w:hAnsi="Garamond"/>
        </w:rPr>
        <w:t>http://www.scielo.cl/scielo.php?script=sci_arttext&amp;pid=S0718-68512011000200014</w:t>
      </w:r>
      <w:r w:rsidR="002444D8">
        <w:rPr>
          <w:rFonts w:ascii="Garamond" w:hAnsi="Garamond"/>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4C1"/>
    <w:multiLevelType w:val="hybridMultilevel"/>
    <w:tmpl w:val="C6C05F58"/>
    <w:lvl w:ilvl="0" w:tplc="F9F26E74">
      <w:start w:val="1"/>
      <w:numFmt w:val="decimal"/>
      <w:lvlText w:val="%1."/>
      <w:lvlJc w:val="left"/>
      <w:pPr>
        <w:ind w:left="1440" w:hanging="360"/>
      </w:pPr>
      <w:rPr>
        <w:rFonts w:cstheme="minorBidi" w:hint="default"/>
        <w:color w:val="00000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E1B598E"/>
    <w:multiLevelType w:val="hybridMultilevel"/>
    <w:tmpl w:val="1E82A3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C2495A"/>
    <w:multiLevelType w:val="hybridMultilevel"/>
    <w:tmpl w:val="DAA22E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BA4B5B"/>
    <w:multiLevelType w:val="hybridMultilevel"/>
    <w:tmpl w:val="54522848"/>
    <w:lvl w:ilvl="0" w:tplc="AA04CA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98E6743"/>
    <w:multiLevelType w:val="hybridMultilevel"/>
    <w:tmpl w:val="B89CCAB4"/>
    <w:lvl w:ilvl="0" w:tplc="E708A2C4">
      <w:start w:val="1"/>
      <w:numFmt w:val="decimal"/>
      <w:lvlText w:val="%1)"/>
      <w:lvlJc w:val="left"/>
      <w:pPr>
        <w:ind w:left="720" w:hanging="360"/>
      </w:pPr>
      <w:rPr>
        <w:rFonts w:ascii="Garamond" w:eastAsiaTheme="minorHAnsi" w:hAnsi="Garamond" w:cs="Courier New"/>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F6B524E"/>
    <w:multiLevelType w:val="hybridMultilevel"/>
    <w:tmpl w:val="7A5C95B4"/>
    <w:lvl w:ilvl="0" w:tplc="B13E051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C8612FF"/>
    <w:multiLevelType w:val="hybridMultilevel"/>
    <w:tmpl w:val="D17CFC5C"/>
    <w:lvl w:ilvl="0" w:tplc="CEE856E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40692EE6"/>
    <w:multiLevelType w:val="hybridMultilevel"/>
    <w:tmpl w:val="D01E94C0"/>
    <w:lvl w:ilvl="0" w:tplc="180004B6">
      <w:start w:val="1"/>
      <w:numFmt w:val="lowerLetter"/>
      <w:lvlText w:val="%1)"/>
      <w:lvlJc w:val="left"/>
      <w:pPr>
        <w:ind w:left="720" w:hanging="360"/>
      </w:pPr>
      <w:rPr>
        <w:rFonts w:ascii="Courier New" w:eastAsiaTheme="minorHAnsi" w:hAnsi="Courier New" w:cs="Courier New"/>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50213AC4"/>
    <w:multiLevelType w:val="hybridMultilevel"/>
    <w:tmpl w:val="E5CA15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5AC7DC3"/>
    <w:multiLevelType w:val="hybridMultilevel"/>
    <w:tmpl w:val="36B059E2"/>
    <w:lvl w:ilvl="0" w:tplc="4C02572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5AF129E6"/>
    <w:multiLevelType w:val="hybridMultilevel"/>
    <w:tmpl w:val="399EE6F2"/>
    <w:lvl w:ilvl="0" w:tplc="F686F4EA">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5C503C09"/>
    <w:multiLevelType w:val="hybridMultilevel"/>
    <w:tmpl w:val="DCF064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A6671FE"/>
    <w:multiLevelType w:val="hybridMultilevel"/>
    <w:tmpl w:val="2C0C3C02"/>
    <w:lvl w:ilvl="0" w:tplc="91E2207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8"/>
  </w:num>
  <w:num w:numId="5">
    <w:abstractNumId w:val="3"/>
  </w:num>
  <w:num w:numId="6">
    <w:abstractNumId w:val="10"/>
  </w:num>
  <w:num w:numId="7">
    <w:abstractNumId w:val="11"/>
  </w:num>
  <w:num w:numId="8">
    <w:abstractNumId w:val="5"/>
  </w:num>
  <w:num w:numId="9">
    <w:abstractNumId w:val="2"/>
  </w:num>
  <w:num w:numId="10">
    <w:abstractNumId w:val="9"/>
  </w:num>
  <w:num w:numId="11">
    <w:abstractNumId w:val="4"/>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37"/>
    <w:rsid w:val="0012608D"/>
    <w:rsid w:val="00146E5A"/>
    <w:rsid w:val="0022736D"/>
    <w:rsid w:val="002444D8"/>
    <w:rsid w:val="0033317A"/>
    <w:rsid w:val="00363F48"/>
    <w:rsid w:val="003B6249"/>
    <w:rsid w:val="003C188F"/>
    <w:rsid w:val="00460572"/>
    <w:rsid w:val="004D7737"/>
    <w:rsid w:val="005010D1"/>
    <w:rsid w:val="00554638"/>
    <w:rsid w:val="00692DCF"/>
    <w:rsid w:val="00715F31"/>
    <w:rsid w:val="00733FAB"/>
    <w:rsid w:val="00750455"/>
    <w:rsid w:val="007C43B2"/>
    <w:rsid w:val="007C7EA6"/>
    <w:rsid w:val="0090742A"/>
    <w:rsid w:val="009A4263"/>
    <w:rsid w:val="009F76A6"/>
    <w:rsid w:val="00A54C5B"/>
    <w:rsid w:val="00B95794"/>
    <w:rsid w:val="00C466CB"/>
    <w:rsid w:val="00CA4AA3"/>
    <w:rsid w:val="00CD3EDE"/>
    <w:rsid w:val="00D43213"/>
    <w:rsid w:val="00EC44AB"/>
    <w:rsid w:val="00F36BFE"/>
    <w:rsid w:val="00F848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C3E7"/>
  <w15:chartTrackingRefBased/>
  <w15:docId w15:val="{FC00B127-9090-470D-8868-15B4EB45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737"/>
    <w:pPr>
      <w:ind w:left="720"/>
      <w:contextualSpacing/>
    </w:pPr>
  </w:style>
  <w:style w:type="paragraph" w:styleId="Textonotapie">
    <w:name w:val="footnote text"/>
    <w:basedOn w:val="Normal"/>
    <w:link w:val="TextonotapieCar"/>
    <w:uiPriority w:val="99"/>
    <w:semiHidden/>
    <w:unhideWhenUsed/>
    <w:rsid w:val="009074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742A"/>
    <w:rPr>
      <w:sz w:val="20"/>
      <w:szCs w:val="20"/>
    </w:rPr>
  </w:style>
  <w:style w:type="character" w:styleId="Refdenotaalpie">
    <w:name w:val="footnote reference"/>
    <w:basedOn w:val="Fuentedeprrafopredeter"/>
    <w:uiPriority w:val="99"/>
    <w:semiHidden/>
    <w:unhideWhenUsed/>
    <w:rsid w:val="0090742A"/>
    <w:rPr>
      <w:vertAlign w:val="superscript"/>
    </w:rPr>
  </w:style>
  <w:style w:type="paragraph" w:styleId="HTMLconformatoprevio">
    <w:name w:val="HTML Preformatted"/>
    <w:basedOn w:val="Normal"/>
    <w:link w:val="HTMLconformatoprevioCar"/>
    <w:uiPriority w:val="99"/>
    <w:semiHidden/>
    <w:unhideWhenUsed/>
    <w:rsid w:val="0036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63F48"/>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79473">
      <w:bodyDiv w:val="1"/>
      <w:marLeft w:val="0"/>
      <w:marRight w:val="0"/>
      <w:marTop w:val="0"/>
      <w:marBottom w:val="0"/>
      <w:divBdr>
        <w:top w:val="none" w:sz="0" w:space="0" w:color="auto"/>
        <w:left w:val="none" w:sz="0" w:space="0" w:color="auto"/>
        <w:bottom w:val="none" w:sz="0" w:space="0" w:color="auto"/>
        <w:right w:val="none" w:sz="0" w:space="0" w:color="auto"/>
      </w:divBdr>
    </w:div>
    <w:div w:id="848132436">
      <w:bodyDiv w:val="1"/>
      <w:marLeft w:val="0"/>
      <w:marRight w:val="0"/>
      <w:marTop w:val="0"/>
      <w:marBottom w:val="0"/>
      <w:divBdr>
        <w:top w:val="none" w:sz="0" w:space="0" w:color="auto"/>
        <w:left w:val="none" w:sz="0" w:space="0" w:color="auto"/>
        <w:bottom w:val="none" w:sz="0" w:space="0" w:color="auto"/>
        <w:right w:val="none" w:sz="0" w:space="0" w:color="auto"/>
      </w:divBdr>
    </w:div>
    <w:div w:id="1164468178">
      <w:bodyDiv w:val="1"/>
      <w:marLeft w:val="0"/>
      <w:marRight w:val="0"/>
      <w:marTop w:val="0"/>
      <w:marBottom w:val="0"/>
      <w:divBdr>
        <w:top w:val="none" w:sz="0" w:space="0" w:color="auto"/>
        <w:left w:val="none" w:sz="0" w:space="0" w:color="auto"/>
        <w:bottom w:val="none" w:sz="0" w:space="0" w:color="auto"/>
        <w:right w:val="none" w:sz="0" w:space="0" w:color="auto"/>
      </w:divBdr>
    </w:div>
    <w:div w:id="1660037192">
      <w:bodyDiv w:val="1"/>
      <w:marLeft w:val="0"/>
      <w:marRight w:val="0"/>
      <w:marTop w:val="0"/>
      <w:marBottom w:val="0"/>
      <w:divBdr>
        <w:top w:val="none" w:sz="0" w:space="0" w:color="auto"/>
        <w:left w:val="none" w:sz="0" w:space="0" w:color="auto"/>
        <w:bottom w:val="none" w:sz="0" w:space="0" w:color="auto"/>
        <w:right w:val="none" w:sz="0" w:space="0" w:color="auto"/>
      </w:divBdr>
    </w:div>
    <w:div w:id="1881166718">
      <w:bodyDiv w:val="1"/>
      <w:marLeft w:val="0"/>
      <w:marRight w:val="0"/>
      <w:marTop w:val="0"/>
      <w:marBottom w:val="0"/>
      <w:divBdr>
        <w:top w:val="none" w:sz="0" w:space="0" w:color="auto"/>
        <w:left w:val="none" w:sz="0" w:space="0" w:color="auto"/>
        <w:bottom w:val="none" w:sz="0" w:space="0" w:color="auto"/>
        <w:right w:val="none" w:sz="0" w:space="0" w:color="auto"/>
      </w:divBdr>
    </w:div>
    <w:div w:id="21372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10D3-D3D2-4EBA-A417-A9389951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2017-05-05T13:34:00Z</dcterms:created>
  <dcterms:modified xsi:type="dcterms:W3CDTF">2017-05-05T13:34:00Z</dcterms:modified>
</cp:coreProperties>
</file>