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0B" w:rsidRDefault="001E480B" w:rsidP="001E480B">
      <w:pPr>
        <w:pStyle w:val="NormalWeb"/>
        <w:pBdr>
          <w:bottom w:val="single" w:sz="6" w:space="1" w:color="auto"/>
        </w:pBdr>
        <w:spacing w:before="240" w:beforeAutospacing="0" w:after="125" w:afterAutospacing="0" w:line="360" w:lineRule="auto"/>
        <w:ind w:firstLine="708"/>
        <w:jc w:val="center"/>
        <w:textAlignment w:val="baseline"/>
        <w:rPr>
          <w:rFonts w:ascii="Garamond" w:hAnsi="Garamond" w:cs="Arial"/>
          <w:b/>
          <w:sz w:val="28"/>
          <w:szCs w:val="28"/>
        </w:rPr>
      </w:pPr>
      <w:r w:rsidRPr="001E480B">
        <w:rPr>
          <w:rFonts w:ascii="Garamond" w:hAnsi="Garamond" w:cs="Arial"/>
          <w:b/>
          <w:sz w:val="28"/>
          <w:szCs w:val="28"/>
        </w:rPr>
        <w:t>MINUTA CALIFICACION ELECCIONES DE ORGANIZACIONES POR</w:t>
      </w:r>
      <w:r>
        <w:rPr>
          <w:rFonts w:ascii="Garamond" w:hAnsi="Garamond" w:cs="Arial"/>
          <w:b/>
          <w:sz w:val="28"/>
          <w:szCs w:val="28"/>
        </w:rPr>
        <w:t xml:space="preserve"> EL TRIBUNAL ELECTORAL REGIONAL</w:t>
      </w:r>
    </w:p>
    <w:p w:rsidR="001E480B" w:rsidRPr="001E480B" w:rsidRDefault="001E480B" w:rsidP="001E480B">
      <w:pPr>
        <w:pStyle w:val="NormalWeb"/>
        <w:spacing w:before="240" w:beforeAutospacing="0" w:after="125" w:afterAutospacing="0" w:line="360" w:lineRule="auto"/>
        <w:ind w:firstLine="708"/>
        <w:jc w:val="center"/>
        <w:textAlignment w:val="baseline"/>
        <w:rPr>
          <w:rFonts w:ascii="Garamond" w:hAnsi="Garamond" w:cs="Arial"/>
          <w:b/>
          <w:sz w:val="28"/>
          <w:szCs w:val="28"/>
        </w:rPr>
      </w:pPr>
    </w:p>
    <w:p w:rsidR="001E480B" w:rsidRPr="001E480B" w:rsidRDefault="001E480B" w:rsidP="001E480B">
      <w:pPr>
        <w:pStyle w:val="NormalWeb"/>
        <w:spacing w:before="240" w:beforeAutospacing="0" w:after="125" w:afterAutospacing="0" w:line="360" w:lineRule="auto"/>
        <w:ind w:firstLine="708"/>
        <w:jc w:val="both"/>
        <w:textAlignment w:val="baseline"/>
        <w:rPr>
          <w:rFonts w:ascii="Garamond" w:hAnsi="Garamond" w:cs="Arial"/>
          <w:b/>
          <w:sz w:val="28"/>
          <w:szCs w:val="28"/>
        </w:rPr>
      </w:pPr>
      <w:r w:rsidRPr="001E480B">
        <w:rPr>
          <w:rFonts w:ascii="Garamond" w:hAnsi="Garamond" w:cs="Arial"/>
          <w:b/>
          <w:sz w:val="28"/>
          <w:szCs w:val="28"/>
        </w:rPr>
        <w:t>I. ANTECEDENTES.</w:t>
      </w:r>
    </w:p>
    <w:p w:rsidR="001E1852" w:rsidRPr="001E480B" w:rsidRDefault="001E1852" w:rsidP="001E480B">
      <w:pPr>
        <w:pStyle w:val="NormalWeb"/>
        <w:spacing w:before="240" w:beforeAutospacing="0" w:after="125" w:afterAutospacing="0" w:line="360" w:lineRule="auto"/>
        <w:ind w:firstLine="708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1E480B">
        <w:rPr>
          <w:rFonts w:ascii="Garamond" w:hAnsi="Garamond" w:cs="Arial"/>
          <w:sz w:val="28"/>
          <w:szCs w:val="28"/>
        </w:rPr>
        <w:t>El artículo 35 de la Ley N° 20.500</w:t>
      </w:r>
      <w:r w:rsidRPr="001E480B">
        <w:rPr>
          <w:rFonts w:ascii="Garamond" w:eastAsia="Calibri" w:hAnsi="Garamond" w:cs="Courier"/>
          <w:sz w:val="28"/>
          <w:szCs w:val="28"/>
        </w:rPr>
        <w:t xml:space="preserve"> sustituyó en el número 1º del inciso primero del artículo 10 de la ley </w:t>
      </w:r>
      <w:proofErr w:type="spellStart"/>
      <w:r w:rsidRPr="001E480B">
        <w:rPr>
          <w:rFonts w:ascii="Garamond" w:eastAsia="Calibri" w:hAnsi="Garamond" w:cs="Courier"/>
          <w:sz w:val="28"/>
          <w:szCs w:val="28"/>
        </w:rPr>
        <w:t>Nº</w:t>
      </w:r>
      <w:proofErr w:type="spellEnd"/>
      <w:r w:rsidRPr="001E480B">
        <w:rPr>
          <w:rFonts w:ascii="Garamond" w:eastAsia="Calibri" w:hAnsi="Garamond" w:cs="Courier"/>
          <w:sz w:val="28"/>
          <w:szCs w:val="28"/>
        </w:rPr>
        <w:t xml:space="preserve"> 18.593, de los Tribunales Electorales Regionales</w:t>
      </w:r>
      <w:r w:rsidRPr="001E480B">
        <w:rPr>
          <w:rFonts w:ascii="Garamond" w:eastAsia="Calibri" w:hAnsi="Garamond" w:cs="Courier"/>
          <w:sz w:val="28"/>
          <w:szCs w:val="28"/>
        </w:rPr>
        <w:t xml:space="preserve"> (TER)</w:t>
      </w:r>
      <w:r w:rsidRPr="001E480B">
        <w:rPr>
          <w:rFonts w:ascii="Garamond" w:eastAsia="Calibri" w:hAnsi="Garamond" w:cs="Courier"/>
          <w:sz w:val="28"/>
          <w:szCs w:val="28"/>
        </w:rPr>
        <w:t xml:space="preserve">, con lo cual, los Tribunales Electorales Regionales </w:t>
      </w:r>
      <w:r w:rsidRPr="001E480B">
        <w:rPr>
          <w:rFonts w:ascii="Garamond" w:eastAsia="Calibri" w:hAnsi="Garamond" w:cs="Courier"/>
          <w:sz w:val="28"/>
          <w:szCs w:val="28"/>
        </w:rPr>
        <w:t>asumen</w:t>
      </w:r>
      <w:r w:rsidRPr="001E480B">
        <w:rPr>
          <w:rFonts w:ascii="Garamond" w:eastAsia="Calibri" w:hAnsi="Garamond" w:cs="Courier"/>
          <w:sz w:val="28"/>
          <w:szCs w:val="28"/>
        </w:rPr>
        <w:t xml:space="preserve"> la calificación de las elecciones de los grupos intermedios con derecho a participar en la designación de los integrantes de </w:t>
      </w:r>
      <w:r w:rsidR="001E480B" w:rsidRPr="001E480B">
        <w:rPr>
          <w:rFonts w:ascii="Garamond" w:eastAsia="Calibri" w:hAnsi="Garamond" w:cs="Courier"/>
          <w:sz w:val="28"/>
          <w:szCs w:val="28"/>
        </w:rPr>
        <w:t>los consejos</w:t>
      </w:r>
      <w:r w:rsidRPr="001E480B">
        <w:rPr>
          <w:rFonts w:ascii="Garamond" w:hAnsi="Garamond" w:cs="Arial"/>
          <w:sz w:val="28"/>
          <w:szCs w:val="28"/>
        </w:rPr>
        <w:t xml:space="preserve"> comunales de organizaciones de la sociedad civil. </w:t>
      </w:r>
    </w:p>
    <w:p w:rsidR="001E1852" w:rsidRPr="001E480B" w:rsidRDefault="001E1852" w:rsidP="001E480B">
      <w:pPr>
        <w:pStyle w:val="NormalWeb"/>
        <w:spacing w:before="240" w:beforeAutospacing="0" w:after="125" w:afterAutospacing="0" w:line="360" w:lineRule="auto"/>
        <w:ind w:firstLine="708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1E480B">
        <w:rPr>
          <w:rFonts w:ascii="Garamond" w:hAnsi="Garamond" w:cs="Arial"/>
          <w:sz w:val="28"/>
          <w:szCs w:val="28"/>
        </w:rPr>
        <w:t>Esto ha</w:t>
      </w:r>
      <w:r w:rsidRPr="001E480B">
        <w:rPr>
          <w:rFonts w:ascii="Garamond" w:hAnsi="Garamond" w:cs="Arial"/>
          <w:sz w:val="28"/>
          <w:szCs w:val="28"/>
        </w:rPr>
        <w:t xml:space="preserve"> dificultado la labor de la </w:t>
      </w:r>
      <w:r w:rsidR="001E480B" w:rsidRPr="001E480B">
        <w:rPr>
          <w:rFonts w:ascii="Garamond" w:hAnsi="Garamond" w:cs="Arial"/>
          <w:sz w:val="28"/>
          <w:szCs w:val="28"/>
        </w:rPr>
        <w:t>organizaciones, constituyendo</w:t>
      </w:r>
      <w:r w:rsidRPr="001E480B">
        <w:rPr>
          <w:rFonts w:ascii="Garamond" w:hAnsi="Garamond" w:cs="Arial"/>
          <w:sz w:val="28"/>
          <w:szCs w:val="28"/>
        </w:rPr>
        <w:t xml:space="preserve"> una carga </w:t>
      </w:r>
      <w:r w:rsidR="001E480B">
        <w:rPr>
          <w:rFonts w:ascii="Garamond" w:hAnsi="Garamond" w:cs="Arial"/>
          <w:sz w:val="28"/>
          <w:szCs w:val="28"/>
        </w:rPr>
        <w:t>para estas, como también para</w:t>
      </w:r>
      <w:r w:rsidRPr="001E480B">
        <w:rPr>
          <w:rFonts w:ascii="Garamond" w:hAnsi="Garamond" w:cs="Arial"/>
          <w:sz w:val="28"/>
          <w:szCs w:val="28"/>
        </w:rPr>
        <w:t xml:space="preserve"> los </w:t>
      </w:r>
      <w:r w:rsidRPr="001E480B">
        <w:rPr>
          <w:rFonts w:ascii="Garamond" w:hAnsi="Garamond" w:cs="Arial"/>
          <w:sz w:val="28"/>
          <w:szCs w:val="28"/>
        </w:rPr>
        <w:t>TER</w:t>
      </w:r>
      <w:r w:rsidR="001E480B">
        <w:rPr>
          <w:rFonts w:ascii="Garamond" w:hAnsi="Garamond" w:cs="Arial"/>
          <w:sz w:val="28"/>
          <w:szCs w:val="28"/>
        </w:rPr>
        <w:t xml:space="preserve"> que se han saturado de calificaciones</w:t>
      </w:r>
      <w:r w:rsidRPr="001E480B">
        <w:rPr>
          <w:rFonts w:ascii="Garamond" w:hAnsi="Garamond" w:cs="Arial"/>
          <w:sz w:val="28"/>
          <w:szCs w:val="28"/>
        </w:rPr>
        <w:t>,</w:t>
      </w:r>
      <w:r w:rsidR="001E480B">
        <w:rPr>
          <w:rFonts w:ascii="Garamond" w:hAnsi="Garamond" w:cs="Arial"/>
          <w:sz w:val="28"/>
          <w:szCs w:val="28"/>
        </w:rPr>
        <w:t xml:space="preserve"> por lo cual se demoran</w:t>
      </w:r>
      <w:r w:rsidRPr="001E480B">
        <w:rPr>
          <w:rFonts w:ascii="Garamond" w:hAnsi="Garamond" w:cs="Arial"/>
          <w:sz w:val="28"/>
          <w:szCs w:val="28"/>
        </w:rPr>
        <w:t xml:space="preserve"> </w:t>
      </w:r>
      <w:r w:rsidRPr="001E480B">
        <w:rPr>
          <w:rFonts w:ascii="Garamond" w:hAnsi="Garamond" w:cs="Arial"/>
          <w:sz w:val="28"/>
          <w:szCs w:val="28"/>
        </w:rPr>
        <w:t>meses</w:t>
      </w:r>
      <w:r w:rsidRPr="001E480B">
        <w:rPr>
          <w:rFonts w:ascii="Garamond" w:hAnsi="Garamond" w:cs="Arial"/>
          <w:sz w:val="28"/>
          <w:szCs w:val="28"/>
        </w:rPr>
        <w:t xml:space="preserve"> </w:t>
      </w:r>
      <w:r w:rsidR="001E480B">
        <w:rPr>
          <w:rFonts w:ascii="Garamond" w:hAnsi="Garamond" w:cs="Arial"/>
          <w:sz w:val="28"/>
          <w:szCs w:val="28"/>
        </w:rPr>
        <w:t>en esta</w:t>
      </w:r>
      <w:r w:rsidRPr="001E480B">
        <w:rPr>
          <w:rFonts w:ascii="Garamond" w:hAnsi="Garamond" w:cs="Arial"/>
          <w:sz w:val="28"/>
          <w:szCs w:val="28"/>
        </w:rPr>
        <w:t xml:space="preserve">, por lo que las directivas recién electas se han </w:t>
      </w:r>
      <w:r w:rsidR="001E480B" w:rsidRPr="001E480B">
        <w:rPr>
          <w:rFonts w:ascii="Garamond" w:hAnsi="Garamond" w:cs="Arial"/>
          <w:sz w:val="28"/>
          <w:szCs w:val="28"/>
        </w:rPr>
        <w:t>visto impedidas de</w:t>
      </w:r>
      <w:r w:rsidRPr="001E480B">
        <w:rPr>
          <w:rFonts w:ascii="Garamond" w:hAnsi="Garamond" w:cs="Arial"/>
          <w:sz w:val="28"/>
          <w:szCs w:val="28"/>
        </w:rPr>
        <w:t xml:space="preserve"> </w:t>
      </w:r>
      <w:r w:rsidR="001E480B" w:rsidRPr="001E480B">
        <w:rPr>
          <w:rFonts w:ascii="Garamond" w:hAnsi="Garamond" w:cs="Arial"/>
          <w:sz w:val="28"/>
          <w:szCs w:val="28"/>
        </w:rPr>
        <w:t>constituirse,</w:t>
      </w:r>
      <w:r w:rsidRPr="001E480B">
        <w:rPr>
          <w:rFonts w:ascii="Garamond" w:hAnsi="Garamond" w:cs="Arial"/>
          <w:sz w:val="28"/>
          <w:szCs w:val="28"/>
        </w:rPr>
        <w:t xml:space="preserve"> de funcionar regularmente , de realizar  trámites  o presentar proyectos ante organis</w:t>
      </w:r>
      <w:r w:rsidRPr="001E480B">
        <w:rPr>
          <w:rFonts w:ascii="Garamond" w:hAnsi="Garamond" w:cs="Arial"/>
          <w:sz w:val="28"/>
          <w:szCs w:val="28"/>
        </w:rPr>
        <w:t xml:space="preserve">mos públicos y privados; </w:t>
      </w:r>
      <w:r w:rsidRPr="001E480B">
        <w:rPr>
          <w:rFonts w:ascii="Garamond" w:hAnsi="Garamond" w:cs="Arial"/>
          <w:sz w:val="28"/>
          <w:szCs w:val="28"/>
        </w:rPr>
        <w:t>quedan</w:t>
      </w:r>
      <w:r w:rsidRPr="001E480B">
        <w:rPr>
          <w:rFonts w:ascii="Garamond" w:hAnsi="Garamond" w:cs="Arial"/>
          <w:sz w:val="28"/>
          <w:szCs w:val="28"/>
        </w:rPr>
        <w:t>do</w:t>
      </w:r>
      <w:r w:rsidRPr="001E480B">
        <w:rPr>
          <w:rFonts w:ascii="Garamond" w:hAnsi="Garamond" w:cs="Arial"/>
          <w:sz w:val="28"/>
          <w:szCs w:val="28"/>
        </w:rPr>
        <w:t xml:space="preserve"> anuladas durante largos períodos de </w:t>
      </w:r>
      <w:r w:rsidRPr="001E480B">
        <w:rPr>
          <w:rFonts w:ascii="Garamond" w:hAnsi="Garamond" w:cs="Arial"/>
          <w:sz w:val="28"/>
          <w:szCs w:val="28"/>
        </w:rPr>
        <w:t xml:space="preserve">tiempo. </w:t>
      </w:r>
      <w:r w:rsidRPr="001E480B">
        <w:rPr>
          <w:rFonts w:ascii="Garamond" w:hAnsi="Garamond" w:cs="Arial"/>
          <w:sz w:val="28"/>
          <w:szCs w:val="28"/>
        </w:rPr>
        <w:t xml:space="preserve">A lo anterior, </w:t>
      </w:r>
      <w:r w:rsidR="001E480B" w:rsidRPr="001E480B">
        <w:rPr>
          <w:rFonts w:ascii="Garamond" w:hAnsi="Garamond" w:cs="Arial"/>
          <w:sz w:val="28"/>
          <w:szCs w:val="28"/>
        </w:rPr>
        <w:t>existe costo</w:t>
      </w:r>
      <w:r w:rsidRPr="001E480B">
        <w:rPr>
          <w:rFonts w:ascii="Garamond" w:hAnsi="Garamond" w:cs="Arial"/>
          <w:sz w:val="28"/>
          <w:szCs w:val="28"/>
        </w:rPr>
        <w:t xml:space="preserve"> económico relacionado que deben desembolsar las organizaciones para poder efectuar dicho trámite</w:t>
      </w:r>
      <w:r w:rsidR="001E480B">
        <w:rPr>
          <w:rFonts w:ascii="Garamond" w:hAnsi="Garamond" w:cs="Arial"/>
          <w:sz w:val="28"/>
          <w:szCs w:val="28"/>
        </w:rPr>
        <w:t xml:space="preserve">., </w:t>
      </w:r>
      <w:r w:rsidRPr="001E480B">
        <w:rPr>
          <w:rFonts w:ascii="Garamond" w:hAnsi="Garamond" w:cs="Arial"/>
          <w:sz w:val="28"/>
          <w:szCs w:val="28"/>
        </w:rPr>
        <w:t xml:space="preserve">por la necesidad de trasladarse desde los puntos más alejados de las regiones, atendido que los tribunales electorales regionales se encuentran sólo en las ciudades capitales. </w:t>
      </w:r>
    </w:p>
    <w:p w:rsidR="00146E5A" w:rsidRPr="001E480B" w:rsidRDefault="001E480B" w:rsidP="001E480B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II. </w:t>
      </w:r>
      <w:r w:rsidR="001E1852" w:rsidRPr="001E480B">
        <w:rPr>
          <w:rFonts w:ascii="Garamond" w:hAnsi="Garamond"/>
          <w:b/>
          <w:sz w:val="28"/>
          <w:szCs w:val="28"/>
        </w:rPr>
        <w:t>Mociones</w:t>
      </w:r>
      <w:r w:rsidR="001E1852" w:rsidRPr="001E480B">
        <w:rPr>
          <w:rFonts w:ascii="Garamond" w:hAnsi="Garamond"/>
          <w:sz w:val="28"/>
          <w:szCs w:val="28"/>
        </w:rPr>
        <w:t>.</w:t>
      </w:r>
    </w:p>
    <w:p w:rsidR="001E1852" w:rsidRPr="001E480B" w:rsidRDefault="001E480B" w:rsidP="001E480B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Se han presentado dos mociones para solucionar este problema.</w:t>
      </w:r>
    </w:p>
    <w:p w:rsidR="001E1852" w:rsidRPr="001E480B" w:rsidRDefault="001E480B" w:rsidP="001E48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1E480B">
        <w:rPr>
          <w:rFonts w:ascii="Garamond" w:hAnsi="Garamond"/>
          <w:sz w:val="28"/>
          <w:szCs w:val="28"/>
        </w:rPr>
        <w:t>Boletín</w:t>
      </w:r>
      <w:r w:rsidR="001E1852" w:rsidRPr="001E480B">
        <w:rPr>
          <w:rFonts w:ascii="Garamond" w:hAnsi="Garamond"/>
          <w:sz w:val="28"/>
          <w:szCs w:val="28"/>
        </w:rPr>
        <w:t xml:space="preserve"> 10234-06. Moción presentada </w:t>
      </w:r>
      <w:r>
        <w:rPr>
          <w:rFonts w:ascii="Garamond" w:hAnsi="Garamond"/>
          <w:sz w:val="28"/>
          <w:szCs w:val="28"/>
        </w:rPr>
        <w:t xml:space="preserve">el Diputado Rodrigo </w:t>
      </w:r>
      <w:proofErr w:type="spellStart"/>
      <w:r>
        <w:rPr>
          <w:rFonts w:ascii="Garamond" w:hAnsi="Garamond"/>
          <w:sz w:val="28"/>
          <w:szCs w:val="28"/>
        </w:rPr>
        <w:t>Gonzalez</w:t>
      </w:r>
      <w:proofErr w:type="spellEnd"/>
      <w:r w:rsidR="001E1852" w:rsidRPr="001E480B">
        <w:rPr>
          <w:rFonts w:ascii="Garamond" w:hAnsi="Garamond"/>
          <w:sz w:val="28"/>
          <w:szCs w:val="28"/>
        </w:rPr>
        <w:t>.</w:t>
      </w:r>
    </w:p>
    <w:p w:rsidR="001E1852" w:rsidRPr="001E480B" w:rsidRDefault="001E480B" w:rsidP="001E480B">
      <w:pPr>
        <w:spacing w:line="360" w:lineRule="auto"/>
        <w:ind w:firstLine="360"/>
        <w:jc w:val="both"/>
        <w:rPr>
          <w:rFonts w:ascii="Garamond" w:eastAsia="Calibri" w:hAnsi="Garamond" w:cs="Courier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 xml:space="preserve">La moción </w:t>
      </w:r>
      <w:r w:rsidR="00303117" w:rsidRPr="001E480B">
        <w:rPr>
          <w:rFonts w:ascii="Garamond" w:hAnsi="Garamond" w:cs="Arial"/>
          <w:sz w:val="28"/>
          <w:szCs w:val="28"/>
        </w:rPr>
        <w:t>propone eliminar la norma legal –contenida en el número 1° del inciso primero del artículo 10 de la Ley N° 18.593- que obliga a los Tribunales Electorales Regionales a calificar las elecciones de</w:t>
      </w:r>
      <w:r w:rsidR="00303117" w:rsidRPr="001E480B">
        <w:rPr>
          <w:rFonts w:ascii="Garamond" w:eastAsia="Calibri" w:hAnsi="Garamond" w:cs="Courier"/>
          <w:sz w:val="28"/>
          <w:szCs w:val="28"/>
        </w:rPr>
        <w:t xml:space="preserve"> los grupos intermedios</w:t>
      </w:r>
      <w:r w:rsidR="00303117" w:rsidRPr="001E480B">
        <w:rPr>
          <w:rFonts w:ascii="Garamond" w:eastAsia="Calibri" w:hAnsi="Garamond" w:cs="Courier"/>
          <w:sz w:val="28"/>
          <w:szCs w:val="28"/>
        </w:rPr>
        <w:t>; dejando</w:t>
      </w:r>
      <w:r>
        <w:rPr>
          <w:rFonts w:ascii="Garamond" w:eastAsia="Calibri" w:hAnsi="Garamond" w:cs="Courier"/>
          <w:sz w:val="28"/>
          <w:szCs w:val="28"/>
        </w:rPr>
        <w:t xml:space="preserve"> </w:t>
      </w:r>
      <w:r w:rsidR="00303117" w:rsidRPr="001E480B">
        <w:rPr>
          <w:rFonts w:ascii="Garamond" w:eastAsia="Calibri" w:hAnsi="Garamond" w:cs="Courier"/>
          <w:sz w:val="28"/>
          <w:szCs w:val="28"/>
        </w:rPr>
        <w:t>a  salvo la facultad de impugnar elecciones ante dicho Tribunal.</w:t>
      </w:r>
    </w:p>
    <w:p w:rsidR="00303117" w:rsidRPr="001E480B" w:rsidRDefault="00303117" w:rsidP="001E480B">
      <w:pPr>
        <w:spacing w:line="360" w:lineRule="auto"/>
        <w:ind w:firstLine="360"/>
        <w:jc w:val="both"/>
        <w:rPr>
          <w:rFonts w:ascii="Garamond" w:eastAsia="Calibri" w:hAnsi="Garamond" w:cs="Courier"/>
          <w:sz w:val="28"/>
          <w:szCs w:val="28"/>
        </w:rPr>
      </w:pPr>
      <w:r w:rsidRPr="001E480B">
        <w:rPr>
          <w:rFonts w:ascii="Garamond" w:eastAsia="Calibri" w:hAnsi="Garamond" w:cs="Courier"/>
          <w:sz w:val="28"/>
          <w:szCs w:val="28"/>
        </w:rPr>
        <w:t xml:space="preserve">Fue rechazado en general en la sala el 11 de enero de 2017 por 39 a favor, 49 en contra y 8 abstenciones. La Comisión de Gobierno ya había rechazado </w:t>
      </w:r>
      <w:proofErr w:type="spellStart"/>
      <w:r w:rsidRPr="001E480B">
        <w:rPr>
          <w:rFonts w:ascii="Garamond" w:eastAsia="Calibri" w:hAnsi="Garamond" w:cs="Courier"/>
          <w:sz w:val="28"/>
          <w:szCs w:val="28"/>
        </w:rPr>
        <w:t>unanimente</w:t>
      </w:r>
      <w:proofErr w:type="spellEnd"/>
      <w:r w:rsidRPr="001E480B">
        <w:rPr>
          <w:rFonts w:ascii="Garamond" w:eastAsia="Calibri" w:hAnsi="Garamond" w:cs="Courier"/>
          <w:sz w:val="28"/>
          <w:szCs w:val="28"/>
        </w:rPr>
        <w:t xml:space="preserve"> el proyecto. Las razones es que los TER no quie</w:t>
      </w:r>
      <w:r w:rsidR="001E480B">
        <w:rPr>
          <w:rFonts w:ascii="Garamond" w:eastAsia="Calibri" w:hAnsi="Garamond" w:cs="Courier"/>
          <w:sz w:val="28"/>
          <w:szCs w:val="28"/>
        </w:rPr>
        <w:t>ren terminar con dicha facultad</w:t>
      </w:r>
      <w:r w:rsidRPr="001E480B">
        <w:rPr>
          <w:rFonts w:ascii="Garamond" w:eastAsia="Calibri" w:hAnsi="Garamond" w:cs="Courier"/>
          <w:sz w:val="28"/>
          <w:szCs w:val="28"/>
        </w:rPr>
        <w:t xml:space="preserve">, porque hay organizaciones que no tienen </w:t>
      </w:r>
      <w:r w:rsidR="001E480B" w:rsidRPr="001E480B">
        <w:rPr>
          <w:rFonts w:ascii="Garamond" w:eastAsia="Calibri" w:hAnsi="Garamond" w:cs="Courier"/>
          <w:sz w:val="28"/>
          <w:szCs w:val="28"/>
        </w:rPr>
        <w:t>asamblea</w:t>
      </w:r>
      <w:r w:rsidRPr="001E480B">
        <w:rPr>
          <w:rFonts w:ascii="Garamond" w:eastAsia="Calibri" w:hAnsi="Garamond" w:cs="Courier"/>
          <w:sz w:val="28"/>
          <w:szCs w:val="28"/>
        </w:rPr>
        <w:t xml:space="preserve"> ni libros</w:t>
      </w:r>
      <w:r w:rsidR="001E480B">
        <w:rPr>
          <w:rFonts w:ascii="Garamond" w:eastAsia="Calibri" w:hAnsi="Garamond" w:cs="Courier"/>
          <w:sz w:val="28"/>
          <w:szCs w:val="28"/>
        </w:rPr>
        <w:t>, por lo cual la eliminación podría dar cabida a manipulación de las elecciones</w:t>
      </w:r>
      <w:r w:rsidRPr="001E480B">
        <w:rPr>
          <w:rFonts w:ascii="Garamond" w:eastAsia="Calibri" w:hAnsi="Garamond" w:cs="Courier"/>
          <w:sz w:val="28"/>
          <w:szCs w:val="28"/>
        </w:rPr>
        <w:t xml:space="preserve">. </w:t>
      </w:r>
    </w:p>
    <w:p w:rsidR="00431E19" w:rsidRPr="001E480B" w:rsidRDefault="00431E19" w:rsidP="001E480B">
      <w:pPr>
        <w:spacing w:line="360" w:lineRule="auto"/>
        <w:ind w:firstLine="360"/>
        <w:jc w:val="both"/>
        <w:rPr>
          <w:rFonts w:ascii="Garamond" w:eastAsia="Calibri" w:hAnsi="Garamond" w:cs="Courier"/>
          <w:sz w:val="28"/>
          <w:szCs w:val="28"/>
        </w:rPr>
      </w:pPr>
      <w:r w:rsidRPr="001E480B">
        <w:rPr>
          <w:rFonts w:ascii="Garamond" w:eastAsia="Calibri" w:hAnsi="Garamond" w:cs="Courier"/>
          <w:sz w:val="28"/>
          <w:szCs w:val="28"/>
        </w:rPr>
        <w:t>Según el art. 68 de la Constitución, el proyecto no podría presentarse</w:t>
      </w:r>
      <w:r w:rsidR="001E480B" w:rsidRPr="001E480B">
        <w:rPr>
          <w:rFonts w:ascii="Garamond" w:eastAsia="Calibri" w:hAnsi="Garamond" w:cs="Courier"/>
          <w:sz w:val="28"/>
          <w:szCs w:val="28"/>
        </w:rPr>
        <w:t xml:space="preserve"> hasta dentro de un año.</w:t>
      </w:r>
      <w:r w:rsidRPr="001E480B">
        <w:rPr>
          <w:rFonts w:ascii="Garamond" w:eastAsia="Calibri" w:hAnsi="Garamond" w:cs="Courier"/>
          <w:sz w:val="28"/>
          <w:szCs w:val="28"/>
        </w:rPr>
        <w:t xml:space="preserve">. </w:t>
      </w:r>
    </w:p>
    <w:p w:rsidR="00431E19" w:rsidRPr="001E480B" w:rsidRDefault="001E480B" w:rsidP="001E48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1E480B">
        <w:rPr>
          <w:rFonts w:ascii="Garamond" w:eastAsia="Calibri" w:hAnsi="Garamond" w:cs="Courier"/>
          <w:sz w:val="28"/>
          <w:szCs w:val="28"/>
        </w:rPr>
        <w:t>Boletín</w:t>
      </w:r>
      <w:r w:rsidR="00431E19" w:rsidRPr="001E480B">
        <w:rPr>
          <w:rFonts w:ascii="Garamond" w:eastAsia="Calibri" w:hAnsi="Garamond" w:cs="Courier"/>
          <w:sz w:val="28"/>
          <w:szCs w:val="28"/>
        </w:rPr>
        <w:t xml:space="preserve"> 10871-06 </w:t>
      </w:r>
      <w:r w:rsidRPr="001E480B">
        <w:rPr>
          <w:rFonts w:ascii="Garamond" w:eastAsia="Calibri" w:hAnsi="Garamond" w:cs="Courier"/>
          <w:sz w:val="28"/>
          <w:szCs w:val="28"/>
        </w:rPr>
        <w:t>Moción</w:t>
      </w:r>
      <w:r w:rsidR="00431E19" w:rsidRPr="001E480B">
        <w:rPr>
          <w:rFonts w:ascii="Garamond" w:eastAsia="Calibri" w:hAnsi="Garamond" w:cs="Courier"/>
          <w:sz w:val="28"/>
          <w:szCs w:val="28"/>
        </w:rPr>
        <w:t xml:space="preserve"> de Diputado Leopoldo </w:t>
      </w:r>
      <w:r w:rsidRPr="001E480B">
        <w:rPr>
          <w:rFonts w:ascii="Garamond" w:eastAsia="Calibri" w:hAnsi="Garamond" w:cs="Courier"/>
          <w:sz w:val="28"/>
          <w:szCs w:val="28"/>
        </w:rPr>
        <w:t>Pérez</w:t>
      </w:r>
      <w:r w:rsidR="00431E19" w:rsidRPr="001E480B">
        <w:rPr>
          <w:rFonts w:ascii="Garamond" w:eastAsia="Calibri" w:hAnsi="Garamond" w:cs="Courier"/>
          <w:sz w:val="28"/>
          <w:szCs w:val="28"/>
        </w:rPr>
        <w:t>.</w:t>
      </w:r>
    </w:p>
    <w:p w:rsidR="0010191A" w:rsidRPr="001E480B" w:rsidRDefault="00431E19" w:rsidP="001E480B">
      <w:pPr>
        <w:spacing w:line="360" w:lineRule="auto"/>
        <w:ind w:left="360" w:firstLine="348"/>
        <w:jc w:val="both"/>
        <w:rPr>
          <w:rFonts w:ascii="Garamond" w:eastAsia="Calibri" w:hAnsi="Garamond" w:cs="Courier"/>
          <w:sz w:val="28"/>
          <w:szCs w:val="28"/>
        </w:rPr>
      </w:pPr>
      <w:r w:rsidRPr="001E480B">
        <w:rPr>
          <w:rFonts w:ascii="Garamond" w:eastAsia="Calibri" w:hAnsi="Garamond" w:cs="Courier"/>
          <w:sz w:val="28"/>
          <w:szCs w:val="28"/>
        </w:rPr>
        <w:t xml:space="preserve">Propone eliminar del trámite de calificación </w:t>
      </w:r>
      <w:r w:rsidR="0010191A" w:rsidRPr="001E480B">
        <w:rPr>
          <w:rFonts w:ascii="Garamond" w:eastAsia="Calibri" w:hAnsi="Garamond" w:cs="Courier"/>
          <w:sz w:val="28"/>
          <w:szCs w:val="28"/>
        </w:rPr>
        <w:t>a los clubes de adulto mayor.</w:t>
      </w:r>
      <w:r w:rsidR="001E480B">
        <w:rPr>
          <w:rFonts w:ascii="Garamond" w:eastAsia="Calibri" w:hAnsi="Garamond" w:cs="Courier"/>
          <w:sz w:val="28"/>
          <w:szCs w:val="28"/>
        </w:rPr>
        <w:t xml:space="preserve"> </w:t>
      </w:r>
      <w:r w:rsidR="0010191A" w:rsidRPr="001E480B">
        <w:rPr>
          <w:rFonts w:ascii="Garamond" w:eastAsia="Calibri" w:hAnsi="Garamond" w:cs="Courier"/>
          <w:sz w:val="28"/>
          <w:szCs w:val="28"/>
        </w:rPr>
        <w:t>Fue ingresado en agosto de 2016 y no tiene tramitación.</w:t>
      </w:r>
    </w:p>
    <w:p w:rsidR="0010191A" w:rsidRPr="001E480B" w:rsidRDefault="0010191A" w:rsidP="001E480B">
      <w:pPr>
        <w:pStyle w:val="Prrafodelista"/>
        <w:spacing w:line="360" w:lineRule="auto"/>
        <w:jc w:val="both"/>
        <w:rPr>
          <w:rFonts w:ascii="Garamond" w:eastAsia="Calibri" w:hAnsi="Garamond" w:cs="Courier"/>
          <w:sz w:val="28"/>
          <w:szCs w:val="28"/>
        </w:rPr>
      </w:pPr>
    </w:p>
    <w:p w:rsidR="0010191A" w:rsidRPr="001E480B" w:rsidRDefault="0010191A" w:rsidP="001E480B">
      <w:pPr>
        <w:pStyle w:val="Prrafodelista"/>
        <w:spacing w:line="360" w:lineRule="auto"/>
        <w:jc w:val="both"/>
        <w:rPr>
          <w:rFonts w:ascii="Garamond" w:eastAsia="Calibri" w:hAnsi="Garamond" w:cs="Courier"/>
          <w:sz w:val="28"/>
          <w:szCs w:val="28"/>
        </w:rPr>
      </w:pPr>
    </w:p>
    <w:p w:rsidR="0010191A" w:rsidRPr="001E480B" w:rsidRDefault="0010191A" w:rsidP="001E480B">
      <w:pPr>
        <w:pStyle w:val="Prrafodelista"/>
        <w:spacing w:line="360" w:lineRule="auto"/>
        <w:jc w:val="both"/>
        <w:rPr>
          <w:rFonts w:ascii="Garamond" w:eastAsia="Calibri" w:hAnsi="Garamond" w:cs="Courier"/>
          <w:b/>
          <w:sz w:val="28"/>
          <w:szCs w:val="28"/>
        </w:rPr>
      </w:pPr>
      <w:r w:rsidRPr="001E480B">
        <w:rPr>
          <w:rFonts w:ascii="Garamond" w:eastAsia="Calibri" w:hAnsi="Garamond" w:cs="Courier"/>
          <w:b/>
          <w:sz w:val="28"/>
          <w:szCs w:val="28"/>
        </w:rPr>
        <w:t>III. Opinión jurídica.</w:t>
      </w:r>
    </w:p>
    <w:p w:rsidR="0010191A" w:rsidRPr="001E480B" w:rsidRDefault="0010191A" w:rsidP="001E480B">
      <w:pPr>
        <w:pStyle w:val="Prrafodelista"/>
        <w:spacing w:line="360" w:lineRule="auto"/>
        <w:jc w:val="both"/>
        <w:rPr>
          <w:rFonts w:ascii="Garamond" w:eastAsia="Calibri" w:hAnsi="Garamond" w:cs="Courier"/>
          <w:sz w:val="28"/>
          <w:szCs w:val="28"/>
        </w:rPr>
      </w:pPr>
    </w:p>
    <w:p w:rsidR="0010191A" w:rsidRPr="001E480B" w:rsidRDefault="0010191A" w:rsidP="001E480B">
      <w:pPr>
        <w:spacing w:line="360" w:lineRule="auto"/>
        <w:ind w:firstLine="708"/>
        <w:jc w:val="both"/>
        <w:rPr>
          <w:rFonts w:ascii="Garamond" w:eastAsia="Calibri" w:hAnsi="Garamond" w:cs="Courier"/>
          <w:sz w:val="28"/>
          <w:szCs w:val="28"/>
        </w:rPr>
      </w:pPr>
      <w:r w:rsidRPr="001E480B">
        <w:rPr>
          <w:rFonts w:ascii="Garamond" w:eastAsia="Calibri" w:hAnsi="Garamond" w:cs="Courier"/>
          <w:sz w:val="28"/>
          <w:szCs w:val="28"/>
        </w:rPr>
        <w:t>Los proyectos de ley citados serían de iniciativa exclusiva del ejecutivo</w:t>
      </w:r>
      <w:r w:rsidR="001E480B" w:rsidRPr="001E480B">
        <w:rPr>
          <w:rFonts w:ascii="Garamond" w:eastAsia="Calibri" w:hAnsi="Garamond" w:cs="Courier"/>
          <w:sz w:val="28"/>
          <w:szCs w:val="28"/>
        </w:rPr>
        <w:t xml:space="preserve"> al suprimir atribuciones de un órgano del Estado</w:t>
      </w:r>
      <w:r w:rsidRPr="001E480B">
        <w:rPr>
          <w:rFonts w:ascii="Garamond" w:eastAsia="Calibri" w:hAnsi="Garamond" w:cs="Courier"/>
          <w:sz w:val="28"/>
          <w:szCs w:val="28"/>
        </w:rPr>
        <w:t xml:space="preserve">, por lo cual deberían haber sido declarado inadmisibles. </w:t>
      </w:r>
    </w:p>
    <w:p w:rsidR="001E480B" w:rsidRPr="001E480B" w:rsidRDefault="001E480B" w:rsidP="001E480B">
      <w:pPr>
        <w:pStyle w:val="Prrafodelista"/>
        <w:spacing w:line="360" w:lineRule="auto"/>
        <w:ind w:left="0" w:firstLine="708"/>
        <w:jc w:val="both"/>
        <w:rPr>
          <w:rFonts w:ascii="Garamond" w:eastAsia="Calibri" w:hAnsi="Garamond" w:cs="Courier"/>
          <w:sz w:val="28"/>
          <w:szCs w:val="28"/>
        </w:rPr>
      </w:pPr>
      <w:r w:rsidRPr="001E480B">
        <w:rPr>
          <w:rFonts w:ascii="Garamond" w:eastAsia="Calibri" w:hAnsi="Garamond" w:cs="Courier"/>
          <w:sz w:val="28"/>
          <w:szCs w:val="28"/>
        </w:rPr>
        <w:t xml:space="preserve">Se propone </w:t>
      </w:r>
      <w:r>
        <w:rPr>
          <w:rFonts w:ascii="Garamond" w:eastAsia="Calibri" w:hAnsi="Garamond" w:cs="Courier"/>
          <w:sz w:val="28"/>
          <w:szCs w:val="28"/>
        </w:rPr>
        <w:t>estudiar la presentación</w:t>
      </w:r>
      <w:r w:rsidRPr="001E480B">
        <w:rPr>
          <w:rFonts w:ascii="Garamond" w:eastAsia="Calibri" w:hAnsi="Garamond" w:cs="Courier"/>
          <w:sz w:val="28"/>
          <w:szCs w:val="28"/>
        </w:rPr>
        <w:t xml:space="preserve"> proyecto de ley por el ejecutivo en el Senado para abrir de nuevo la discusión. El Ministerio a cargo es la SEGEGOB, ya que de ella depende la División de Organizaciones Sociales, quien debería trabajar el tema junto a Justicia quien se relaciones</w:t>
      </w:r>
      <w:r>
        <w:rPr>
          <w:rFonts w:ascii="Garamond" w:eastAsia="Calibri" w:hAnsi="Garamond" w:cs="Courier"/>
          <w:sz w:val="28"/>
          <w:szCs w:val="28"/>
        </w:rPr>
        <w:t xml:space="preserve"> con los Tribunales Electorales. </w:t>
      </w:r>
      <w:bookmarkStart w:id="0" w:name="_GoBack"/>
      <w:bookmarkEnd w:id="0"/>
    </w:p>
    <w:sectPr w:rsidR="001E480B" w:rsidRPr="001E4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67C"/>
    <w:multiLevelType w:val="hybridMultilevel"/>
    <w:tmpl w:val="E10E65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2"/>
    <w:rsid w:val="0010191A"/>
    <w:rsid w:val="00146E5A"/>
    <w:rsid w:val="001E1852"/>
    <w:rsid w:val="001E480B"/>
    <w:rsid w:val="00303117"/>
    <w:rsid w:val="004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4879"/>
  <w15:chartTrackingRefBased/>
  <w15:docId w15:val="{0D0025FD-C6B5-487A-9BBD-97B7A82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E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2017-05-30T14:52:00Z</dcterms:created>
  <dcterms:modified xsi:type="dcterms:W3CDTF">2017-05-30T15:52:00Z</dcterms:modified>
</cp:coreProperties>
</file>