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E5A" w:rsidRPr="009C6A59" w:rsidRDefault="009052CB" w:rsidP="005B7526">
      <w:pPr>
        <w:pBdr>
          <w:bottom w:val="single" w:sz="6" w:space="1" w:color="auto"/>
        </w:pBdr>
        <w:jc w:val="both"/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</w:pPr>
      <w:r w:rsidRPr="009C6A59">
        <w:rPr>
          <w:rFonts w:ascii="Garamond" w:hAnsi="Garamond" w:cs="Arial"/>
          <w:b/>
          <w:color w:val="000000" w:themeColor="text1"/>
          <w:sz w:val="28"/>
          <w:szCs w:val="28"/>
          <w:shd w:val="clear" w:color="auto" w:fill="FFFFFF"/>
        </w:rPr>
        <w:t>Minuta que Perfecciona la justicia tributaria y aduanera. (Boletín 9892-07)</w:t>
      </w:r>
    </w:p>
    <w:p w:rsidR="009052CB" w:rsidRPr="009C6A59" w:rsidRDefault="009052CB" w:rsidP="005B7526">
      <w:pPr>
        <w:jc w:val="both"/>
        <w:rPr>
          <w:rFonts w:ascii="Garamond" w:hAnsi="Garamond" w:cs="Arial"/>
          <w:color w:val="000000" w:themeColor="text1"/>
          <w:sz w:val="28"/>
          <w:szCs w:val="28"/>
          <w:shd w:val="clear" w:color="auto" w:fill="FFFFFF"/>
        </w:rPr>
      </w:pPr>
    </w:p>
    <w:p w:rsidR="009052CB" w:rsidRPr="009C6A59" w:rsidRDefault="009052CB" w:rsidP="005B7526">
      <w:pPr>
        <w:pStyle w:val="Prrafodelista"/>
        <w:numPr>
          <w:ilvl w:val="0"/>
          <w:numId w:val="1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bookmarkStart w:id="0" w:name="_GoBack"/>
      <w:r w:rsidRPr="005B7526">
        <w:rPr>
          <w:rFonts w:ascii="Garamond" w:hAnsi="Garamond"/>
          <w:b/>
          <w:color w:val="000000" w:themeColor="text1"/>
          <w:sz w:val="28"/>
          <w:szCs w:val="28"/>
          <w:u w:val="single"/>
        </w:rPr>
        <w:t>Antecedentes</w:t>
      </w:r>
      <w:bookmarkEnd w:id="0"/>
      <w:r w:rsidRPr="009C6A59">
        <w:rPr>
          <w:rFonts w:ascii="Garamond" w:hAnsi="Garamond"/>
          <w:color w:val="000000" w:themeColor="text1"/>
          <w:sz w:val="28"/>
          <w:szCs w:val="28"/>
        </w:rPr>
        <w:t>.</w:t>
      </w:r>
    </w:p>
    <w:p w:rsidR="009052CB" w:rsidRDefault="009C6A59" w:rsidP="005B7526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27062">
        <w:rPr>
          <w:rFonts w:ascii="Garamond" w:hAnsi="Garamond"/>
          <w:color w:val="000000" w:themeColor="text1"/>
          <w:sz w:val="28"/>
          <w:szCs w:val="28"/>
        </w:rPr>
        <w:t>El p</w:t>
      </w:r>
      <w:r w:rsidR="009052CB" w:rsidRPr="00927062">
        <w:rPr>
          <w:rFonts w:ascii="Garamond" w:hAnsi="Garamond"/>
          <w:color w:val="000000" w:themeColor="text1"/>
          <w:sz w:val="28"/>
          <w:szCs w:val="28"/>
        </w:rPr>
        <w:t xml:space="preserve">royecto ingresado por mensaje del ejecutivo en la Cámara el 3 de marzo de 2015. Actualmente se encuentra para </w:t>
      </w:r>
      <w:r w:rsidR="009052CB" w:rsidRPr="00927062">
        <w:rPr>
          <w:rFonts w:ascii="Garamond" w:hAnsi="Garamond"/>
          <w:b/>
          <w:color w:val="000000" w:themeColor="text1"/>
          <w:sz w:val="28"/>
          <w:szCs w:val="28"/>
          <w:u w:val="single"/>
        </w:rPr>
        <w:t>discusión en particular</w:t>
      </w:r>
      <w:r w:rsidR="009052CB" w:rsidRPr="00927062">
        <w:rPr>
          <w:rFonts w:ascii="Garamond" w:hAnsi="Garamond"/>
          <w:color w:val="000000" w:themeColor="text1"/>
          <w:sz w:val="28"/>
          <w:szCs w:val="28"/>
        </w:rPr>
        <w:t xml:space="preserve"> del Senado en segundo trámite. </w:t>
      </w:r>
    </w:p>
    <w:p w:rsidR="009052CB" w:rsidRPr="00927062" w:rsidRDefault="00927062" w:rsidP="005B7526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27062">
        <w:rPr>
          <w:rFonts w:ascii="Garamond" w:hAnsi="Garamond"/>
          <w:color w:val="000000" w:themeColor="text1"/>
          <w:sz w:val="28"/>
          <w:szCs w:val="28"/>
          <w:lang w:val="es-MX"/>
        </w:rPr>
        <w:t>L</w:t>
      </w:r>
      <w:r w:rsidR="009052CB" w:rsidRPr="00927062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a ley N° 20.322 fue </w:t>
      </w:r>
      <w:r w:rsidRPr="00927062">
        <w:rPr>
          <w:rFonts w:ascii="Garamond" w:hAnsi="Garamond"/>
          <w:color w:val="000000" w:themeColor="text1"/>
          <w:sz w:val="28"/>
          <w:szCs w:val="28"/>
          <w:lang w:val="es-MX"/>
        </w:rPr>
        <w:t>el</w:t>
      </w:r>
      <w:r w:rsidR="009052CB" w:rsidRPr="00927062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 primer paso en el fortalecimiento de la institucionalidad relativa a los litigios en materias tributarias y aduaneras, por medio de la creación de los Tribunales Tributarios y Aduaneros independientes de la Administración del Estado. Dichos tribunales son órganos jurisdiccionales letrados, especiales e independientes en el ejercicio de su ministerio.</w:t>
      </w:r>
    </w:p>
    <w:p w:rsidR="009C6A59" w:rsidRDefault="009C6A59" w:rsidP="005B7526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27062">
        <w:rPr>
          <w:rFonts w:ascii="Garamond" w:hAnsi="Garamond"/>
          <w:color w:val="000000" w:themeColor="text1"/>
          <w:sz w:val="28"/>
          <w:szCs w:val="28"/>
        </w:rPr>
        <w:t>PL consta de cuatro artículos permanentes y cinco disposiciones transitorias.</w:t>
      </w:r>
    </w:p>
    <w:p w:rsidR="009C6A59" w:rsidRPr="00927062" w:rsidRDefault="009C6A59" w:rsidP="005B7526">
      <w:pPr>
        <w:pStyle w:val="Prrafodelista"/>
        <w:numPr>
          <w:ilvl w:val="0"/>
          <w:numId w:val="8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27062">
        <w:rPr>
          <w:rFonts w:ascii="Garamond" w:hAnsi="Garamond"/>
          <w:color w:val="000000" w:themeColor="text1"/>
          <w:sz w:val="28"/>
          <w:szCs w:val="28"/>
        </w:rPr>
        <w:t>No se realizaron mayores modificaciones en su paso</w:t>
      </w:r>
      <w:r w:rsidR="00927062">
        <w:rPr>
          <w:rFonts w:ascii="Garamond" w:hAnsi="Garamond"/>
          <w:color w:val="000000" w:themeColor="text1"/>
          <w:sz w:val="28"/>
          <w:szCs w:val="28"/>
        </w:rPr>
        <w:t xml:space="preserve"> por el Senado</w:t>
      </w:r>
      <w:r w:rsidRPr="00927062">
        <w:rPr>
          <w:rFonts w:ascii="Garamond" w:hAnsi="Garamond"/>
          <w:color w:val="000000" w:themeColor="text1"/>
          <w:sz w:val="28"/>
          <w:szCs w:val="28"/>
        </w:rPr>
        <w:t>.</w:t>
      </w:r>
    </w:p>
    <w:p w:rsidR="009C6A59" w:rsidRPr="009C6A59" w:rsidRDefault="009C6A59" w:rsidP="005B7526">
      <w:pPr>
        <w:ind w:firstLine="708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052CB" w:rsidRPr="009C6A59" w:rsidRDefault="009052CB" w:rsidP="005B7526">
      <w:pPr>
        <w:pStyle w:val="Prrafodelista"/>
        <w:ind w:left="1080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052CB" w:rsidRPr="005B7526" w:rsidRDefault="005B7526" w:rsidP="005B7526">
      <w:pPr>
        <w:pStyle w:val="Prrafodelista"/>
        <w:numPr>
          <w:ilvl w:val="0"/>
          <w:numId w:val="1"/>
        </w:numPr>
        <w:jc w:val="both"/>
        <w:rPr>
          <w:rFonts w:ascii="Garamond" w:hAnsi="Garamond"/>
          <w:b/>
          <w:color w:val="000000" w:themeColor="text1"/>
          <w:sz w:val="28"/>
          <w:szCs w:val="28"/>
          <w:u w:val="single"/>
        </w:rPr>
      </w:pPr>
      <w:r w:rsidRPr="005B7526">
        <w:rPr>
          <w:rFonts w:ascii="Garamond" w:hAnsi="Garamond"/>
          <w:b/>
          <w:color w:val="000000" w:themeColor="text1"/>
          <w:sz w:val="28"/>
          <w:szCs w:val="28"/>
          <w:u w:val="single"/>
        </w:rPr>
        <w:t>Contenido</w:t>
      </w:r>
      <w:r w:rsidR="009052CB" w:rsidRPr="005B7526">
        <w:rPr>
          <w:rFonts w:ascii="Garamond" w:hAnsi="Garamond"/>
          <w:b/>
          <w:color w:val="000000" w:themeColor="text1"/>
          <w:sz w:val="28"/>
          <w:szCs w:val="28"/>
          <w:u w:val="single"/>
        </w:rPr>
        <w:t xml:space="preserve"> del PL.</w:t>
      </w:r>
    </w:p>
    <w:p w:rsidR="009052CB" w:rsidRDefault="009052CB" w:rsidP="005B7526">
      <w:pPr>
        <w:pStyle w:val="Prrafode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</w:rPr>
      </w:pPr>
      <w:r w:rsidRPr="00927062">
        <w:rPr>
          <w:rFonts w:ascii="Garamond" w:hAnsi="Garamond"/>
          <w:b/>
          <w:color w:val="000000" w:themeColor="text1"/>
          <w:sz w:val="28"/>
          <w:szCs w:val="28"/>
        </w:rPr>
        <w:t>F</w:t>
      </w:r>
      <w:r w:rsidR="00927062">
        <w:rPr>
          <w:rFonts w:ascii="Garamond" w:hAnsi="Garamond"/>
          <w:b/>
          <w:color w:val="000000" w:themeColor="text1"/>
          <w:sz w:val="28"/>
          <w:szCs w:val="28"/>
        </w:rPr>
        <w:t>ortalece</w:t>
      </w:r>
      <w:r w:rsidRPr="00927062">
        <w:rPr>
          <w:rFonts w:ascii="Garamond" w:hAnsi="Garamond"/>
          <w:b/>
          <w:color w:val="000000" w:themeColor="text1"/>
          <w:sz w:val="28"/>
          <w:szCs w:val="28"/>
        </w:rPr>
        <w:t xml:space="preserve"> institucionalmente a los tribunales tributarios y aduaneros, y perfeccionar las reglas que rigen los procedimientos y la tramitación de causas que se desarrollan en los mencionados tribunales</w:t>
      </w:r>
      <w:r w:rsidRPr="009C6A59">
        <w:rPr>
          <w:rFonts w:ascii="Garamond" w:hAnsi="Garamond"/>
          <w:color w:val="000000" w:themeColor="text1"/>
          <w:sz w:val="28"/>
          <w:szCs w:val="28"/>
        </w:rPr>
        <w:t>.</w:t>
      </w:r>
    </w:p>
    <w:p w:rsidR="00927062" w:rsidRPr="00927062" w:rsidRDefault="00927062" w:rsidP="005B7526">
      <w:pPr>
        <w:pStyle w:val="Prrafodelista"/>
        <w:numPr>
          <w:ilvl w:val="0"/>
          <w:numId w:val="9"/>
        </w:num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27062">
        <w:rPr>
          <w:rFonts w:ascii="Garamond" w:hAnsi="Garamond"/>
          <w:bCs/>
          <w:iCs/>
          <w:color w:val="000000" w:themeColor="text1"/>
          <w:sz w:val="28"/>
          <w:szCs w:val="28"/>
          <w:lang w:val="es-MX"/>
        </w:rPr>
        <w:t>se modifica</w:t>
      </w:r>
      <w:r w:rsidRPr="00927062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 la ley N° 20.322, con el objetivo de establecer un nuevo sistema de remuneraciones propia para los Tribunales Tributarios y Aduaneros.</w:t>
      </w:r>
    </w:p>
    <w:p w:rsidR="00927062" w:rsidRPr="009C6A59" w:rsidRDefault="00927062" w:rsidP="005B7526">
      <w:pPr>
        <w:pStyle w:val="Prrafodelista"/>
        <w:numPr>
          <w:ilvl w:val="0"/>
          <w:numId w:val="9"/>
        </w:numPr>
        <w:jc w:val="both"/>
        <w:rPr>
          <w:rFonts w:ascii="Garamond" w:hAnsi="Garamond"/>
          <w:bCs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bCs/>
          <w:color w:val="000000" w:themeColor="text1"/>
          <w:sz w:val="28"/>
          <w:szCs w:val="28"/>
          <w:lang w:val="es-MX"/>
        </w:rPr>
        <w:t xml:space="preserve">Se modifican las plantas de personal de los tribunales, con plantas máximas de </w:t>
      </w: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>hasta 139 cargos</w:t>
      </w:r>
      <w:r w:rsidRPr="009C6A59">
        <w:rPr>
          <w:rFonts w:ascii="Garamond" w:hAnsi="Garamond"/>
          <w:bCs/>
          <w:color w:val="000000" w:themeColor="text1"/>
          <w:sz w:val="28"/>
          <w:szCs w:val="28"/>
          <w:lang w:val="es-MX"/>
        </w:rPr>
        <w:t xml:space="preserve"> y se establece un nuevo sistema de distribución de causas entre los adjudicadores de la Región Metropolitana.</w:t>
      </w:r>
    </w:p>
    <w:p w:rsidR="00927062" w:rsidRPr="009C6A59" w:rsidRDefault="00927062" w:rsidP="005B7526">
      <w:pPr>
        <w:pStyle w:val="Prrafodelista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052CB" w:rsidRPr="00927062" w:rsidRDefault="00927062" w:rsidP="005B7526">
      <w:pPr>
        <w:pStyle w:val="Prrafodelista"/>
        <w:numPr>
          <w:ilvl w:val="0"/>
          <w:numId w:val="3"/>
        </w:num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>
        <w:rPr>
          <w:rFonts w:ascii="Garamond" w:hAnsi="Garamond"/>
          <w:b/>
          <w:color w:val="000000" w:themeColor="text1"/>
          <w:sz w:val="28"/>
          <w:szCs w:val="28"/>
          <w:lang w:val="es-MX"/>
        </w:rPr>
        <w:t>Mejora</w:t>
      </w:r>
      <w:r w:rsidR="009052CB" w:rsidRPr="00927062">
        <w:rPr>
          <w:rFonts w:ascii="Garamond" w:hAnsi="Garamond"/>
          <w:b/>
          <w:color w:val="000000" w:themeColor="text1"/>
          <w:sz w:val="28"/>
          <w:szCs w:val="28"/>
          <w:lang w:val="es-MX"/>
        </w:rPr>
        <w:t xml:space="preserve"> ciertos procedimientos e impulsar la incorporación de nuevas etapas en los mismos que permitan seguir avanzando en una judicatura especializada que otorgue a los contribuyentes y a los órganos de la Administración del Estado encargados de aplicar las disposiciones legales respectivas y fiscalizar el cumplimiento </w:t>
      </w:r>
      <w:r w:rsidR="009052CB" w:rsidRPr="00927062">
        <w:rPr>
          <w:rFonts w:ascii="Garamond" w:hAnsi="Garamond"/>
          <w:b/>
          <w:color w:val="000000" w:themeColor="text1"/>
          <w:sz w:val="28"/>
          <w:szCs w:val="28"/>
          <w:lang w:val="es-MX"/>
        </w:rPr>
        <w:lastRenderedPageBreak/>
        <w:t>tributario y aduanero, la mayor certeza jurídica y celeridad necesaria en el desarrollo de sus actividades</w:t>
      </w:r>
      <w:r w:rsidR="009052CB" w:rsidRPr="00927062">
        <w:rPr>
          <w:rFonts w:ascii="Garamond" w:hAnsi="Garamond"/>
          <w:color w:val="000000" w:themeColor="text1"/>
          <w:sz w:val="28"/>
          <w:szCs w:val="28"/>
          <w:lang w:val="es-MX"/>
        </w:rPr>
        <w:t>.</w:t>
      </w:r>
    </w:p>
    <w:p w:rsidR="00407330" w:rsidRPr="00927062" w:rsidRDefault="00407330" w:rsidP="005B7526">
      <w:pPr>
        <w:pStyle w:val="Prrafodelista"/>
        <w:numPr>
          <w:ilvl w:val="0"/>
          <w:numId w:val="7"/>
        </w:numPr>
        <w:jc w:val="both"/>
        <w:rPr>
          <w:rFonts w:ascii="Garamond" w:hAnsi="Garamond"/>
          <w:bCs/>
          <w:color w:val="000000" w:themeColor="text1"/>
          <w:sz w:val="28"/>
          <w:szCs w:val="28"/>
          <w:lang w:val="es-MX"/>
        </w:rPr>
      </w:pPr>
      <w:r w:rsidRPr="00927062">
        <w:rPr>
          <w:rFonts w:ascii="Garamond" w:hAnsi="Garamond"/>
          <w:bCs/>
          <w:color w:val="000000" w:themeColor="text1"/>
          <w:sz w:val="28"/>
          <w:szCs w:val="28"/>
          <w:lang w:val="es-MX"/>
        </w:rPr>
        <w:t>Creación del Trámite de la Audiencia de Conciliación en los procedimientos tributarios y aduaneros.</w:t>
      </w:r>
    </w:p>
    <w:p w:rsidR="00407330" w:rsidRPr="009C6A59" w:rsidRDefault="00407330" w:rsidP="005B7526">
      <w:pPr>
        <w:pStyle w:val="Prrafodelista"/>
        <w:ind w:left="1440"/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>La conciliación como equivalente jurisdiccional, cumple la función procesal de reemplazar a una sentencia definitiva, cuando las partes en litigo son capaces de resolver sus diferencias en sede jurisdiccional, de forma previa a la dictación del fallo.</w:t>
      </w:r>
    </w:p>
    <w:p w:rsidR="00407330" w:rsidRPr="009C6A59" w:rsidRDefault="00407330" w:rsidP="005B7526">
      <w:pPr>
        <w:pStyle w:val="Prrafodelista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proyecto propone incorporar el trámite de observaciones a la prueba </w:t>
      </w:r>
      <w:r w:rsidRPr="009C6A59">
        <w:rPr>
          <w:rFonts w:ascii="Garamond" w:hAnsi="Garamond"/>
          <w:color w:val="000000" w:themeColor="text1"/>
          <w:sz w:val="28"/>
          <w:szCs w:val="28"/>
        </w:rPr>
        <w:t>tanto</w:t>
      </w: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 en el Código Tributario como en la Ordenanza de Aduanas, para que las partes, vencido el término de prueba, y dentro de los diez días siguientes, puedan presentar por escrito sus respectivas observaciones.</w:t>
      </w:r>
    </w:p>
    <w:p w:rsidR="00407330" w:rsidRPr="009C6A59" w:rsidRDefault="00407330" w:rsidP="005B7526">
      <w:pPr>
        <w:pStyle w:val="Prrafodelista"/>
        <w:numPr>
          <w:ilvl w:val="0"/>
          <w:numId w:val="7"/>
        </w:numPr>
        <w:jc w:val="both"/>
        <w:rPr>
          <w:rFonts w:ascii="Garamond" w:hAnsi="Garamond"/>
          <w:b/>
          <w:bCs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>Mejoras a la regulación del recurso de reposición administrativa del Código Tributario.</w:t>
      </w:r>
    </w:p>
    <w:p w:rsidR="00407330" w:rsidRPr="009C6A59" w:rsidRDefault="00407330" w:rsidP="005B7526">
      <w:pPr>
        <w:pStyle w:val="Prrafodelista"/>
        <w:numPr>
          <w:ilvl w:val="0"/>
          <w:numId w:val="7"/>
        </w:num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introdujo un trámite administrativo de reposición, en virtud del cual los contribuyentes pueden solicitar la revisión de determinados actos de la administración. </w:t>
      </w:r>
    </w:p>
    <w:p w:rsidR="00407330" w:rsidRPr="009C6A59" w:rsidRDefault="00407330" w:rsidP="005B7526">
      <w:pPr>
        <w:pStyle w:val="Prrafodelista"/>
        <w:ind w:left="1440"/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Se amplía el plazo que tienen los contribuyentes para presentar dicho recurso administrativo de 15 a 30 días, y el plazo para que el Servicio de Impuestos Internos se pronuncie sobre el mismo, de 50 a 90 días. </w:t>
      </w:r>
      <w:proofErr w:type="gramStart"/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>Además</w:t>
      </w:r>
      <w:proofErr w:type="gramEnd"/>
      <w:r w:rsidRPr="009C6A59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 establece expresamente que la presentación de este recurso suspende el plazo para interponer el reclamo ante los Tribunales Tributarios y Aduaneros.</w:t>
      </w:r>
    </w:p>
    <w:p w:rsidR="00407330" w:rsidRPr="00927062" w:rsidRDefault="00927062" w:rsidP="005B7526">
      <w:pPr>
        <w:pStyle w:val="Prrafodelista"/>
        <w:numPr>
          <w:ilvl w:val="0"/>
          <w:numId w:val="3"/>
        </w:numPr>
        <w:jc w:val="both"/>
        <w:rPr>
          <w:rFonts w:ascii="Garamond" w:hAnsi="Garamond"/>
          <w:b/>
          <w:color w:val="000000" w:themeColor="text1"/>
          <w:sz w:val="28"/>
          <w:szCs w:val="28"/>
          <w:lang w:val="es-MX"/>
        </w:rPr>
      </w:pPr>
      <w:r>
        <w:rPr>
          <w:rFonts w:ascii="Garamond" w:hAnsi="Garamond"/>
          <w:b/>
          <w:color w:val="000000" w:themeColor="text1"/>
          <w:sz w:val="28"/>
          <w:szCs w:val="28"/>
          <w:lang w:val="es-MX"/>
        </w:rPr>
        <w:t>Establece</w:t>
      </w:r>
      <w:r w:rsidRPr="00927062">
        <w:rPr>
          <w:rFonts w:ascii="Garamond" w:hAnsi="Garamond"/>
          <w:b/>
          <w:color w:val="000000" w:themeColor="text1"/>
          <w:sz w:val="28"/>
          <w:szCs w:val="28"/>
          <w:lang w:val="es-MX"/>
        </w:rPr>
        <w:t xml:space="preserve"> la tramitación electrónica de causas en los procedimientos tributarios y aduaneros, lo cual constituye un avance en la incorporación del uso de la tecnología, información y comunicación digital.</w:t>
      </w:r>
      <w:r w:rsidR="00407330" w:rsidRPr="00927062">
        <w:rPr>
          <w:rFonts w:ascii="Garamond" w:hAnsi="Garamond"/>
          <w:b/>
          <w:bCs/>
          <w:color w:val="000000" w:themeColor="text1"/>
          <w:sz w:val="28"/>
          <w:szCs w:val="28"/>
          <w:lang w:val="es-MX"/>
        </w:rPr>
        <w:t xml:space="preserve"> </w:t>
      </w:r>
    </w:p>
    <w:p w:rsidR="00407330" w:rsidRPr="00927062" w:rsidRDefault="00407330" w:rsidP="005B7526">
      <w:pPr>
        <w:pStyle w:val="Prrafodelista"/>
        <w:numPr>
          <w:ilvl w:val="0"/>
          <w:numId w:val="10"/>
        </w:num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  <w:r w:rsidRPr="00927062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Se incorpora tanto en el Código Tributario como en la Ordenanza de Aduanas, el expediente y tramitación de causas por medios electrónicos, que consiste en un sistema de </w:t>
      </w:r>
      <w:r w:rsidRPr="00927062">
        <w:rPr>
          <w:rFonts w:ascii="Garamond" w:hAnsi="Garamond"/>
          <w:color w:val="000000" w:themeColor="text1"/>
          <w:sz w:val="28"/>
          <w:szCs w:val="28"/>
          <w:lang w:val="es-ES"/>
        </w:rPr>
        <w:t>registro electrónico de todos sus procedimientos, en medio digital, el cual deberá ser apto para dar debida fe y garantizar la conservación y reproducción de su contenido.</w:t>
      </w:r>
      <w:r w:rsidRPr="00927062">
        <w:rPr>
          <w:rFonts w:ascii="Garamond" w:hAnsi="Garamond"/>
          <w:color w:val="000000" w:themeColor="text1"/>
          <w:sz w:val="28"/>
          <w:szCs w:val="28"/>
          <w:lang w:val="es-MX"/>
        </w:rPr>
        <w:t xml:space="preserve"> Explica que las ventajas asociadas a la incorporación de este expediente son, entre otras, las siguientes: facilita la tramitación de las causas; disminuye los tiempos de tramitación; permite el acceso oportuno, veraz y completo a la información de los procedimientos, y maximiza el uso del espacio físico del tribunal al tener respaldados electrónicamente los instrumentos.</w:t>
      </w:r>
    </w:p>
    <w:p w:rsidR="009052CB" w:rsidRPr="009C6A59" w:rsidRDefault="009052CB" w:rsidP="005B7526">
      <w:p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</w:p>
    <w:p w:rsidR="009052CB" w:rsidRPr="009C6A59" w:rsidRDefault="009052CB" w:rsidP="005B7526">
      <w:pPr>
        <w:jc w:val="both"/>
        <w:rPr>
          <w:rFonts w:ascii="Garamond" w:hAnsi="Garamond"/>
          <w:color w:val="000000" w:themeColor="text1"/>
          <w:sz w:val="28"/>
          <w:szCs w:val="28"/>
          <w:lang w:val="es-MX"/>
        </w:rPr>
      </w:pPr>
    </w:p>
    <w:p w:rsidR="009052CB" w:rsidRPr="009C6A59" w:rsidRDefault="009052CB" w:rsidP="005B7526">
      <w:pPr>
        <w:pStyle w:val="Prrafodelista"/>
        <w:jc w:val="both"/>
        <w:rPr>
          <w:rFonts w:ascii="Garamond" w:hAnsi="Garamond"/>
          <w:color w:val="000000" w:themeColor="text1"/>
          <w:sz w:val="28"/>
          <w:szCs w:val="28"/>
        </w:rPr>
      </w:pPr>
    </w:p>
    <w:p w:rsidR="009052CB" w:rsidRPr="009C6A59" w:rsidRDefault="009052CB" w:rsidP="005B7526">
      <w:pPr>
        <w:ind w:firstLine="360"/>
        <w:jc w:val="both"/>
        <w:rPr>
          <w:rFonts w:ascii="Garamond" w:hAnsi="Garamond"/>
          <w:b/>
          <w:color w:val="000000" w:themeColor="text1"/>
          <w:sz w:val="28"/>
          <w:szCs w:val="28"/>
        </w:rPr>
      </w:pPr>
    </w:p>
    <w:p w:rsidR="009052CB" w:rsidRPr="009C6A59" w:rsidRDefault="009052CB" w:rsidP="005B7526">
      <w:pPr>
        <w:pStyle w:val="Prrafodelista"/>
        <w:ind w:left="1080"/>
        <w:jc w:val="both"/>
        <w:rPr>
          <w:rFonts w:ascii="Garamond" w:hAnsi="Garamond"/>
          <w:color w:val="000000" w:themeColor="text1"/>
          <w:sz w:val="28"/>
          <w:szCs w:val="28"/>
        </w:rPr>
      </w:pPr>
    </w:p>
    <w:sectPr w:rsidR="009052CB" w:rsidRPr="009C6A5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462BAA"/>
    <w:multiLevelType w:val="hybridMultilevel"/>
    <w:tmpl w:val="BFAA50F6"/>
    <w:lvl w:ilvl="0" w:tplc="82F470F6">
      <w:start w:val="1"/>
      <w:numFmt w:val="decimal"/>
      <w:pStyle w:val="Ttulo1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DE05ED6"/>
    <w:multiLevelType w:val="hybridMultilevel"/>
    <w:tmpl w:val="F818320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7A47B6"/>
    <w:multiLevelType w:val="hybridMultilevel"/>
    <w:tmpl w:val="778A5B7A"/>
    <w:lvl w:ilvl="0" w:tplc="D6146D10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333333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4E75E3"/>
    <w:multiLevelType w:val="hybridMultilevel"/>
    <w:tmpl w:val="F6A47A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26C69"/>
    <w:multiLevelType w:val="hybridMultilevel"/>
    <w:tmpl w:val="5BC4024E"/>
    <w:lvl w:ilvl="0" w:tplc="4A54004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17D2807"/>
    <w:multiLevelType w:val="hybridMultilevel"/>
    <w:tmpl w:val="B826F97C"/>
    <w:lvl w:ilvl="0" w:tplc="340A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A2069AF"/>
    <w:multiLevelType w:val="hybridMultilevel"/>
    <w:tmpl w:val="C6204ED0"/>
    <w:lvl w:ilvl="0" w:tplc="F1108C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B2A44D6"/>
    <w:multiLevelType w:val="hybridMultilevel"/>
    <w:tmpl w:val="C756E79E"/>
    <w:lvl w:ilvl="0" w:tplc="E46CA31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E2D4DF2"/>
    <w:multiLevelType w:val="hybridMultilevel"/>
    <w:tmpl w:val="563A734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6F0DD5"/>
    <w:multiLevelType w:val="hybridMultilevel"/>
    <w:tmpl w:val="1FD8E986"/>
    <w:lvl w:ilvl="0" w:tplc="869450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2CB"/>
    <w:rsid w:val="00146E5A"/>
    <w:rsid w:val="00407330"/>
    <w:rsid w:val="005B7526"/>
    <w:rsid w:val="009052CB"/>
    <w:rsid w:val="00927062"/>
    <w:rsid w:val="009C6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C25E"/>
  <w15:chartTrackingRefBased/>
  <w15:docId w15:val="{6E014765-FC4A-451C-A5BC-64EA00191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052CB"/>
    <w:pPr>
      <w:keepNext/>
      <w:keepLines/>
      <w:numPr>
        <w:numId w:val="2"/>
      </w:numPr>
      <w:tabs>
        <w:tab w:val="left" w:pos="2835"/>
      </w:tabs>
      <w:spacing w:after="0" w:line="360" w:lineRule="auto"/>
      <w:jc w:val="both"/>
      <w:outlineLvl w:val="0"/>
    </w:pPr>
    <w:rPr>
      <w:rFonts w:ascii="Times New Roman" w:eastAsia="MS Gothic" w:hAnsi="Times New Roman" w:cs="Times New Roman"/>
      <w:color w:val="000000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52CB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9052CB"/>
    <w:rPr>
      <w:rFonts w:ascii="Times New Roman" w:eastAsia="MS Gothic" w:hAnsi="Times New Roman" w:cs="Times New Roman"/>
      <w:color w:val="000000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609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</dc:creator>
  <cp:keywords/>
  <dc:description/>
  <cp:lastModifiedBy>Rafael</cp:lastModifiedBy>
  <cp:revision>2</cp:revision>
  <dcterms:created xsi:type="dcterms:W3CDTF">2017-07-05T18:55:00Z</dcterms:created>
  <dcterms:modified xsi:type="dcterms:W3CDTF">2017-07-05T19:44:00Z</dcterms:modified>
</cp:coreProperties>
</file>