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E5A" w:rsidRDefault="00AE56F6" w:rsidP="00804C58">
      <w:pPr>
        <w:pBdr>
          <w:bottom w:val="single" w:sz="6" w:space="1" w:color="auto"/>
        </w:pBdr>
        <w:spacing w:line="360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804C58">
        <w:rPr>
          <w:rFonts w:ascii="Garamond" w:hAnsi="Garamond"/>
          <w:b/>
          <w:color w:val="000000" w:themeColor="text1"/>
          <w:sz w:val="28"/>
          <w:szCs w:val="28"/>
        </w:rPr>
        <w:t>MINUTA LEY EMILIA, PROPUESTAS PARA SU MEJORA</w:t>
      </w:r>
    </w:p>
    <w:p w:rsidR="00AE56F6" w:rsidRPr="00804C58" w:rsidRDefault="00AE56F6" w:rsidP="00804C58">
      <w:pPr>
        <w:spacing w:line="36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F03CA6" w:rsidRPr="00804C58" w:rsidRDefault="00F03CA6" w:rsidP="00804C5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804C58">
        <w:rPr>
          <w:rFonts w:ascii="Garamond" w:hAnsi="Garamond"/>
          <w:b/>
          <w:color w:val="000000" w:themeColor="text1"/>
          <w:sz w:val="28"/>
          <w:szCs w:val="28"/>
        </w:rPr>
        <w:t>Contenido</w:t>
      </w:r>
      <w:r w:rsidRPr="00804C58">
        <w:rPr>
          <w:rFonts w:ascii="Garamond" w:hAnsi="Garamond"/>
          <w:color w:val="000000" w:themeColor="text1"/>
          <w:sz w:val="28"/>
          <w:szCs w:val="28"/>
        </w:rPr>
        <w:t>.</w:t>
      </w:r>
    </w:p>
    <w:p w:rsidR="00AE56F6" w:rsidRPr="00804C58" w:rsidRDefault="00AE56F6" w:rsidP="00804C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Garamond" w:hAnsi="Garamond" w:cs="Helvetica"/>
          <w:color w:val="000000" w:themeColor="text1"/>
          <w:sz w:val="28"/>
          <w:szCs w:val="28"/>
        </w:rPr>
      </w:pPr>
      <w:r w:rsidRPr="00804C58">
        <w:rPr>
          <w:rFonts w:ascii="Garamond" w:hAnsi="Garamond"/>
          <w:color w:val="000000" w:themeColor="text1"/>
          <w:sz w:val="28"/>
          <w:szCs w:val="28"/>
        </w:rPr>
        <w:tab/>
        <w:t xml:space="preserve">La ley 20.770 del 16 de septiembre de 2014 es la llamada ley Emilia que reforma la ley del </w:t>
      </w:r>
      <w:r w:rsidR="00804C58" w:rsidRPr="00804C58">
        <w:rPr>
          <w:rFonts w:ascii="Garamond" w:hAnsi="Garamond"/>
          <w:color w:val="000000" w:themeColor="text1"/>
          <w:sz w:val="28"/>
          <w:szCs w:val="28"/>
        </w:rPr>
        <w:t>tránsito</w:t>
      </w:r>
      <w:r w:rsidR="00804C58">
        <w:rPr>
          <w:rFonts w:ascii="Garamond" w:hAnsi="Garamond"/>
          <w:color w:val="000000" w:themeColor="text1"/>
          <w:sz w:val="28"/>
          <w:szCs w:val="28"/>
        </w:rPr>
        <w:t xml:space="preserve"> e</w:t>
      </w:r>
      <w:r w:rsidRPr="00804C58">
        <w:rPr>
          <w:rFonts w:ascii="Garamond" w:hAnsi="Garamond" w:cs="Helvetica"/>
          <w:color w:val="000000" w:themeColor="text1"/>
          <w:sz w:val="28"/>
          <w:szCs w:val="28"/>
        </w:rPr>
        <w:t>stableciendo </w:t>
      </w:r>
      <w:r w:rsidRPr="00804C58">
        <w:rPr>
          <w:rFonts w:ascii="Garamond" w:hAnsi="Garamond" w:cs="Helvetica"/>
          <w:b/>
          <w:bCs/>
          <w:color w:val="000000" w:themeColor="text1"/>
          <w:sz w:val="28"/>
          <w:szCs w:val="28"/>
        </w:rPr>
        <w:t>sanciones más</w:t>
      </w:r>
      <w:r w:rsidRPr="00804C58">
        <w:rPr>
          <w:rFonts w:ascii="Garamond" w:hAnsi="Garamond" w:cs="Helvetica"/>
          <w:color w:val="000000" w:themeColor="text1"/>
          <w:sz w:val="28"/>
          <w:szCs w:val="28"/>
        </w:rPr>
        <w:t> </w:t>
      </w:r>
      <w:r w:rsidRPr="00804C58">
        <w:rPr>
          <w:rFonts w:ascii="Garamond" w:hAnsi="Garamond" w:cs="Helvetica"/>
          <w:b/>
          <w:bCs/>
          <w:color w:val="000000" w:themeColor="text1"/>
          <w:sz w:val="28"/>
          <w:szCs w:val="28"/>
        </w:rPr>
        <w:t>duras </w:t>
      </w:r>
      <w:r w:rsidRPr="00804C58">
        <w:rPr>
          <w:rFonts w:ascii="Garamond" w:hAnsi="Garamond" w:cs="Helvetica"/>
          <w:color w:val="000000" w:themeColor="text1"/>
          <w:sz w:val="28"/>
          <w:szCs w:val="28"/>
        </w:rPr>
        <w:t>a quienes manejen </w:t>
      </w:r>
      <w:r w:rsidRPr="00804C58">
        <w:rPr>
          <w:rFonts w:ascii="Garamond" w:hAnsi="Garamond" w:cs="Helvetica"/>
          <w:b/>
          <w:bCs/>
          <w:color w:val="000000" w:themeColor="text1"/>
          <w:sz w:val="28"/>
          <w:szCs w:val="28"/>
        </w:rPr>
        <w:t>en estado de ebriedad</w:t>
      </w:r>
      <w:r w:rsidRPr="00804C58">
        <w:rPr>
          <w:rFonts w:ascii="Garamond" w:hAnsi="Garamond" w:cs="Helvetica"/>
          <w:color w:val="000000" w:themeColor="text1"/>
          <w:sz w:val="28"/>
          <w:szCs w:val="28"/>
        </w:rPr>
        <w:t> y provoquen un accidente.</w:t>
      </w:r>
    </w:p>
    <w:p w:rsidR="00AE56F6" w:rsidRPr="00804C58" w:rsidRDefault="00AE56F6" w:rsidP="00804C58">
      <w:pPr>
        <w:shd w:val="clear" w:color="auto" w:fill="FFFFFF"/>
        <w:spacing w:after="150" w:line="360" w:lineRule="auto"/>
        <w:jc w:val="both"/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</w:pPr>
      <w:r w:rsidRPr="00804C58"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  <w:t>Además, tipifica como</w:t>
      </w:r>
      <w:r w:rsidRPr="00804C58">
        <w:rPr>
          <w:rFonts w:ascii="Garamond" w:eastAsia="Times New Roman" w:hAnsi="Garamond" w:cs="Helvetica"/>
          <w:b/>
          <w:bCs/>
          <w:color w:val="000000" w:themeColor="text1"/>
          <w:sz w:val="28"/>
          <w:szCs w:val="28"/>
          <w:lang w:eastAsia="es-CL"/>
        </w:rPr>
        <w:t> delito </w:t>
      </w:r>
      <w:r w:rsidRPr="00804C58"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  <w:t>(y, por ende, también endurece las sanciones):</w:t>
      </w:r>
    </w:p>
    <w:p w:rsidR="00AE56F6" w:rsidRPr="00804C58" w:rsidRDefault="00AE56F6" w:rsidP="00804C58">
      <w:pPr>
        <w:numPr>
          <w:ilvl w:val="0"/>
          <w:numId w:val="2"/>
        </w:numPr>
        <w:shd w:val="clear" w:color="auto" w:fill="FFFFFF"/>
        <w:spacing w:before="150" w:after="150" w:line="360" w:lineRule="auto"/>
        <w:ind w:left="75" w:right="75"/>
        <w:jc w:val="both"/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</w:pPr>
      <w:r w:rsidRPr="00804C58">
        <w:rPr>
          <w:rFonts w:ascii="Garamond" w:eastAsia="Times New Roman" w:hAnsi="Garamond" w:cs="Helvetica"/>
          <w:b/>
          <w:bCs/>
          <w:color w:val="000000" w:themeColor="text1"/>
          <w:sz w:val="28"/>
          <w:szCs w:val="28"/>
          <w:lang w:eastAsia="es-CL"/>
        </w:rPr>
        <w:t>Huir del lugar</w:t>
      </w:r>
      <w:r w:rsidRPr="00804C58"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  <w:t> luego de causar un accidente en el que se produzcan daños.</w:t>
      </w:r>
    </w:p>
    <w:p w:rsidR="00AE56F6" w:rsidRDefault="00AE56F6" w:rsidP="00804C58">
      <w:pPr>
        <w:numPr>
          <w:ilvl w:val="0"/>
          <w:numId w:val="2"/>
        </w:numPr>
        <w:shd w:val="clear" w:color="auto" w:fill="FFFFFF"/>
        <w:spacing w:before="150" w:after="150" w:line="360" w:lineRule="auto"/>
        <w:ind w:left="75" w:right="75"/>
        <w:jc w:val="both"/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</w:pPr>
      <w:r w:rsidRPr="00804C58">
        <w:rPr>
          <w:rFonts w:ascii="Garamond" w:eastAsia="Times New Roman" w:hAnsi="Garamond" w:cs="Helvetica"/>
          <w:b/>
          <w:bCs/>
          <w:color w:val="000000" w:themeColor="text1"/>
          <w:sz w:val="28"/>
          <w:szCs w:val="28"/>
          <w:lang w:eastAsia="es-CL"/>
        </w:rPr>
        <w:t>Negarse a la realización del alcotest </w:t>
      </w:r>
      <w:r w:rsidRPr="00804C58"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  <w:t>o alcoholemia (o cualquier otra prueba para determinar sustancias en la sangre).</w:t>
      </w:r>
    </w:p>
    <w:p w:rsidR="00094FF3" w:rsidRPr="00094FF3" w:rsidRDefault="00094FF3" w:rsidP="00094FF3">
      <w:pPr>
        <w:shd w:val="clear" w:color="auto" w:fill="FFFFFF"/>
        <w:spacing w:before="150" w:after="150" w:line="360" w:lineRule="auto"/>
        <w:ind w:left="75" w:right="75"/>
        <w:jc w:val="both"/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</w:pPr>
    </w:p>
    <w:p w:rsidR="00AE56F6" w:rsidRPr="00804C58" w:rsidRDefault="00AE56F6" w:rsidP="00804C58">
      <w:pPr>
        <w:shd w:val="clear" w:color="auto" w:fill="FFFFFF"/>
        <w:spacing w:after="180" w:line="360" w:lineRule="auto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</w:pPr>
      <w:r w:rsidRPr="00804C58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es-CL"/>
        </w:rPr>
        <w:t xml:space="preserve">1. Obligación de auxilio en accidentes de </w:t>
      </w:r>
      <w:proofErr w:type="spellStart"/>
      <w:r w:rsidRPr="00804C58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es-CL"/>
        </w:rPr>
        <w:t>transito</w:t>
      </w:r>
      <w:proofErr w:type="spellEnd"/>
      <w:r w:rsidRPr="00804C58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es-CL"/>
        </w:rPr>
        <w:t>.</w:t>
      </w:r>
      <w:r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br/>
        <w:t>En todo accidente del tránsito en que se produzcan lesiones o muerte de alguna persona, el conductor que participe en los hechos estará obligado a detener su marcha, prestar la ayuda que fuese posible y dar cuenta a cualquier funcionario de Carabineros que estuviere próximo al lugar del hecho, para los efectos de la denuncia judicial.</w:t>
      </w:r>
    </w:p>
    <w:p w:rsidR="00AE56F6" w:rsidRDefault="00AE56F6" w:rsidP="00804C58">
      <w:pPr>
        <w:shd w:val="clear" w:color="auto" w:fill="FFFFFF"/>
        <w:spacing w:after="180" w:line="360" w:lineRule="auto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</w:pPr>
      <w:r w:rsidRPr="00804C58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es-CL"/>
        </w:rPr>
        <w:t>¿Qué pasa si la persona no da cuenta a la autoridad policial?</w:t>
      </w:r>
      <w:r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br/>
        <w:t xml:space="preserve">Si en el accidente </w:t>
      </w:r>
      <w:r w:rsidRPr="00804C58">
        <w:rPr>
          <w:rFonts w:ascii="Garamond" w:eastAsia="Times New Roman" w:hAnsi="Garamond" w:cs="Times New Roman"/>
          <w:b/>
          <w:color w:val="000000" w:themeColor="text1"/>
          <w:sz w:val="28"/>
          <w:szCs w:val="28"/>
          <w:u w:val="single"/>
          <w:lang w:eastAsia="es-CL"/>
        </w:rPr>
        <w:t>sólo se produjeron daños</w:t>
      </w:r>
      <w:r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t>, la persona recibirá una multa de tres a siete unidades tributarias mensuales UTM y la suspensión de la licencia hasta por un mes.</w:t>
      </w:r>
      <w:r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br/>
      </w:r>
      <w:r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br/>
        <w:t xml:space="preserve">En un accidente en que una </w:t>
      </w:r>
      <w:r w:rsidRPr="00804C58">
        <w:rPr>
          <w:rFonts w:ascii="Garamond" w:eastAsia="Times New Roman" w:hAnsi="Garamond" w:cs="Times New Roman"/>
          <w:b/>
          <w:color w:val="000000" w:themeColor="text1"/>
          <w:sz w:val="28"/>
          <w:szCs w:val="28"/>
          <w:u w:val="single"/>
          <w:lang w:eastAsia="es-CL"/>
        </w:rPr>
        <w:t>persona resulte con lesiones</w:t>
      </w:r>
      <w:r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t xml:space="preserve">, si el conductor no se detiene y no avisa a la autoridad, recibirá una sanción de presidio menor en su </w:t>
      </w:r>
      <w:r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lastRenderedPageBreak/>
        <w:t>grado medio (541 días a tres años de presidio), inhabilidad perpetua para conducir vehículos de tracción mecánica y multa de siete a diez unidades tributarias mensuales.</w:t>
      </w:r>
      <w:r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br/>
      </w:r>
      <w:r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br/>
        <w:t xml:space="preserve">Si la </w:t>
      </w:r>
      <w:r w:rsidRPr="00804C58">
        <w:rPr>
          <w:rFonts w:ascii="Garamond" w:eastAsia="Times New Roman" w:hAnsi="Garamond" w:cs="Times New Roman"/>
          <w:b/>
          <w:color w:val="000000" w:themeColor="text1"/>
          <w:sz w:val="28"/>
          <w:szCs w:val="28"/>
          <w:u w:val="single"/>
          <w:lang w:eastAsia="es-CL"/>
        </w:rPr>
        <w:t>persona afectada muere o quedara con lesiones gravísimas</w:t>
      </w:r>
      <w:r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t xml:space="preserve"> (demente, inútil para el trabajo, impotente, impedido de algún miembro importante o notablemente deforme) se aplicará una pena de presidio menor en su grado máximo (de 3 años y un día a cinco años de presidio), inhabilidad perpetua para conducir vehículos de tracción mecánica, multa de once a veinte unidades tributarias mensuales y con el comiso del vehículo con que se ha cometido el delito.</w:t>
      </w:r>
      <w:r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br/>
      </w:r>
      <w:r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br/>
        <w:t>Se impondrán estas penas junto con la que pudiera recibir el conductor por la responsabilidad en el delito o en el cuasidelito que hubiese cometido.</w:t>
      </w:r>
    </w:p>
    <w:p w:rsidR="00804C58" w:rsidRPr="00804C58" w:rsidRDefault="00804C58" w:rsidP="00804C58">
      <w:pPr>
        <w:shd w:val="clear" w:color="auto" w:fill="FFFFFF"/>
        <w:spacing w:after="180" w:line="360" w:lineRule="auto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</w:pPr>
    </w:p>
    <w:p w:rsidR="00AE56F6" w:rsidRPr="00804C58" w:rsidRDefault="00AE56F6" w:rsidP="00804C58">
      <w:pPr>
        <w:shd w:val="clear" w:color="auto" w:fill="FFFFFF"/>
        <w:spacing w:after="180" w:line="36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es-CL"/>
        </w:rPr>
      </w:pPr>
      <w:r w:rsidRPr="00804C58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es-CL"/>
        </w:rPr>
        <w:t>2. Negarse a un alcotest.</w:t>
      </w:r>
    </w:p>
    <w:p w:rsidR="00AE56F6" w:rsidRPr="00804C58" w:rsidRDefault="00AE56F6" w:rsidP="00804C58">
      <w:pPr>
        <w:shd w:val="clear" w:color="auto" w:fill="FFFFFF"/>
        <w:spacing w:after="180" w:line="36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es-CL"/>
        </w:rPr>
      </w:pPr>
      <w:r w:rsidRPr="00804C58">
        <w:rPr>
          <w:rFonts w:ascii="Garamond" w:eastAsia="Times New Roman" w:hAnsi="Garamond" w:cs="Helvetica"/>
          <w:b/>
          <w:bCs/>
          <w:color w:val="000000" w:themeColor="text1"/>
          <w:sz w:val="28"/>
          <w:szCs w:val="28"/>
          <w:lang w:eastAsia="es-CL"/>
        </w:rPr>
        <w:t>Aunque no haya sido parte de un accidente</w:t>
      </w:r>
      <w:r w:rsidRPr="00804C58"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  <w:t>, si un conductor </w:t>
      </w:r>
      <w:r w:rsidRPr="00804C58">
        <w:rPr>
          <w:rFonts w:ascii="Garamond" w:eastAsia="Times New Roman" w:hAnsi="Garamond" w:cs="Helvetica"/>
          <w:b/>
          <w:bCs/>
          <w:color w:val="000000" w:themeColor="text1"/>
          <w:sz w:val="28"/>
          <w:szCs w:val="28"/>
          <w:lang w:eastAsia="es-CL"/>
        </w:rPr>
        <w:t>se niega</w:t>
      </w:r>
      <w:r w:rsidRPr="00804C58"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  <w:t> injustificadamente a realizarse un alcotest, o cualquier examen para determinar la cantidad de gramos de alcohol en la sangre (u otros estupefacientes), será sancionado con:</w:t>
      </w:r>
    </w:p>
    <w:p w:rsidR="00AE56F6" w:rsidRPr="00804C58" w:rsidRDefault="00AE56F6" w:rsidP="00804C58">
      <w:pPr>
        <w:numPr>
          <w:ilvl w:val="0"/>
          <w:numId w:val="4"/>
        </w:numPr>
        <w:shd w:val="clear" w:color="auto" w:fill="FFFFFF"/>
        <w:spacing w:before="150" w:after="150" w:line="360" w:lineRule="auto"/>
        <w:ind w:left="75" w:right="75"/>
        <w:jc w:val="both"/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</w:pPr>
      <w:r w:rsidRPr="00804C58"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  <w:t>Una</w:t>
      </w:r>
      <w:r w:rsidRPr="00804C58">
        <w:rPr>
          <w:rFonts w:ascii="Garamond" w:eastAsia="Times New Roman" w:hAnsi="Garamond" w:cs="Helvetica"/>
          <w:b/>
          <w:bCs/>
          <w:color w:val="000000" w:themeColor="text1"/>
          <w:sz w:val="28"/>
          <w:szCs w:val="28"/>
          <w:lang w:eastAsia="es-CL"/>
        </w:rPr>
        <w:t> multa de 3 a 10 </w:t>
      </w:r>
      <w:hyperlink r:id="rId5" w:tgtFrame="_blank" w:history="1">
        <w:r w:rsidRPr="00804C58">
          <w:rPr>
            <w:rFonts w:ascii="Garamond" w:eastAsia="Times New Roman" w:hAnsi="Garamond" w:cs="Helvetica"/>
            <w:color w:val="000000" w:themeColor="text1"/>
            <w:sz w:val="28"/>
            <w:szCs w:val="28"/>
            <w:u w:val="single"/>
            <w:lang w:eastAsia="es-CL"/>
          </w:rPr>
          <w:t>Unidades Tributarias Mensuales (UTM)</w:t>
        </w:r>
      </w:hyperlink>
      <w:r w:rsidRPr="00804C58"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  <w:t>.</w:t>
      </w:r>
    </w:p>
    <w:p w:rsidR="00E01428" w:rsidRPr="00804C58" w:rsidRDefault="00AE56F6" w:rsidP="00804C58">
      <w:pPr>
        <w:numPr>
          <w:ilvl w:val="0"/>
          <w:numId w:val="4"/>
        </w:numPr>
        <w:shd w:val="clear" w:color="auto" w:fill="FFFFFF"/>
        <w:spacing w:before="150" w:after="150" w:line="360" w:lineRule="auto"/>
        <w:ind w:left="75" w:right="75"/>
        <w:jc w:val="both"/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</w:pPr>
      <w:r w:rsidRPr="00804C58">
        <w:rPr>
          <w:rFonts w:ascii="Garamond" w:eastAsia="Times New Roman" w:hAnsi="Garamond" w:cs="Helvetica"/>
          <w:b/>
          <w:bCs/>
          <w:color w:val="000000" w:themeColor="text1"/>
          <w:sz w:val="28"/>
          <w:szCs w:val="28"/>
          <w:lang w:eastAsia="es-CL"/>
        </w:rPr>
        <w:t>Suspensión de la licencia de conducir</w:t>
      </w:r>
      <w:r w:rsidRPr="00804C58"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  <w:t> hasta por </w:t>
      </w:r>
      <w:r w:rsidRPr="00804C58">
        <w:rPr>
          <w:rFonts w:ascii="Garamond" w:eastAsia="Times New Roman" w:hAnsi="Garamond" w:cs="Helvetica"/>
          <w:b/>
          <w:bCs/>
          <w:color w:val="000000" w:themeColor="text1"/>
          <w:sz w:val="28"/>
          <w:szCs w:val="28"/>
          <w:lang w:eastAsia="es-CL"/>
        </w:rPr>
        <w:t>un mes</w:t>
      </w:r>
      <w:r w:rsidRPr="00804C58"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  <w:t>.</w:t>
      </w:r>
    </w:p>
    <w:p w:rsidR="00AE56F6" w:rsidRPr="00804C58" w:rsidRDefault="00AE56F6" w:rsidP="00804C58">
      <w:pPr>
        <w:shd w:val="clear" w:color="auto" w:fill="FFFFFF"/>
        <w:spacing w:before="150" w:after="150" w:line="360" w:lineRule="auto"/>
        <w:ind w:left="-285" w:right="75" w:firstLine="360"/>
        <w:jc w:val="both"/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</w:pPr>
      <w:r w:rsidRPr="00804C58">
        <w:rPr>
          <w:rFonts w:ascii="Garamond" w:eastAsia="Times New Roman" w:hAnsi="Garamond" w:cs="Helvetica"/>
          <w:b/>
          <w:bCs/>
          <w:color w:val="000000" w:themeColor="text1"/>
          <w:sz w:val="28"/>
          <w:szCs w:val="28"/>
          <w:lang w:eastAsia="es-CL"/>
        </w:rPr>
        <w:t>En caso de un accidente</w:t>
      </w:r>
      <w:r w:rsidRPr="00804C58"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  <w:t> si el</w:t>
      </w:r>
      <w:r w:rsidR="00E01428" w:rsidRPr="00804C58"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  <w:t xml:space="preserve"> conductor se niega a realizar</w:t>
      </w:r>
      <w:r w:rsidRPr="00804C58"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  <w:t xml:space="preserve"> el alcotest, y el afectado queda </w:t>
      </w:r>
      <w:r w:rsidRPr="00804C58">
        <w:rPr>
          <w:rFonts w:ascii="Garamond" w:eastAsia="Times New Roman" w:hAnsi="Garamond" w:cs="Helvetica"/>
          <w:b/>
          <w:bCs/>
          <w:color w:val="000000" w:themeColor="text1"/>
          <w:sz w:val="28"/>
          <w:szCs w:val="28"/>
          <w:lang w:eastAsia="es-CL"/>
        </w:rPr>
        <w:t>demente</w:t>
      </w:r>
      <w:r w:rsidRPr="00804C58"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  <w:t>, </w:t>
      </w:r>
      <w:r w:rsidRPr="00804C58">
        <w:rPr>
          <w:rFonts w:ascii="Garamond" w:eastAsia="Times New Roman" w:hAnsi="Garamond" w:cs="Helvetica"/>
          <w:b/>
          <w:bCs/>
          <w:color w:val="000000" w:themeColor="text1"/>
          <w:sz w:val="28"/>
          <w:szCs w:val="28"/>
          <w:lang w:eastAsia="es-CL"/>
        </w:rPr>
        <w:t>inútil para el trabajo</w:t>
      </w:r>
      <w:r w:rsidRPr="00804C58"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  <w:t>, </w:t>
      </w:r>
      <w:r w:rsidRPr="00804C58">
        <w:rPr>
          <w:rFonts w:ascii="Garamond" w:eastAsia="Times New Roman" w:hAnsi="Garamond" w:cs="Helvetica"/>
          <w:b/>
          <w:bCs/>
          <w:color w:val="000000" w:themeColor="text1"/>
          <w:sz w:val="28"/>
          <w:szCs w:val="28"/>
          <w:lang w:eastAsia="es-CL"/>
        </w:rPr>
        <w:t>impotente</w:t>
      </w:r>
      <w:r w:rsidRPr="00804C58"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  <w:t>, </w:t>
      </w:r>
      <w:r w:rsidRPr="00804C58">
        <w:rPr>
          <w:rFonts w:ascii="Garamond" w:eastAsia="Times New Roman" w:hAnsi="Garamond" w:cs="Helvetica"/>
          <w:b/>
          <w:bCs/>
          <w:color w:val="000000" w:themeColor="text1"/>
          <w:sz w:val="28"/>
          <w:szCs w:val="28"/>
          <w:lang w:eastAsia="es-CL"/>
        </w:rPr>
        <w:t>impedido de algún miembro importante</w:t>
      </w:r>
      <w:r w:rsidRPr="00804C58"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  <w:t>, </w:t>
      </w:r>
      <w:r w:rsidRPr="00804C58">
        <w:rPr>
          <w:rFonts w:ascii="Garamond" w:eastAsia="Times New Roman" w:hAnsi="Garamond" w:cs="Helvetica"/>
          <w:b/>
          <w:bCs/>
          <w:color w:val="000000" w:themeColor="text1"/>
          <w:sz w:val="28"/>
          <w:szCs w:val="28"/>
          <w:lang w:eastAsia="es-CL"/>
        </w:rPr>
        <w:t>notablemente deforme</w:t>
      </w:r>
      <w:r w:rsidRPr="00804C58"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  <w:t>, o </w:t>
      </w:r>
      <w:r w:rsidRPr="00804C58">
        <w:rPr>
          <w:rFonts w:ascii="Garamond" w:eastAsia="Times New Roman" w:hAnsi="Garamond" w:cs="Helvetica"/>
          <w:b/>
          <w:bCs/>
          <w:color w:val="000000" w:themeColor="text1"/>
          <w:sz w:val="28"/>
          <w:szCs w:val="28"/>
          <w:lang w:eastAsia="es-CL"/>
        </w:rPr>
        <w:t>muere</w:t>
      </w:r>
      <w:r w:rsidRPr="00804C58"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  <w:t> a causa del accidente el responsable será sancionado con:</w:t>
      </w:r>
    </w:p>
    <w:p w:rsidR="00AE56F6" w:rsidRPr="00804C58" w:rsidRDefault="00AE56F6" w:rsidP="00804C58">
      <w:pPr>
        <w:numPr>
          <w:ilvl w:val="0"/>
          <w:numId w:val="5"/>
        </w:numPr>
        <w:shd w:val="clear" w:color="auto" w:fill="FFFFFF"/>
        <w:spacing w:before="150" w:after="150" w:line="360" w:lineRule="auto"/>
        <w:ind w:left="75" w:right="75"/>
        <w:jc w:val="both"/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</w:pPr>
      <w:r w:rsidRPr="00804C58"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  <w:lastRenderedPageBreak/>
        <w:t>Una</w:t>
      </w:r>
      <w:r w:rsidRPr="00804C58">
        <w:rPr>
          <w:rFonts w:ascii="Garamond" w:eastAsia="Times New Roman" w:hAnsi="Garamond" w:cs="Helvetica"/>
          <w:b/>
          <w:bCs/>
          <w:color w:val="000000" w:themeColor="text1"/>
          <w:sz w:val="28"/>
          <w:szCs w:val="28"/>
          <w:lang w:eastAsia="es-CL"/>
        </w:rPr>
        <w:t> multa de 11 a 20 </w:t>
      </w:r>
      <w:hyperlink r:id="rId6" w:tgtFrame="_blank" w:history="1">
        <w:r w:rsidRPr="00804C58">
          <w:rPr>
            <w:rFonts w:ascii="Garamond" w:eastAsia="Times New Roman" w:hAnsi="Garamond" w:cs="Helvetica"/>
            <w:color w:val="000000" w:themeColor="text1"/>
            <w:sz w:val="28"/>
            <w:szCs w:val="28"/>
            <w:u w:val="single"/>
            <w:lang w:eastAsia="es-CL"/>
          </w:rPr>
          <w:t>Unidades Tributarias Mensuales (UTM)</w:t>
        </w:r>
      </w:hyperlink>
      <w:r w:rsidRPr="00804C58"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  <w:t>.</w:t>
      </w:r>
    </w:p>
    <w:p w:rsidR="00AE56F6" w:rsidRPr="00804C58" w:rsidRDefault="00AE56F6" w:rsidP="00804C58">
      <w:pPr>
        <w:numPr>
          <w:ilvl w:val="0"/>
          <w:numId w:val="5"/>
        </w:numPr>
        <w:shd w:val="clear" w:color="auto" w:fill="FFFFFF"/>
        <w:spacing w:before="150" w:after="150" w:line="360" w:lineRule="auto"/>
        <w:ind w:left="75" w:right="75"/>
        <w:jc w:val="both"/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</w:pPr>
      <w:r w:rsidRPr="00804C58"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  <w:t>Presidio de </w:t>
      </w:r>
      <w:r w:rsidRPr="00804C58">
        <w:rPr>
          <w:rFonts w:ascii="Garamond" w:eastAsia="Times New Roman" w:hAnsi="Garamond" w:cs="Helvetica"/>
          <w:b/>
          <w:bCs/>
          <w:color w:val="000000" w:themeColor="text1"/>
          <w:sz w:val="28"/>
          <w:szCs w:val="28"/>
          <w:lang w:eastAsia="es-CL"/>
        </w:rPr>
        <w:t>3 años y un día</w:t>
      </w:r>
      <w:r w:rsidRPr="00804C58"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  <w:t> a </w:t>
      </w:r>
      <w:r w:rsidRPr="00804C58">
        <w:rPr>
          <w:rFonts w:ascii="Garamond" w:eastAsia="Times New Roman" w:hAnsi="Garamond" w:cs="Helvetica"/>
          <w:b/>
          <w:bCs/>
          <w:color w:val="000000" w:themeColor="text1"/>
          <w:sz w:val="28"/>
          <w:szCs w:val="28"/>
          <w:lang w:eastAsia="es-CL"/>
        </w:rPr>
        <w:t>5 años</w:t>
      </w:r>
      <w:r w:rsidRPr="00804C58"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  <w:t>. </w:t>
      </w:r>
    </w:p>
    <w:p w:rsidR="00AE56F6" w:rsidRPr="00804C58" w:rsidRDefault="00AE56F6" w:rsidP="00804C58">
      <w:pPr>
        <w:numPr>
          <w:ilvl w:val="0"/>
          <w:numId w:val="5"/>
        </w:numPr>
        <w:shd w:val="clear" w:color="auto" w:fill="FFFFFF"/>
        <w:spacing w:before="150" w:after="150" w:line="360" w:lineRule="auto"/>
        <w:ind w:left="75" w:right="75"/>
        <w:jc w:val="both"/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</w:pPr>
      <w:bookmarkStart w:id="0" w:name="_GoBack"/>
      <w:bookmarkEnd w:id="0"/>
      <w:r w:rsidRPr="00804C58"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  <w:t>La </w:t>
      </w:r>
      <w:r w:rsidRPr="00804C58">
        <w:rPr>
          <w:rFonts w:ascii="Garamond" w:eastAsia="Times New Roman" w:hAnsi="Garamond" w:cs="Helvetica"/>
          <w:b/>
          <w:bCs/>
          <w:color w:val="000000" w:themeColor="text1"/>
          <w:sz w:val="28"/>
          <w:szCs w:val="28"/>
          <w:lang w:eastAsia="es-CL"/>
        </w:rPr>
        <w:t>prohibición de conducir durante toda su vida</w:t>
      </w:r>
      <w:r w:rsidRPr="00804C58"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  <w:t>.</w:t>
      </w:r>
    </w:p>
    <w:p w:rsidR="00AE56F6" w:rsidRPr="00804C58" w:rsidRDefault="00AE56F6" w:rsidP="00804C58">
      <w:pPr>
        <w:numPr>
          <w:ilvl w:val="0"/>
          <w:numId w:val="5"/>
        </w:numPr>
        <w:shd w:val="clear" w:color="auto" w:fill="FFFFFF"/>
        <w:spacing w:before="150" w:after="150" w:line="360" w:lineRule="auto"/>
        <w:ind w:left="75" w:right="75"/>
        <w:jc w:val="both"/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</w:pPr>
      <w:r w:rsidRPr="00804C58"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  <w:t>La </w:t>
      </w:r>
      <w:r w:rsidRPr="00804C58">
        <w:rPr>
          <w:rFonts w:ascii="Garamond" w:eastAsia="Times New Roman" w:hAnsi="Garamond" w:cs="Helvetica"/>
          <w:b/>
          <w:bCs/>
          <w:color w:val="000000" w:themeColor="text1"/>
          <w:sz w:val="28"/>
          <w:szCs w:val="28"/>
          <w:lang w:eastAsia="es-CL"/>
        </w:rPr>
        <w:t>incautación</w:t>
      </w:r>
      <w:r w:rsidRPr="00804C58">
        <w:rPr>
          <w:rFonts w:ascii="Garamond" w:eastAsia="Times New Roman" w:hAnsi="Garamond" w:cs="Helvetica"/>
          <w:color w:val="000000" w:themeColor="text1"/>
          <w:sz w:val="28"/>
          <w:szCs w:val="28"/>
          <w:lang w:eastAsia="es-CL"/>
        </w:rPr>
        <w:t> del vehículo.</w:t>
      </w:r>
    </w:p>
    <w:p w:rsidR="00E01428" w:rsidRPr="00804C58" w:rsidRDefault="00E01428" w:rsidP="00804C58">
      <w:pPr>
        <w:shd w:val="clear" w:color="auto" w:fill="FFFFFF"/>
        <w:spacing w:after="180" w:line="36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es-CL"/>
        </w:rPr>
      </w:pPr>
    </w:p>
    <w:p w:rsidR="00E01428" w:rsidRPr="00804C58" w:rsidRDefault="00E01428" w:rsidP="00804C58">
      <w:pPr>
        <w:shd w:val="clear" w:color="auto" w:fill="FFFFFF"/>
        <w:spacing w:after="180" w:line="36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es-CL"/>
        </w:rPr>
      </w:pPr>
      <w:r w:rsidRPr="00804C58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es-CL"/>
        </w:rPr>
        <w:t>3. Accidente en estado de ebriedad.</w:t>
      </w:r>
    </w:p>
    <w:p w:rsidR="00AE56F6" w:rsidRPr="00804C58" w:rsidRDefault="008F1ED4" w:rsidP="00804C58">
      <w:pPr>
        <w:pStyle w:val="Prrafodelista"/>
        <w:numPr>
          <w:ilvl w:val="0"/>
          <w:numId w:val="6"/>
        </w:numPr>
        <w:shd w:val="clear" w:color="auto" w:fill="FFFFFF"/>
        <w:spacing w:after="180" w:line="360" w:lineRule="auto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</w:pPr>
      <w:r w:rsidRPr="00804C58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es-CL"/>
        </w:rPr>
        <w:t>Penas que se</w:t>
      </w:r>
      <w:r w:rsidR="00AE56F6" w:rsidRPr="00804C58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es-CL"/>
        </w:rPr>
        <w:t xml:space="preserve"> aplica</w:t>
      </w:r>
      <w:r w:rsidRPr="00804C58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es-CL"/>
        </w:rPr>
        <w:t>n</w:t>
      </w:r>
      <w:r w:rsidR="00AE56F6" w:rsidRPr="00804C58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es-CL"/>
        </w:rPr>
        <w:t xml:space="preserve"> a las personas que en estado de ebriedad o bajo la influencia de sustancias estupefacientes o sicotrópicas causan la muerte o le</w:t>
      </w:r>
      <w:r w:rsidRPr="00804C58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es-CL"/>
        </w:rPr>
        <w:t>siones gravísimas a una persona.</w:t>
      </w:r>
      <w:r w:rsidR="00AE56F6"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br/>
        <w:t xml:space="preserve">Hay dos situaciones: si la persona afectada resultó con </w:t>
      </w:r>
      <w:r w:rsidR="00AE56F6" w:rsidRPr="00804C58">
        <w:rPr>
          <w:rFonts w:ascii="Garamond" w:eastAsia="Times New Roman" w:hAnsi="Garamond" w:cs="Times New Roman"/>
          <w:b/>
          <w:color w:val="000000" w:themeColor="text1"/>
          <w:sz w:val="28"/>
          <w:szCs w:val="28"/>
          <w:u w:val="single"/>
          <w:lang w:eastAsia="es-CL"/>
        </w:rPr>
        <w:t>lesiones gravísimas</w:t>
      </w:r>
      <w:r w:rsidR="00AE56F6"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t>, la pena aplicada será de pr</w:t>
      </w:r>
      <w:r w:rsid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t>esidio menor en su grado máximo.</w:t>
      </w:r>
      <w:r w:rsidR="00AE56F6"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br/>
      </w:r>
      <w:r w:rsidR="00AE56F6"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br/>
        <w:t xml:space="preserve">En el caso de que la </w:t>
      </w:r>
      <w:r w:rsidR="00AE56F6" w:rsidRPr="00804C58">
        <w:rPr>
          <w:rFonts w:ascii="Garamond" w:eastAsia="Times New Roman" w:hAnsi="Garamond" w:cs="Times New Roman"/>
          <w:b/>
          <w:color w:val="000000" w:themeColor="text1"/>
          <w:sz w:val="28"/>
          <w:szCs w:val="28"/>
          <w:u w:val="single"/>
          <w:lang w:eastAsia="es-CL"/>
        </w:rPr>
        <w:t>víctima muera</w:t>
      </w:r>
      <w:r w:rsidR="00AE56F6"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t>, la pena aplicada va de presidio menor en su grado máximo a pre</w:t>
      </w:r>
      <w:r w:rsid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t>sidio mayor en su grado mínimo.</w:t>
      </w:r>
      <w:r w:rsidR="00AE56F6"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br/>
      </w:r>
      <w:r w:rsidR="00AE56F6"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br/>
        <w:t>En ambos casos, se aplicarán también las penas de multa de ocho a veinte unidades tributarias mensuales, de inhabilidad perpetua para conducir vehículos de tracción mecánica y el comiso del vehículo con que se ha cometido el delito, sin perjuicio de los derechos del propietario si es otra persona.</w:t>
      </w:r>
    </w:p>
    <w:p w:rsidR="008F1ED4" w:rsidRPr="00804C58" w:rsidRDefault="008F1ED4" w:rsidP="00804C58">
      <w:pPr>
        <w:pStyle w:val="Prrafodelista"/>
        <w:shd w:val="clear" w:color="auto" w:fill="FFFFFF"/>
        <w:spacing w:after="180" w:line="360" w:lineRule="auto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</w:pPr>
    </w:p>
    <w:p w:rsidR="008F1ED4" w:rsidRPr="00804C58" w:rsidRDefault="008F1ED4" w:rsidP="00804C58">
      <w:pPr>
        <w:pStyle w:val="Prrafodelista"/>
        <w:numPr>
          <w:ilvl w:val="0"/>
          <w:numId w:val="6"/>
        </w:numPr>
        <w:shd w:val="clear" w:color="auto" w:fill="FFFFFF"/>
        <w:spacing w:after="180" w:line="360" w:lineRule="auto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</w:pPr>
      <w:r w:rsidRPr="00804C58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es-CL"/>
        </w:rPr>
        <w:t>C</w:t>
      </w:r>
      <w:r w:rsidR="00AE56F6" w:rsidRPr="00804C58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es-CL"/>
        </w:rPr>
        <w:t>asos en los que só</w:t>
      </w:r>
      <w:r w:rsidRPr="00804C58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es-CL"/>
        </w:rPr>
        <w:t>lo se aplicará la mayor sanción</w:t>
      </w:r>
    </w:p>
    <w:p w:rsidR="008F1ED4" w:rsidRPr="00804C58" w:rsidRDefault="008F1ED4" w:rsidP="00804C58">
      <w:pPr>
        <w:pStyle w:val="Prrafodelista"/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</w:pPr>
    </w:p>
    <w:p w:rsidR="00AE56F6" w:rsidRPr="00804C58" w:rsidRDefault="00AE56F6" w:rsidP="00804C58">
      <w:pPr>
        <w:shd w:val="clear" w:color="auto" w:fill="FFFFFF"/>
        <w:spacing w:after="180" w:line="360" w:lineRule="auto"/>
        <w:ind w:firstLine="240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</w:pPr>
      <w:r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t xml:space="preserve"> </w:t>
      </w:r>
      <w:r w:rsidR="008F1ED4"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t>S</w:t>
      </w:r>
      <w:r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t>e aplicará la pena mayor, es decir la que va de 5 años y un día a diez años, si hubiesen ocurrido además alguna de las siguientes circunstancias:</w:t>
      </w:r>
    </w:p>
    <w:p w:rsidR="00AE56F6" w:rsidRPr="00804C58" w:rsidRDefault="00AE56F6" w:rsidP="00804C58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</w:pPr>
      <w:r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lastRenderedPageBreak/>
        <w:t>Si la persona es reincidente en este tipo de delitos, salvo que ya hubiese pasado diez años, en el caso de un crimen o de cinco en caso de un simple delito.</w:t>
      </w:r>
    </w:p>
    <w:p w:rsidR="00AE56F6" w:rsidRPr="00804C58" w:rsidRDefault="00AE56F6" w:rsidP="00804C58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</w:pPr>
      <w:r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t>Si se trata de un conductor profesional que participó en el accidente ejerciendo sus funciones.</w:t>
      </w:r>
    </w:p>
    <w:p w:rsidR="00AE56F6" w:rsidRPr="00804C58" w:rsidRDefault="00AE56F6" w:rsidP="00804C58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</w:pPr>
      <w:r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t>Si el responsable conducía el vehículo con su licencia de conducir cancelada, o si estaba inhabilitado a perpetuidad para conducir vehículos motorizados.</w:t>
      </w:r>
    </w:p>
    <w:p w:rsidR="008F1ED4" w:rsidRPr="00804C58" w:rsidRDefault="008F1ED4" w:rsidP="00804C58">
      <w:pPr>
        <w:shd w:val="clear" w:color="auto" w:fill="FFFFFF"/>
        <w:spacing w:after="0" w:line="360" w:lineRule="auto"/>
        <w:ind w:left="600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</w:pPr>
    </w:p>
    <w:p w:rsidR="008F1ED4" w:rsidRPr="00804C58" w:rsidRDefault="008F1ED4" w:rsidP="00804C58">
      <w:pPr>
        <w:pStyle w:val="Prrafodelista"/>
        <w:numPr>
          <w:ilvl w:val="0"/>
          <w:numId w:val="7"/>
        </w:numPr>
        <w:shd w:val="clear" w:color="auto" w:fill="FFFFFF"/>
        <w:spacing w:after="180" w:line="360" w:lineRule="auto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</w:pPr>
      <w:r w:rsidRPr="00804C58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es-CL"/>
        </w:rPr>
        <w:t>Normas de determinación de la pena.</w:t>
      </w:r>
    </w:p>
    <w:p w:rsidR="00F03CA6" w:rsidRPr="00804C58" w:rsidRDefault="008F1ED4" w:rsidP="00804C58">
      <w:pPr>
        <w:shd w:val="clear" w:color="auto" w:fill="FFFFFF"/>
        <w:spacing w:after="180" w:line="360" w:lineRule="auto"/>
        <w:ind w:left="360" w:firstLine="348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</w:pPr>
      <w:r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t xml:space="preserve">Establece normas especiales de determinación </w:t>
      </w:r>
      <w:r w:rsidR="00F03CA6"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t xml:space="preserve">de la pena. </w:t>
      </w:r>
    </w:p>
    <w:p w:rsidR="00AE56F6" w:rsidRPr="00804C58" w:rsidRDefault="00AE56F6" w:rsidP="00804C58">
      <w:pPr>
        <w:shd w:val="clear" w:color="auto" w:fill="FFFFFF"/>
        <w:spacing w:after="180" w:line="360" w:lineRule="auto"/>
        <w:ind w:left="360" w:firstLine="348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</w:pPr>
      <w:r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t>Para los conductores que ebrios o bajo sustancias estupefacientes o sicotrópicas que causen la muerte o lesiones gravísimas en accidente de tránsito, el juez les podrá aplicar la pena señalada por la ley, es decir, entre tres años y un día y diez años si no hay agravantes ni atenuantes.</w:t>
      </w:r>
      <w:r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br/>
      </w:r>
      <w:r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br/>
        <w:t>Si hay una o más circunstancias atenuantes y ninguna agravante, el tribunal impondrá la pena de presidio menor en su grado máximo.</w:t>
      </w:r>
      <w:r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br/>
      </w:r>
      <w:r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br/>
        <w:t>Si hay una o más agravantes y ninguna atenuante, aplicará la pena de presidio mayor en su grado mínimo.</w:t>
      </w:r>
    </w:p>
    <w:p w:rsidR="00F03CA6" w:rsidRPr="00804C58" w:rsidRDefault="00F03CA6" w:rsidP="00804C58">
      <w:pPr>
        <w:pStyle w:val="Prrafodelista"/>
        <w:numPr>
          <w:ilvl w:val="0"/>
          <w:numId w:val="7"/>
        </w:numPr>
        <w:shd w:val="clear" w:color="auto" w:fill="FFFFFF"/>
        <w:spacing w:after="180" w:line="36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es-CL"/>
        </w:rPr>
      </w:pPr>
      <w:r w:rsidRPr="00804C58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es-CL"/>
        </w:rPr>
        <w:t>Cárcel efectiva.</w:t>
      </w:r>
    </w:p>
    <w:p w:rsidR="00AE56F6" w:rsidRPr="00804C58" w:rsidRDefault="00F03CA6" w:rsidP="00094FF3">
      <w:pPr>
        <w:shd w:val="clear" w:color="auto" w:fill="FFFFFF"/>
        <w:spacing w:after="180" w:line="360" w:lineRule="auto"/>
        <w:ind w:left="360" w:firstLine="348"/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es-CL"/>
        </w:rPr>
      </w:pPr>
      <w:r w:rsidRPr="00804C58">
        <w:rPr>
          <w:rFonts w:ascii="Garamond" w:eastAsia="Times New Roman" w:hAnsi="Garamond" w:cs="Times New Roman"/>
          <w:bCs/>
          <w:color w:val="000000" w:themeColor="text1"/>
          <w:sz w:val="28"/>
          <w:szCs w:val="28"/>
          <w:lang w:eastAsia="es-CL"/>
        </w:rPr>
        <w:t>E</w:t>
      </w:r>
      <w:r w:rsidR="00AE56F6" w:rsidRPr="00804C58">
        <w:rPr>
          <w:rFonts w:ascii="Garamond" w:eastAsia="Times New Roman" w:hAnsi="Garamond" w:cs="Times New Roman"/>
          <w:bCs/>
          <w:color w:val="000000" w:themeColor="text1"/>
          <w:sz w:val="28"/>
          <w:szCs w:val="28"/>
          <w:lang w:eastAsia="es-CL"/>
        </w:rPr>
        <w:t>l</w:t>
      </w:r>
      <w:r w:rsidR="00AE56F6" w:rsidRPr="00804C58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es-CL"/>
        </w:rPr>
        <w:t xml:space="preserve"> </w:t>
      </w:r>
      <w:r w:rsidR="00AE56F6" w:rsidRPr="00804C58">
        <w:rPr>
          <w:rFonts w:ascii="Garamond" w:eastAsia="Times New Roman" w:hAnsi="Garamond" w:cs="Times New Roman"/>
          <w:bCs/>
          <w:color w:val="000000" w:themeColor="text1"/>
          <w:sz w:val="28"/>
          <w:szCs w:val="28"/>
          <w:lang w:eastAsia="es-CL"/>
        </w:rPr>
        <w:t>tiempo mínimo de cárcel efectiva para un conductor que en estado de ebriedad o bajo sustancias estupefacientes o sicotrópicas causa lesiones gravís</w:t>
      </w:r>
      <w:r w:rsidRPr="00804C58">
        <w:rPr>
          <w:rFonts w:ascii="Garamond" w:eastAsia="Times New Roman" w:hAnsi="Garamond" w:cs="Times New Roman"/>
          <w:bCs/>
          <w:color w:val="000000" w:themeColor="text1"/>
          <w:sz w:val="28"/>
          <w:szCs w:val="28"/>
          <w:lang w:eastAsia="es-CL"/>
        </w:rPr>
        <w:t>imas o la muerte de une persona</w:t>
      </w:r>
      <w:r w:rsidR="00094FF3">
        <w:rPr>
          <w:rFonts w:ascii="Garamond" w:eastAsia="Times New Roman" w:hAnsi="Garamond" w:cs="Times New Roman"/>
          <w:bCs/>
          <w:color w:val="000000" w:themeColor="text1"/>
          <w:sz w:val="28"/>
          <w:szCs w:val="28"/>
          <w:lang w:eastAsia="es-CL"/>
        </w:rPr>
        <w:t>.</w:t>
      </w:r>
      <w:r w:rsidR="00AE56F6"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br/>
        <w:t xml:space="preserve">El condenado podrá recibir alguna pena sustitutiva (como libertad vigilada o remisión condicional de la pena), pero esa pena quedará suspendida por un </w:t>
      </w:r>
      <w:r w:rsidR="00AE56F6"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lastRenderedPageBreak/>
        <w:t>año. Eso significa que deberá obligatoriamente cumplir un año de cárcel efectiva antes de salir libre. Por ejemplo, si se le sanciona a tres años y un día de presidio con libertad vigilada, esa pena alternativa sólo se le considerará luego de cumplir un año preso.</w:t>
      </w:r>
    </w:p>
    <w:p w:rsidR="00AE56F6" w:rsidRPr="00804C58" w:rsidRDefault="00F03CA6" w:rsidP="00094FF3">
      <w:pPr>
        <w:pStyle w:val="Prrafodelista"/>
        <w:numPr>
          <w:ilvl w:val="0"/>
          <w:numId w:val="7"/>
        </w:numPr>
        <w:shd w:val="clear" w:color="auto" w:fill="FFFFFF"/>
        <w:spacing w:after="180" w:line="360" w:lineRule="auto"/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</w:pPr>
      <w:r w:rsidRPr="00804C58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es-CL"/>
        </w:rPr>
        <w:t>Libertad condicional.</w:t>
      </w:r>
      <w:r w:rsidR="00AE56F6" w:rsidRPr="00804C58">
        <w:rPr>
          <w:rFonts w:ascii="Garamond" w:eastAsia="Times New Roman" w:hAnsi="Garamond" w:cs="Times New Roman"/>
          <w:color w:val="000000" w:themeColor="text1"/>
          <w:sz w:val="28"/>
          <w:szCs w:val="28"/>
          <w:lang w:eastAsia="es-CL"/>
        </w:rPr>
        <w:br/>
        <w:t>Sólo pueden aspirar a conseguirla al cumplir dos tercios de la condena.</w:t>
      </w:r>
    </w:p>
    <w:p w:rsidR="00AE56F6" w:rsidRPr="00804C58" w:rsidRDefault="00AE56F6" w:rsidP="00804C58">
      <w:pPr>
        <w:spacing w:line="36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F03CA6" w:rsidRPr="00094FF3" w:rsidRDefault="00F03CA6" w:rsidP="00804C5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094FF3">
        <w:rPr>
          <w:rFonts w:ascii="Garamond" w:hAnsi="Garamond"/>
          <w:b/>
          <w:color w:val="000000" w:themeColor="text1"/>
          <w:sz w:val="28"/>
          <w:szCs w:val="28"/>
        </w:rPr>
        <w:t xml:space="preserve">Problema de Constitucionalidad. </w:t>
      </w:r>
    </w:p>
    <w:p w:rsidR="00F03CA6" w:rsidRPr="00804C58" w:rsidRDefault="00F03CA6" w:rsidP="00804C58">
      <w:pPr>
        <w:spacing w:line="360" w:lineRule="auto"/>
        <w:ind w:left="360"/>
        <w:jc w:val="both"/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</w:pPr>
      <w:r w:rsidRPr="00804C58">
        <w:rPr>
          <w:rFonts w:ascii="Garamond" w:hAnsi="Garamond"/>
          <w:color w:val="000000" w:themeColor="text1"/>
          <w:sz w:val="28"/>
          <w:szCs w:val="28"/>
        </w:rPr>
        <w:t xml:space="preserve">El Tribunal Constitucional ha resuelto </w:t>
      </w:r>
      <w:r w:rsidR="00F45D96" w:rsidRPr="00804C58"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  <w:t>declarar inconstitucional la</w:t>
      </w:r>
      <w:r w:rsidR="00F45D96" w:rsidRPr="00804C58"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  <w:t xml:space="preserve"> obligación de cumplir un año de pena efectiva a los conductores que en estado de ebriedad hayan causado lesiones gravísimas o muerte</w:t>
      </w:r>
      <w:r w:rsidR="00F45D96" w:rsidRPr="00804C58"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  <w:t>.</w:t>
      </w:r>
    </w:p>
    <w:p w:rsidR="00F45D96" w:rsidRPr="00804C58" w:rsidRDefault="00F45D96" w:rsidP="00804C58">
      <w:pPr>
        <w:spacing w:line="360" w:lineRule="auto"/>
        <w:ind w:left="360"/>
        <w:jc w:val="both"/>
        <w:rPr>
          <w:rFonts w:ascii="Garamond" w:hAnsi="Garamond" w:cs="Tahoma"/>
          <w:color w:val="000000" w:themeColor="text1"/>
          <w:sz w:val="28"/>
          <w:szCs w:val="28"/>
        </w:rPr>
      </w:pPr>
      <w:r w:rsidRPr="00804C58">
        <w:rPr>
          <w:rFonts w:ascii="Garamond" w:hAnsi="Garamond" w:cs="Tahoma"/>
          <w:color w:val="000000" w:themeColor="text1"/>
          <w:sz w:val="28"/>
          <w:szCs w:val="28"/>
        </w:rPr>
        <w:t>EL TC objeta esta norma básicamente por dos razones: por alterar el sistema penal garantista (dentro del cual la pena sustitutiva no es un beneficio, sino una modalidad legítima de cumplir la sanción) y por afectar la proporcionalidad (la pena sustitutiva es idónea para alca</w:t>
      </w:r>
      <w:r w:rsidR="00E04035" w:rsidRPr="00804C58">
        <w:rPr>
          <w:rFonts w:ascii="Garamond" w:hAnsi="Garamond" w:cs="Tahoma"/>
          <w:color w:val="000000" w:themeColor="text1"/>
          <w:sz w:val="28"/>
          <w:szCs w:val="28"/>
        </w:rPr>
        <w:t xml:space="preserve">nzar las finalidades punitivas), </w:t>
      </w:r>
      <w:r w:rsidR="00094FF3" w:rsidRPr="00804C58">
        <w:rPr>
          <w:rFonts w:ascii="Garamond" w:hAnsi="Garamond" w:cs="Tahoma"/>
          <w:color w:val="000000" w:themeColor="text1"/>
          <w:sz w:val="28"/>
          <w:szCs w:val="28"/>
        </w:rPr>
        <w:t>proporcionalidad</w:t>
      </w:r>
      <w:r w:rsidR="00E04035" w:rsidRPr="00804C58">
        <w:rPr>
          <w:rFonts w:ascii="Garamond" w:hAnsi="Garamond" w:cs="Tahoma"/>
          <w:color w:val="000000" w:themeColor="text1"/>
          <w:sz w:val="28"/>
          <w:szCs w:val="28"/>
        </w:rPr>
        <w:t xml:space="preserve"> que vulnera el principio de igualdad</w:t>
      </w:r>
      <w:r w:rsidR="00094FF3">
        <w:rPr>
          <w:rFonts w:ascii="Garamond" w:hAnsi="Garamond" w:cs="Tahoma"/>
          <w:color w:val="000000" w:themeColor="text1"/>
          <w:sz w:val="28"/>
          <w:szCs w:val="28"/>
        </w:rPr>
        <w:t xml:space="preserve"> ante la ley.</w:t>
      </w:r>
      <w:r w:rsidR="00E04035" w:rsidRPr="00804C58">
        <w:rPr>
          <w:rFonts w:ascii="Garamond" w:hAnsi="Garamond" w:cs="Tahoma"/>
          <w:color w:val="000000" w:themeColor="text1"/>
          <w:sz w:val="28"/>
          <w:szCs w:val="28"/>
        </w:rPr>
        <w:t xml:space="preserve"> </w:t>
      </w:r>
    </w:p>
    <w:p w:rsidR="00E04035" w:rsidRPr="00804C58" w:rsidRDefault="00E04035" w:rsidP="00804C58">
      <w:pPr>
        <w:spacing w:line="360" w:lineRule="auto"/>
        <w:ind w:left="360"/>
        <w:jc w:val="both"/>
        <w:rPr>
          <w:rFonts w:ascii="Garamond" w:hAnsi="Garamond" w:cs="Tahoma"/>
          <w:color w:val="000000" w:themeColor="text1"/>
          <w:sz w:val="28"/>
          <w:szCs w:val="28"/>
        </w:rPr>
      </w:pPr>
    </w:p>
    <w:p w:rsidR="00E04035" w:rsidRPr="00804C58" w:rsidRDefault="00E04035" w:rsidP="00804C5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94FF3">
        <w:rPr>
          <w:rFonts w:ascii="Garamond" w:hAnsi="Garamond"/>
          <w:b/>
          <w:color w:val="000000" w:themeColor="text1"/>
          <w:sz w:val="28"/>
          <w:szCs w:val="28"/>
        </w:rPr>
        <w:t>Propuestas</w:t>
      </w:r>
      <w:r w:rsidRPr="00804C58">
        <w:rPr>
          <w:rFonts w:ascii="Garamond" w:hAnsi="Garamond"/>
          <w:color w:val="000000" w:themeColor="text1"/>
          <w:sz w:val="28"/>
          <w:szCs w:val="28"/>
        </w:rPr>
        <w:t>.</w:t>
      </w:r>
    </w:p>
    <w:p w:rsidR="00E04035" w:rsidRPr="00804C58" w:rsidRDefault="00E04035" w:rsidP="00804C58">
      <w:pPr>
        <w:spacing w:line="360" w:lineRule="auto"/>
        <w:ind w:left="36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804C58">
        <w:rPr>
          <w:rFonts w:ascii="Garamond" w:hAnsi="Garamond"/>
          <w:color w:val="000000" w:themeColor="text1"/>
          <w:sz w:val="28"/>
          <w:szCs w:val="28"/>
        </w:rPr>
        <w:t xml:space="preserve">La suspensión de la pena sustitutiva </w:t>
      </w:r>
      <w:r w:rsidR="00094FF3">
        <w:rPr>
          <w:rFonts w:ascii="Garamond" w:hAnsi="Garamond"/>
          <w:color w:val="000000" w:themeColor="text1"/>
          <w:sz w:val="28"/>
          <w:szCs w:val="28"/>
        </w:rPr>
        <w:t xml:space="preserve">en esta ley </w:t>
      </w:r>
      <w:r w:rsidRPr="00804C58">
        <w:rPr>
          <w:rFonts w:ascii="Garamond" w:hAnsi="Garamond"/>
          <w:color w:val="000000" w:themeColor="text1"/>
          <w:sz w:val="28"/>
          <w:szCs w:val="28"/>
        </w:rPr>
        <w:t xml:space="preserve">se aplica para delitos en los cuales sólo se </w:t>
      </w:r>
      <w:proofErr w:type="spellStart"/>
      <w:r w:rsidR="00094FF3">
        <w:rPr>
          <w:rFonts w:ascii="Garamond" w:hAnsi="Garamond"/>
          <w:color w:val="000000" w:themeColor="text1"/>
          <w:sz w:val="28"/>
          <w:szCs w:val="28"/>
        </w:rPr>
        <w:t>podria</w:t>
      </w:r>
      <w:proofErr w:type="spellEnd"/>
      <w:r w:rsidRPr="00804C58">
        <w:rPr>
          <w:rFonts w:ascii="Garamond" w:hAnsi="Garamond"/>
          <w:color w:val="000000" w:themeColor="text1"/>
          <w:sz w:val="28"/>
          <w:szCs w:val="28"/>
        </w:rPr>
        <w:t xml:space="preserve"> aplicar la libertad vigilada </w:t>
      </w:r>
      <w:r w:rsidR="00804C58" w:rsidRPr="00804C58">
        <w:rPr>
          <w:rFonts w:ascii="Garamond" w:hAnsi="Garamond"/>
          <w:color w:val="000000" w:themeColor="text1"/>
          <w:sz w:val="28"/>
          <w:szCs w:val="28"/>
        </w:rPr>
        <w:t>intensiva</w:t>
      </w:r>
      <w:r w:rsidRPr="00804C58">
        <w:rPr>
          <w:rFonts w:ascii="Garamond" w:hAnsi="Garamond"/>
          <w:color w:val="000000" w:themeColor="text1"/>
          <w:sz w:val="28"/>
          <w:szCs w:val="28"/>
        </w:rPr>
        <w:t>. Se propone establecer una suspensión para toda la categoría de delitos qu</w:t>
      </w:r>
      <w:r w:rsidR="00804C58" w:rsidRPr="00804C58">
        <w:rPr>
          <w:rFonts w:ascii="Garamond" w:hAnsi="Garamond"/>
          <w:color w:val="000000" w:themeColor="text1"/>
          <w:sz w:val="28"/>
          <w:szCs w:val="28"/>
        </w:rPr>
        <w:t xml:space="preserve">e se contemplan en ese espacio, modificando la ley 18.216 directamente. </w:t>
      </w:r>
    </w:p>
    <w:p w:rsidR="00804C58" w:rsidRDefault="00804C58" w:rsidP="00804C58">
      <w:pPr>
        <w:spacing w:line="360" w:lineRule="auto"/>
        <w:ind w:left="36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804C58">
        <w:rPr>
          <w:rFonts w:ascii="Garamond" w:hAnsi="Garamond"/>
          <w:color w:val="000000" w:themeColor="text1"/>
          <w:sz w:val="28"/>
          <w:szCs w:val="28"/>
        </w:rPr>
        <w:t>Hay que hacerse cargo que la suspensión se hag</w:t>
      </w:r>
      <w:r w:rsidR="00094FF3">
        <w:rPr>
          <w:rFonts w:ascii="Garamond" w:hAnsi="Garamond"/>
          <w:color w:val="000000" w:themeColor="text1"/>
          <w:sz w:val="28"/>
          <w:szCs w:val="28"/>
        </w:rPr>
        <w:t>a cargo de la proporcionalidad, por lo cual se debe establecer un sistema general de aplicación de la suspensión.</w:t>
      </w:r>
    </w:p>
    <w:p w:rsidR="00094FF3" w:rsidRPr="00804C58" w:rsidRDefault="00094FF3" w:rsidP="00804C58">
      <w:pPr>
        <w:spacing w:line="360" w:lineRule="auto"/>
        <w:ind w:left="360"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lastRenderedPageBreak/>
        <w:t>Se debe tener presente que la ley 18.216 también excluye la aplicación de penas sustitutivas a algunos delitos (homicidio calificado, violación, secuestros); por lo cual el sistema general puede ya estar infringiendo el principio de proporcionalidad siguiendo el razonamiento del TC.</w:t>
      </w:r>
    </w:p>
    <w:sectPr w:rsidR="00094FF3" w:rsidRPr="00804C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3F5"/>
    <w:multiLevelType w:val="multilevel"/>
    <w:tmpl w:val="8FF2C9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5FB6A22"/>
    <w:multiLevelType w:val="multilevel"/>
    <w:tmpl w:val="E166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0195E"/>
    <w:multiLevelType w:val="hybridMultilevel"/>
    <w:tmpl w:val="148811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1B98"/>
    <w:multiLevelType w:val="hybridMultilevel"/>
    <w:tmpl w:val="82E88D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35D43"/>
    <w:multiLevelType w:val="multilevel"/>
    <w:tmpl w:val="5DE4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837247"/>
    <w:multiLevelType w:val="hybridMultilevel"/>
    <w:tmpl w:val="31120796"/>
    <w:lvl w:ilvl="0" w:tplc="C5561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209B1"/>
    <w:multiLevelType w:val="multilevel"/>
    <w:tmpl w:val="1082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523D2"/>
    <w:multiLevelType w:val="hybridMultilevel"/>
    <w:tmpl w:val="FEA6E0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F6"/>
    <w:rsid w:val="00094FF3"/>
    <w:rsid w:val="00146E5A"/>
    <w:rsid w:val="007075FC"/>
    <w:rsid w:val="00804C58"/>
    <w:rsid w:val="008F1ED4"/>
    <w:rsid w:val="00AE56F6"/>
    <w:rsid w:val="00E01428"/>
    <w:rsid w:val="00E04035"/>
    <w:rsid w:val="00F03CA6"/>
    <w:rsid w:val="00F4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768B"/>
  <w15:chartTrackingRefBased/>
  <w15:docId w15:val="{BB197965-8DDB-4111-9DEC-0B30CBF0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E56F6"/>
    <w:rPr>
      <w:b/>
      <w:bCs/>
    </w:rPr>
  </w:style>
  <w:style w:type="paragraph" w:styleId="Prrafodelista">
    <w:name w:val="List Paragraph"/>
    <w:basedOn w:val="Normal"/>
    <w:uiPriority w:val="34"/>
    <w:qFormat/>
    <w:rsid w:val="00AE56F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E5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i.cl/pagina/valores/utm/utm2014.htm" TargetMode="External"/><Relationship Id="rId5" Type="http://schemas.openxmlformats.org/officeDocument/2006/relationships/hyperlink" Target="http://www.sii.cl/pagina/valores/utm/utm201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1100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1</cp:revision>
  <dcterms:created xsi:type="dcterms:W3CDTF">2017-07-05T02:51:00Z</dcterms:created>
  <dcterms:modified xsi:type="dcterms:W3CDTF">2017-07-05T04:31:00Z</dcterms:modified>
</cp:coreProperties>
</file>