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B9" w:rsidRPr="00BD6798" w:rsidRDefault="00595A10" w:rsidP="006271ED">
      <w:pPr>
        <w:spacing w:line="360" w:lineRule="auto"/>
        <w:ind w:left="360"/>
        <w:jc w:val="center"/>
        <w:rPr>
          <w:rFonts w:ascii="Garamond" w:hAnsi="Garamond"/>
          <w:b/>
          <w:sz w:val="28"/>
          <w:szCs w:val="28"/>
        </w:rPr>
      </w:pPr>
      <w:r w:rsidRPr="00BD6798">
        <w:rPr>
          <w:rFonts w:ascii="Garamond" w:hAnsi="Garamond"/>
          <w:b/>
          <w:sz w:val="28"/>
          <w:szCs w:val="28"/>
        </w:rPr>
        <w:t>Minuta Proyecto de Ley Boletín N°9914</w:t>
      </w:r>
      <w:r w:rsidR="00FA2701" w:rsidRPr="00BD6798">
        <w:rPr>
          <w:rFonts w:ascii="Garamond" w:hAnsi="Garamond"/>
          <w:b/>
          <w:sz w:val="28"/>
          <w:szCs w:val="28"/>
        </w:rPr>
        <w:t>-11</w:t>
      </w:r>
    </w:p>
    <w:p w:rsidR="00DA572E" w:rsidRPr="00BD6798" w:rsidRDefault="00BD6798" w:rsidP="006271ED">
      <w:pPr>
        <w:spacing w:line="360" w:lineRule="auto"/>
        <w:ind w:left="720"/>
        <w:rPr>
          <w:rFonts w:ascii="Garamond" w:hAnsi="Garamond"/>
          <w:b/>
          <w:sz w:val="28"/>
          <w:szCs w:val="28"/>
        </w:rPr>
      </w:pPr>
      <w:r>
        <w:rPr>
          <w:rFonts w:ascii="Garamond" w:hAnsi="Garamond"/>
          <w:b/>
          <w:sz w:val="28"/>
          <w:szCs w:val="28"/>
        </w:rPr>
        <w:t>I</w:t>
      </w:r>
      <w:r w:rsidR="006271ED">
        <w:rPr>
          <w:rFonts w:ascii="Garamond" w:hAnsi="Garamond"/>
          <w:b/>
          <w:sz w:val="28"/>
          <w:szCs w:val="28"/>
        </w:rPr>
        <w:t>.</w:t>
      </w:r>
      <w:r>
        <w:rPr>
          <w:rFonts w:ascii="Garamond" w:hAnsi="Garamond"/>
          <w:b/>
          <w:sz w:val="28"/>
          <w:szCs w:val="28"/>
        </w:rPr>
        <w:t xml:space="preserve"> </w:t>
      </w:r>
      <w:r w:rsidR="00DA572E" w:rsidRPr="00BD6798">
        <w:rPr>
          <w:rFonts w:ascii="Garamond" w:hAnsi="Garamond"/>
          <w:b/>
          <w:sz w:val="28"/>
          <w:szCs w:val="28"/>
        </w:rPr>
        <w:t>Antecedentes:</w:t>
      </w:r>
    </w:p>
    <w:p w:rsidR="00DA572E" w:rsidRPr="00BD6798" w:rsidRDefault="00DA572E" w:rsidP="00733B03">
      <w:pPr>
        <w:spacing w:line="360" w:lineRule="auto"/>
        <w:ind w:left="708"/>
        <w:jc w:val="both"/>
        <w:rPr>
          <w:rFonts w:ascii="Garamond" w:hAnsi="Garamond"/>
          <w:sz w:val="28"/>
          <w:szCs w:val="28"/>
        </w:rPr>
      </w:pPr>
      <w:r w:rsidRPr="00BD6798">
        <w:rPr>
          <w:rFonts w:ascii="Garamond" w:hAnsi="Garamond"/>
          <w:sz w:val="28"/>
          <w:szCs w:val="28"/>
        </w:rPr>
        <w:t>Con fecha 10 de marzo de 2015, los Senadores Girardi, Goic, Ossandón, Rossi y Zaldívar, presentaron la moción parlamentaria - boletín N° 9.914-11, que “Modifica el Código Sanitario para regular los medicamentos bioequivalentes genéricos y evitar la integración vertical de laboratorios y farmacias”.</w:t>
      </w:r>
    </w:p>
    <w:p w:rsidR="00DA572E" w:rsidRPr="00BD6798" w:rsidRDefault="00DA572E" w:rsidP="00733B03">
      <w:pPr>
        <w:spacing w:line="360" w:lineRule="auto"/>
        <w:ind w:left="708"/>
        <w:jc w:val="both"/>
        <w:rPr>
          <w:rFonts w:ascii="Garamond" w:hAnsi="Garamond"/>
          <w:sz w:val="28"/>
          <w:szCs w:val="28"/>
        </w:rPr>
      </w:pPr>
      <w:r w:rsidRPr="00BD6798">
        <w:rPr>
          <w:rFonts w:ascii="Garamond" w:hAnsi="Garamond"/>
          <w:sz w:val="28"/>
          <w:szCs w:val="28"/>
        </w:rPr>
        <w:t>Por su parte, el Ministerio de Salud, se encontraba en estudio de modificaciones al Código Sanitario, en materias que parcialmente coincidían con la moción parlamentaria. Luego del análisis efectuado al proyecto de ley en trámite, se opta por presentar indicación sustitutiva al Proyecto en cuestión.</w:t>
      </w:r>
    </w:p>
    <w:p w:rsidR="00DA572E" w:rsidRPr="00BD6798" w:rsidRDefault="00DA572E" w:rsidP="00733B03">
      <w:pPr>
        <w:spacing w:line="360" w:lineRule="auto"/>
        <w:ind w:left="708"/>
        <w:jc w:val="both"/>
        <w:rPr>
          <w:rFonts w:ascii="Garamond" w:hAnsi="Garamond"/>
          <w:sz w:val="28"/>
          <w:szCs w:val="28"/>
        </w:rPr>
      </w:pPr>
      <w:r w:rsidRPr="00BD6798">
        <w:rPr>
          <w:rFonts w:ascii="Garamond" w:hAnsi="Garamond"/>
          <w:sz w:val="28"/>
          <w:szCs w:val="28"/>
        </w:rPr>
        <w:t>Con fecha 13 de diciembre de 2016 se aprueba el proyecto de ley en la Comisión de Salud del Senado.</w:t>
      </w:r>
      <w:r w:rsidR="006271ED">
        <w:rPr>
          <w:rFonts w:ascii="Garamond" w:hAnsi="Garamond"/>
          <w:sz w:val="28"/>
          <w:szCs w:val="28"/>
        </w:rPr>
        <w:t xml:space="preserve"> Se encuentra para su discusión en particular.</w:t>
      </w:r>
    </w:p>
    <w:p w:rsidR="00A61A9D" w:rsidRPr="00BD6798" w:rsidRDefault="006271ED" w:rsidP="00733B03">
      <w:pPr>
        <w:spacing w:line="360" w:lineRule="auto"/>
        <w:ind w:left="708"/>
        <w:jc w:val="both"/>
        <w:rPr>
          <w:rFonts w:ascii="Garamond" w:hAnsi="Garamond" w:cs="Arial"/>
          <w:sz w:val="28"/>
          <w:szCs w:val="28"/>
          <w:shd w:val="clear" w:color="auto" w:fill="FFFFFF"/>
        </w:rPr>
      </w:pPr>
      <w:r>
        <w:rPr>
          <w:rFonts w:ascii="Garamond" w:hAnsi="Garamond"/>
          <w:sz w:val="28"/>
          <w:szCs w:val="28"/>
        </w:rPr>
        <w:t>El proyecto establece que e</w:t>
      </w:r>
      <w:r w:rsidR="00A61A9D" w:rsidRPr="00BD6798">
        <w:rPr>
          <w:rFonts w:ascii="Garamond" w:hAnsi="Garamond"/>
          <w:sz w:val="28"/>
          <w:szCs w:val="28"/>
        </w:rPr>
        <w:t xml:space="preserve">l </w:t>
      </w:r>
      <w:r w:rsidR="00A61A9D" w:rsidRPr="00BD6798">
        <w:rPr>
          <w:rFonts w:ascii="Garamond" w:hAnsi="Garamond" w:cs="Arial"/>
          <w:sz w:val="28"/>
          <w:szCs w:val="28"/>
          <w:shd w:val="clear" w:color="auto" w:fill="FFFFFF"/>
        </w:rPr>
        <w:t xml:space="preserve">mercado de fármacos y la existencia de medicamentos bioequivalentes genéricos, ha dificultado la competencia y dificultado al consumidor el acceso a medicamentos de menor precio. </w:t>
      </w:r>
      <w:r w:rsidR="00BC70A7" w:rsidRPr="00BD6798">
        <w:rPr>
          <w:rFonts w:ascii="Garamond" w:hAnsi="Garamond" w:cs="Arial"/>
          <w:sz w:val="28"/>
          <w:szCs w:val="28"/>
          <w:shd w:val="clear" w:color="auto" w:fill="FFFFFF"/>
        </w:rPr>
        <w:t xml:space="preserve">Los encargados de prescribir los medicamentos pueden dirigir la demanda hacia cierto producto. </w:t>
      </w:r>
    </w:p>
    <w:p w:rsidR="00BC70A7" w:rsidRPr="00BD6798" w:rsidRDefault="00BC70A7" w:rsidP="00733B03">
      <w:pPr>
        <w:spacing w:line="360" w:lineRule="auto"/>
        <w:ind w:left="708"/>
        <w:jc w:val="both"/>
        <w:rPr>
          <w:rFonts w:ascii="Garamond" w:hAnsi="Garamond"/>
          <w:sz w:val="28"/>
          <w:szCs w:val="28"/>
        </w:rPr>
      </w:pPr>
      <w:r w:rsidRPr="00BD6798">
        <w:rPr>
          <w:rFonts w:ascii="Garamond" w:hAnsi="Garamond" w:cs="Arial"/>
          <w:sz w:val="28"/>
          <w:szCs w:val="28"/>
          <w:shd w:val="clear" w:color="auto" w:fill="FFFFFF"/>
        </w:rPr>
        <w:t xml:space="preserve">El “Estudio comparativo de precios de Productos Farmacéuticos Bioequivalentes”, realizado por el Sernac,  llegó a la conclusión de que un consumidor podría comprar desde 2 hasta 39 unidades del producto bioequivalente genérico, </w:t>
      </w:r>
      <w:r w:rsidR="006271ED">
        <w:rPr>
          <w:rFonts w:ascii="Garamond" w:hAnsi="Garamond" w:cs="Arial"/>
          <w:sz w:val="28"/>
          <w:szCs w:val="28"/>
          <w:shd w:val="clear" w:color="auto" w:fill="FFFFFF"/>
        </w:rPr>
        <w:t>p</w:t>
      </w:r>
      <w:r w:rsidRPr="00BD6798">
        <w:rPr>
          <w:rFonts w:ascii="Garamond" w:hAnsi="Garamond" w:cs="Arial"/>
          <w:sz w:val="28"/>
          <w:szCs w:val="28"/>
          <w:shd w:val="clear" w:color="auto" w:fill="FFFFFF"/>
        </w:rPr>
        <w:t xml:space="preserve">or el precio del producto de referencia. </w:t>
      </w:r>
    </w:p>
    <w:p w:rsidR="00DA572E" w:rsidRPr="006271ED" w:rsidRDefault="00D11E4B" w:rsidP="006271ED">
      <w:pPr>
        <w:pStyle w:val="Prrafodelista"/>
        <w:numPr>
          <w:ilvl w:val="0"/>
          <w:numId w:val="7"/>
        </w:numPr>
        <w:spacing w:line="360" w:lineRule="auto"/>
        <w:jc w:val="both"/>
        <w:rPr>
          <w:rFonts w:ascii="Garamond" w:hAnsi="Garamond"/>
          <w:b/>
          <w:sz w:val="28"/>
          <w:szCs w:val="28"/>
        </w:rPr>
      </w:pPr>
      <w:r w:rsidRPr="006271ED">
        <w:rPr>
          <w:rFonts w:ascii="Garamond" w:hAnsi="Garamond"/>
          <w:b/>
          <w:sz w:val="28"/>
          <w:szCs w:val="28"/>
        </w:rPr>
        <w:t>Objetivo del proyecto.</w:t>
      </w:r>
    </w:p>
    <w:p w:rsidR="00D11E4B" w:rsidRPr="00BD6798" w:rsidRDefault="00D11E4B" w:rsidP="006271ED">
      <w:pPr>
        <w:autoSpaceDE w:val="0"/>
        <w:autoSpaceDN w:val="0"/>
        <w:adjustRightInd w:val="0"/>
        <w:spacing w:line="360" w:lineRule="auto"/>
        <w:ind w:left="360"/>
        <w:rPr>
          <w:rFonts w:ascii="Garamond" w:hAnsi="Garamond"/>
          <w:sz w:val="28"/>
          <w:szCs w:val="28"/>
        </w:rPr>
      </w:pPr>
      <w:r w:rsidRPr="00BD6798">
        <w:rPr>
          <w:rFonts w:ascii="Garamond" w:hAnsi="Garamond"/>
          <w:sz w:val="28"/>
          <w:szCs w:val="28"/>
        </w:rPr>
        <w:t>El objeto es ajustar la legislación con miras a fomentar la disponibilidad y la penetración en el mercado de los medicamentos genéricos bioequivalente a través de:</w:t>
      </w:r>
    </w:p>
    <w:p w:rsidR="00D11E4B" w:rsidRPr="00BD6798" w:rsidRDefault="00D11E4B" w:rsidP="006271ED">
      <w:pPr>
        <w:spacing w:line="360" w:lineRule="auto"/>
        <w:ind w:left="360"/>
        <w:jc w:val="both"/>
        <w:rPr>
          <w:rFonts w:ascii="Garamond" w:hAnsi="Garamond"/>
          <w:sz w:val="28"/>
          <w:szCs w:val="28"/>
        </w:rPr>
      </w:pPr>
      <w:r w:rsidRPr="00BD6798">
        <w:rPr>
          <w:rFonts w:ascii="Garamond" w:hAnsi="Garamond"/>
          <w:sz w:val="28"/>
          <w:szCs w:val="28"/>
        </w:rPr>
        <w:t>• Proscribir la integración vertical como organización empresarial entre laboratorios y farmacias, puesto incentiva el que en dependencias farmacéuticas se ofrezca ‘sobre el mesón’</w:t>
      </w:r>
      <w:r w:rsidR="001A022F" w:rsidRPr="00BD6798">
        <w:rPr>
          <w:rFonts w:ascii="Garamond" w:hAnsi="Garamond"/>
          <w:sz w:val="28"/>
          <w:szCs w:val="28"/>
        </w:rPr>
        <w:t xml:space="preserve"> los medicamentos bioequivalentes de marca propia, cuyos costos son tres veces mayor.</w:t>
      </w:r>
    </w:p>
    <w:p w:rsidR="001A022F" w:rsidRPr="00BD6798" w:rsidRDefault="001A022F" w:rsidP="006271ED">
      <w:pPr>
        <w:spacing w:line="360" w:lineRule="auto"/>
        <w:ind w:left="360"/>
        <w:jc w:val="both"/>
        <w:rPr>
          <w:rFonts w:ascii="Garamond" w:hAnsi="Garamond"/>
          <w:sz w:val="28"/>
          <w:szCs w:val="28"/>
        </w:rPr>
      </w:pPr>
      <w:r w:rsidRPr="00BD6798">
        <w:rPr>
          <w:rFonts w:ascii="Garamond" w:hAnsi="Garamond"/>
          <w:sz w:val="28"/>
          <w:szCs w:val="28"/>
        </w:rPr>
        <w:t>• Establecer que en la obligación informativa que tienen los profesionales habilitados para prescribir recetas médicas, se incluya la denominación del medicamento genérico bioequivalente.</w:t>
      </w:r>
    </w:p>
    <w:p w:rsidR="001A022F" w:rsidRPr="00BD6798" w:rsidRDefault="001A022F" w:rsidP="006271ED">
      <w:pPr>
        <w:pStyle w:val="Prrafodelista"/>
        <w:numPr>
          <w:ilvl w:val="0"/>
          <w:numId w:val="6"/>
        </w:numPr>
        <w:shd w:val="clear" w:color="auto" w:fill="FFFFFF"/>
        <w:spacing w:line="360" w:lineRule="auto"/>
        <w:ind w:left="720"/>
        <w:rPr>
          <w:rFonts w:ascii="Garamond" w:hAnsi="Garamond" w:cs="Arial"/>
          <w:sz w:val="28"/>
          <w:szCs w:val="28"/>
        </w:rPr>
      </w:pPr>
      <w:r w:rsidRPr="00BD6798">
        <w:rPr>
          <w:rFonts w:ascii="Garamond" w:hAnsi="Garamond" w:cs="Arial"/>
          <w:bCs/>
          <w:sz w:val="28"/>
          <w:szCs w:val="28"/>
        </w:rPr>
        <w:t xml:space="preserve">Exigir una concesión de servicio público para la instalación y funcionamiento de farmacias o almacenes farmacéuticos, </w:t>
      </w:r>
    </w:p>
    <w:p w:rsidR="001A022F" w:rsidRPr="00BD6798" w:rsidRDefault="001A022F" w:rsidP="006271ED">
      <w:pPr>
        <w:pStyle w:val="Prrafodelista"/>
        <w:numPr>
          <w:ilvl w:val="0"/>
          <w:numId w:val="6"/>
        </w:numPr>
        <w:shd w:val="clear" w:color="auto" w:fill="FFFFFF"/>
        <w:spacing w:line="360" w:lineRule="auto"/>
        <w:ind w:left="720"/>
        <w:rPr>
          <w:rFonts w:ascii="Garamond" w:hAnsi="Garamond" w:cs="Arial"/>
          <w:sz w:val="28"/>
          <w:szCs w:val="28"/>
        </w:rPr>
      </w:pPr>
      <w:r w:rsidRPr="00BD6798">
        <w:rPr>
          <w:rFonts w:ascii="Garamond" w:hAnsi="Garamond" w:cs="Arial"/>
          <w:bCs/>
          <w:sz w:val="28"/>
          <w:szCs w:val="28"/>
        </w:rPr>
        <w:t>Modificar el alcance del sumario sanitario.</w:t>
      </w:r>
    </w:p>
    <w:p w:rsidR="001A022F" w:rsidRPr="00BD6798" w:rsidRDefault="001A022F" w:rsidP="006271ED">
      <w:pPr>
        <w:shd w:val="clear" w:color="auto" w:fill="FFFFFF"/>
        <w:spacing w:line="360" w:lineRule="auto"/>
        <w:ind w:left="360"/>
        <w:rPr>
          <w:rFonts w:ascii="Garamond" w:hAnsi="Garamond" w:cs="Arial"/>
          <w:sz w:val="28"/>
          <w:szCs w:val="28"/>
          <w:lang w:val="es-ES_tradnl"/>
        </w:rPr>
      </w:pPr>
      <w:r w:rsidRPr="00BD6798">
        <w:rPr>
          <w:rFonts w:ascii="Garamond" w:hAnsi="Garamond" w:cs="Arial"/>
          <w:sz w:val="28"/>
          <w:szCs w:val="28"/>
          <w:lang w:val="es-ES_tradnl"/>
        </w:rPr>
        <w:t xml:space="preserve"> </w:t>
      </w:r>
    </w:p>
    <w:p w:rsidR="00A61A9D" w:rsidRPr="00BD6798" w:rsidRDefault="00A61A9D" w:rsidP="006271ED">
      <w:pPr>
        <w:spacing w:line="360" w:lineRule="auto"/>
        <w:ind w:left="360"/>
        <w:jc w:val="both"/>
        <w:rPr>
          <w:rFonts w:ascii="Garamond" w:hAnsi="Garamond" w:cs="Arial"/>
          <w:sz w:val="28"/>
          <w:szCs w:val="28"/>
        </w:rPr>
      </w:pPr>
      <w:r w:rsidRPr="00BD6798">
        <w:rPr>
          <w:rFonts w:ascii="Garamond" w:hAnsi="Garamond" w:cs="Arial"/>
          <w:sz w:val="28"/>
          <w:szCs w:val="28"/>
        </w:rPr>
        <w:lastRenderedPageBreak/>
        <w:t xml:space="preserve">Gracias a los acuerdos adoptados el proyecto </w:t>
      </w:r>
      <w:r w:rsidR="006271ED" w:rsidRPr="00BD6798">
        <w:rPr>
          <w:rFonts w:ascii="Garamond" w:hAnsi="Garamond" w:cs="Arial"/>
          <w:sz w:val="28"/>
          <w:szCs w:val="28"/>
        </w:rPr>
        <w:t>extendió</w:t>
      </w:r>
      <w:r w:rsidRPr="00BD6798">
        <w:rPr>
          <w:rFonts w:ascii="Garamond" w:hAnsi="Garamond" w:cs="Arial"/>
          <w:sz w:val="28"/>
          <w:szCs w:val="28"/>
        </w:rPr>
        <w:t xml:space="preserve"> los objetivos a los siguientes fines:</w:t>
      </w:r>
    </w:p>
    <w:p w:rsidR="006271ED" w:rsidRPr="006271ED" w:rsidRDefault="006271ED" w:rsidP="006271ED">
      <w:pPr>
        <w:pStyle w:val="Prrafodelista"/>
        <w:numPr>
          <w:ilvl w:val="0"/>
          <w:numId w:val="8"/>
        </w:numPr>
        <w:spacing w:line="360" w:lineRule="auto"/>
        <w:jc w:val="both"/>
        <w:rPr>
          <w:rFonts w:ascii="Garamond" w:hAnsi="Garamond"/>
          <w:sz w:val="28"/>
          <w:szCs w:val="28"/>
        </w:rPr>
      </w:pPr>
      <w:r w:rsidRPr="006271ED">
        <w:rPr>
          <w:rFonts w:ascii="Garamond" w:hAnsi="Garamond"/>
          <w:bCs/>
          <w:color w:val="000000"/>
          <w:sz w:val="28"/>
          <w:szCs w:val="28"/>
          <w:u w:val="single"/>
          <w:lang w:val="es-ES"/>
        </w:rPr>
        <w:t>O</w:t>
      </w:r>
      <w:r w:rsidR="00A61A9D" w:rsidRPr="006271ED">
        <w:rPr>
          <w:rFonts w:ascii="Garamond" w:hAnsi="Garamond"/>
          <w:bCs/>
          <w:color w:val="000000"/>
          <w:sz w:val="28"/>
          <w:szCs w:val="28"/>
          <w:u w:val="single"/>
          <w:lang w:val="es-ES"/>
        </w:rPr>
        <w:t>bligación de contar con un petitorio farmacéutico</w:t>
      </w:r>
      <w:r w:rsidR="00A61A9D" w:rsidRPr="006271ED">
        <w:rPr>
          <w:rFonts w:ascii="Garamond" w:hAnsi="Garamond"/>
          <w:bCs/>
          <w:color w:val="000000"/>
          <w:sz w:val="28"/>
          <w:szCs w:val="28"/>
          <w:lang w:val="es-ES"/>
        </w:rPr>
        <w:t xml:space="preserve"> que indique los medicamentos genéricos que deban obligatoriamente ponerse a disposición del público;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 xml:space="preserve">e desarrolla la obligación de proporcionar al público </w:t>
      </w:r>
      <w:r w:rsidR="00A61A9D" w:rsidRPr="006271ED">
        <w:rPr>
          <w:rFonts w:ascii="Garamond" w:hAnsi="Garamond"/>
          <w:bCs/>
          <w:color w:val="000000"/>
          <w:sz w:val="28"/>
          <w:szCs w:val="28"/>
          <w:u w:val="single"/>
          <w:lang w:val="es-ES"/>
        </w:rPr>
        <w:t>información sobre los precios</w:t>
      </w:r>
      <w:r w:rsidR="00A61A9D" w:rsidRPr="006271ED">
        <w:rPr>
          <w:rFonts w:ascii="Garamond" w:hAnsi="Garamond"/>
          <w:bCs/>
          <w:color w:val="000000"/>
          <w:sz w:val="28"/>
          <w:szCs w:val="28"/>
          <w:lang w:val="es-ES"/>
        </w:rPr>
        <w:t xml:space="preserve"> de los productos farmacéuticos;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 xml:space="preserve">e </w:t>
      </w:r>
      <w:r w:rsidR="00A61A9D" w:rsidRPr="006271ED">
        <w:rPr>
          <w:rFonts w:ascii="Garamond" w:hAnsi="Garamond"/>
          <w:bCs/>
          <w:color w:val="000000"/>
          <w:sz w:val="28"/>
          <w:szCs w:val="28"/>
          <w:u w:val="single"/>
          <w:lang w:val="es-ES"/>
        </w:rPr>
        <w:t>adecúan competencias</w:t>
      </w:r>
      <w:r w:rsidR="00A61A9D" w:rsidRPr="006271ED">
        <w:rPr>
          <w:rFonts w:ascii="Garamond" w:hAnsi="Garamond"/>
          <w:bCs/>
          <w:color w:val="000000"/>
          <w:sz w:val="28"/>
          <w:szCs w:val="28"/>
          <w:lang w:val="es-ES"/>
        </w:rPr>
        <w:t xml:space="preserve"> del Ministerio, las Secretarías Regionales Ministeriales, el Instituto de Salud Pública y la Central de Abastecimiento del Sistema Nacional de Servicios de Salud;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 xml:space="preserve">e introduce una regulación de los elementos de uso médico y los dispositivos médicos;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 xml:space="preserve">e regula el fraccionamiento de los medicamentos;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 xml:space="preserve">e prohíbe la venta en farmacias de marcas propias;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 xml:space="preserve">e inserta un Título nuevo, sobre transparencia y regulación de conflictos de intereses;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e regula el uso de placentas, órganos, tejidos, células, fluidos y otros componentes del cuerpo humano, para su uso en productos terapéuticos, investigación</w:t>
      </w:r>
      <w:r>
        <w:rPr>
          <w:rFonts w:ascii="Garamond" w:hAnsi="Garamond"/>
          <w:bCs/>
          <w:color w:val="000000"/>
          <w:sz w:val="28"/>
          <w:szCs w:val="28"/>
          <w:lang w:val="es-ES"/>
        </w:rPr>
        <w:t xml:space="preserve"> científica o uso posterior; </w:t>
      </w:r>
    </w:p>
    <w:p w:rsidR="006271E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 xml:space="preserve">e modifican procedimientos administrativos sancionatorios y el sumario sanitario; </w:t>
      </w:r>
    </w:p>
    <w:p w:rsidR="00A61A9D" w:rsidRPr="006271ED" w:rsidRDefault="006271ED" w:rsidP="006271ED">
      <w:pPr>
        <w:pStyle w:val="Prrafodelista"/>
        <w:numPr>
          <w:ilvl w:val="0"/>
          <w:numId w:val="8"/>
        </w:numPr>
        <w:spacing w:line="360" w:lineRule="auto"/>
        <w:jc w:val="both"/>
        <w:rPr>
          <w:rFonts w:ascii="Garamond" w:hAnsi="Garamond"/>
          <w:sz w:val="28"/>
          <w:szCs w:val="28"/>
        </w:rPr>
      </w:pPr>
      <w:r>
        <w:rPr>
          <w:rFonts w:ascii="Garamond" w:hAnsi="Garamond"/>
          <w:bCs/>
          <w:color w:val="000000"/>
          <w:sz w:val="28"/>
          <w:szCs w:val="28"/>
          <w:lang w:val="es-ES"/>
        </w:rPr>
        <w:t>S</w:t>
      </w:r>
      <w:r w:rsidR="00A61A9D" w:rsidRPr="006271ED">
        <w:rPr>
          <w:rFonts w:ascii="Garamond" w:hAnsi="Garamond"/>
          <w:bCs/>
          <w:color w:val="000000"/>
          <w:sz w:val="28"/>
          <w:szCs w:val="28"/>
          <w:lang w:val="es-ES"/>
        </w:rPr>
        <w:t>e encomienda al Ministerio de Salud formular una nueva política de Equivalencia Terapéutica y establecer un Plan de implementación de la misma</w:t>
      </w:r>
    </w:p>
    <w:p w:rsidR="00A61A9D" w:rsidRPr="00BD6798" w:rsidRDefault="00A61A9D" w:rsidP="006271ED">
      <w:pPr>
        <w:spacing w:line="360" w:lineRule="auto"/>
        <w:ind w:left="360"/>
        <w:jc w:val="both"/>
        <w:rPr>
          <w:rFonts w:ascii="Garamond" w:hAnsi="Garamond"/>
          <w:b/>
          <w:sz w:val="28"/>
          <w:szCs w:val="28"/>
        </w:rPr>
      </w:pPr>
    </w:p>
    <w:p w:rsidR="00DA572E" w:rsidRPr="006271ED" w:rsidRDefault="0043428A" w:rsidP="006271ED">
      <w:pPr>
        <w:pStyle w:val="Prrafodelista"/>
        <w:numPr>
          <w:ilvl w:val="0"/>
          <w:numId w:val="7"/>
        </w:numPr>
        <w:spacing w:line="360" w:lineRule="auto"/>
        <w:jc w:val="both"/>
        <w:rPr>
          <w:rFonts w:ascii="Garamond" w:hAnsi="Garamond"/>
          <w:b/>
          <w:sz w:val="28"/>
          <w:szCs w:val="28"/>
        </w:rPr>
      </w:pPr>
      <w:r w:rsidRPr="006271ED">
        <w:rPr>
          <w:rFonts w:ascii="Garamond" w:hAnsi="Garamond"/>
          <w:b/>
          <w:sz w:val="28"/>
          <w:szCs w:val="28"/>
        </w:rPr>
        <w:t>Materias aprobadas en la Comisión de Salud y sus objetivos</w:t>
      </w:r>
    </w:p>
    <w:p w:rsidR="00904D30" w:rsidRPr="00BD6798" w:rsidRDefault="00904D30" w:rsidP="006271ED">
      <w:pPr>
        <w:spacing w:line="360" w:lineRule="auto"/>
        <w:ind w:left="360"/>
        <w:jc w:val="both"/>
        <w:rPr>
          <w:rFonts w:ascii="Garamond" w:hAnsi="Garamond"/>
          <w:sz w:val="28"/>
          <w:szCs w:val="28"/>
        </w:rPr>
      </w:pPr>
      <w:r w:rsidRPr="00BD6798">
        <w:rPr>
          <w:rFonts w:ascii="Garamond" w:hAnsi="Garamond"/>
          <w:sz w:val="28"/>
          <w:szCs w:val="28"/>
        </w:rPr>
        <w:t>Las indicaciones del ejecutivo, abordan principalmente las siguientes áreas regulatorias de la salud:</w:t>
      </w:r>
    </w:p>
    <w:p w:rsidR="00DE0A7E" w:rsidRPr="00BD6798" w:rsidRDefault="00DE0A7E" w:rsidP="006271ED">
      <w:pPr>
        <w:spacing w:line="360" w:lineRule="auto"/>
        <w:ind w:left="360"/>
        <w:jc w:val="both"/>
        <w:rPr>
          <w:rFonts w:ascii="Garamond" w:hAnsi="Garamond"/>
          <w:sz w:val="28"/>
          <w:szCs w:val="28"/>
        </w:rPr>
      </w:pPr>
      <w:r w:rsidRPr="00BD6798">
        <w:rPr>
          <w:rFonts w:ascii="Garamond" w:hAnsi="Garamond"/>
          <w:noProof/>
          <w:sz w:val="28"/>
          <w:szCs w:val="28"/>
          <w:lang w:eastAsia="es-CL"/>
        </w:rPr>
        <w:drawing>
          <wp:inline distT="0" distB="0" distL="0" distR="0" wp14:anchorId="126C78BD">
            <wp:extent cx="6812280" cy="7048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9489" b="38539"/>
                    <a:stretch/>
                  </pic:blipFill>
                  <pic:spPr bwMode="auto">
                    <a:xfrm>
                      <a:off x="0" y="0"/>
                      <a:ext cx="6812280" cy="704850"/>
                    </a:xfrm>
                    <a:prstGeom prst="rect">
                      <a:avLst/>
                    </a:prstGeom>
                    <a:noFill/>
                    <a:ln>
                      <a:noFill/>
                    </a:ln>
                    <a:extLst>
                      <a:ext uri="{53640926-AAD7-44D8-BBD7-CCE9431645EC}">
                        <a14:shadowObscured xmlns:a14="http://schemas.microsoft.com/office/drawing/2010/main"/>
                      </a:ext>
                    </a:extLst>
                  </pic:spPr>
                </pic:pic>
              </a:graphicData>
            </a:graphic>
          </wp:inline>
        </w:drawing>
      </w:r>
    </w:p>
    <w:p w:rsidR="00904D30" w:rsidRPr="00BD6798" w:rsidRDefault="00DE0A7E" w:rsidP="006271ED">
      <w:pPr>
        <w:pStyle w:val="Prrafodelista"/>
        <w:numPr>
          <w:ilvl w:val="0"/>
          <w:numId w:val="3"/>
        </w:numPr>
        <w:spacing w:line="360" w:lineRule="auto"/>
        <w:ind w:left="1080"/>
        <w:jc w:val="both"/>
        <w:rPr>
          <w:rFonts w:ascii="Garamond" w:hAnsi="Garamond"/>
          <w:b/>
          <w:sz w:val="28"/>
          <w:szCs w:val="28"/>
        </w:rPr>
      </w:pPr>
      <w:r w:rsidRPr="00BD6798">
        <w:rPr>
          <w:rFonts w:ascii="Garamond" w:hAnsi="Garamond"/>
          <w:b/>
          <w:sz w:val="28"/>
          <w:szCs w:val="28"/>
        </w:rPr>
        <w:t xml:space="preserve">Área </w:t>
      </w:r>
      <w:r w:rsidR="00904D30" w:rsidRPr="00BD6798">
        <w:rPr>
          <w:rFonts w:ascii="Garamond" w:hAnsi="Garamond"/>
          <w:b/>
          <w:sz w:val="28"/>
          <w:szCs w:val="28"/>
        </w:rPr>
        <w:t>Medicamentos</w:t>
      </w:r>
    </w:p>
    <w:p w:rsidR="00285AE4" w:rsidRPr="00BD6798" w:rsidRDefault="00285AE4" w:rsidP="006271ED">
      <w:pPr>
        <w:spacing w:line="360" w:lineRule="auto"/>
        <w:ind w:left="360"/>
        <w:jc w:val="both"/>
        <w:rPr>
          <w:rFonts w:ascii="Garamond" w:hAnsi="Garamond"/>
          <w:sz w:val="28"/>
          <w:szCs w:val="28"/>
        </w:rPr>
      </w:pPr>
      <w:r w:rsidRPr="00BD6798">
        <w:rPr>
          <w:rFonts w:ascii="Garamond" w:hAnsi="Garamond"/>
          <w:sz w:val="28"/>
          <w:szCs w:val="28"/>
        </w:rPr>
        <w:t>El objetivo principal en esta área que recoge las indicaciones presentadas por el Ejecutivo, es mejorar el acceso a los medicamentos para la población.</w:t>
      </w:r>
    </w:p>
    <w:p w:rsidR="00285AE4" w:rsidRPr="00BD6798" w:rsidRDefault="00285AE4" w:rsidP="006271ED">
      <w:pPr>
        <w:spacing w:line="360" w:lineRule="auto"/>
        <w:ind w:left="360"/>
        <w:jc w:val="both"/>
        <w:rPr>
          <w:rFonts w:ascii="Garamond" w:hAnsi="Garamond"/>
          <w:sz w:val="28"/>
          <w:szCs w:val="28"/>
        </w:rPr>
      </w:pPr>
      <w:r w:rsidRPr="00BD6798">
        <w:rPr>
          <w:rFonts w:ascii="Garamond" w:hAnsi="Garamond"/>
          <w:sz w:val="28"/>
          <w:szCs w:val="28"/>
        </w:rPr>
        <w:t>De este modo, el proyecto contempla las siguientes áreas que conllevan al objetivo propuesto:</w:t>
      </w:r>
    </w:p>
    <w:p w:rsidR="00DE0A7E" w:rsidRPr="00BD6798" w:rsidRDefault="00C2039C" w:rsidP="006271ED">
      <w:pPr>
        <w:spacing w:line="360" w:lineRule="auto"/>
        <w:ind w:left="360"/>
        <w:jc w:val="center"/>
        <w:rPr>
          <w:rFonts w:ascii="Garamond" w:hAnsi="Garamond"/>
          <w:sz w:val="28"/>
          <w:szCs w:val="28"/>
        </w:rPr>
      </w:pPr>
      <w:r w:rsidRPr="00BD6798">
        <w:rPr>
          <w:rFonts w:ascii="Garamond" w:hAnsi="Garamond"/>
          <w:noProof/>
          <w:sz w:val="28"/>
          <w:szCs w:val="28"/>
          <w:lang w:eastAsia="es-CL"/>
        </w:rPr>
        <w:lastRenderedPageBreak/>
        <w:drawing>
          <wp:inline distT="0" distB="0" distL="0" distR="0" wp14:anchorId="5671FBB5" wp14:editId="6DD226CB">
            <wp:extent cx="5305425" cy="3267075"/>
            <wp:effectExtent l="0" t="0" r="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4540" w:rsidRPr="00BD6798" w:rsidRDefault="00204540" w:rsidP="006271ED">
      <w:pPr>
        <w:spacing w:line="360" w:lineRule="auto"/>
        <w:ind w:left="360"/>
        <w:rPr>
          <w:rFonts w:ascii="Garamond" w:hAnsi="Garamond"/>
          <w:sz w:val="28"/>
          <w:szCs w:val="28"/>
        </w:rPr>
      </w:pPr>
      <w:r w:rsidRPr="00BD6798">
        <w:rPr>
          <w:rFonts w:ascii="Garamond" w:hAnsi="Garamond"/>
          <w:sz w:val="28"/>
          <w:szCs w:val="28"/>
        </w:rPr>
        <w:t xml:space="preserve">Así, el proyecto </w:t>
      </w:r>
      <w:r w:rsidR="000E7B38" w:rsidRPr="00BD6798">
        <w:rPr>
          <w:rFonts w:ascii="Garamond" w:hAnsi="Garamond"/>
          <w:sz w:val="28"/>
          <w:szCs w:val="28"/>
        </w:rPr>
        <w:t xml:space="preserve">aprobado en la Comisión de Salud del Senado </w:t>
      </w:r>
      <w:r w:rsidRPr="00BD6798">
        <w:rPr>
          <w:rFonts w:ascii="Garamond" w:hAnsi="Garamond"/>
          <w:sz w:val="28"/>
          <w:szCs w:val="28"/>
        </w:rPr>
        <w:t>contiene las siguientes medidas:</w:t>
      </w:r>
    </w:p>
    <w:tbl>
      <w:tblPr>
        <w:tblStyle w:val="Tablaconcuadrcula"/>
        <w:tblW w:w="10790" w:type="dxa"/>
        <w:tblInd w:w="360" w:type="dxa"/>
        <w:tblLook w:val="04A0" w:firstRow="1" w:lastRow="0" w:firstColumn="1" w:lastColumn="0" w:noHBand="0" w:noVBand="1"/>
      </w:tblPr>
      <w:tblGrid>
        <w:gridCol w:w="8784"/>
        <w:gridCol w:w="2006"/>
      </w:tblGrid>
      <w:tr w:rsidR="00204540" w:rsidRPr="00BD6798" w:rsidTr="006271ED">
        <w:tc>
          <w:tcPr>
            <w:tcW w:w="8784" w:type="dxa"/>
          </w:tcPr>
          <w:p w:rsidR="00204540" w:rsidRPr="00BD6798" w:rsidRDefault="00204540" w:rsidP="006271ED">
            <w:pPr>
              <w:spacing w:line="360" w:lineRule="auto"/>
              <w:rPr>
                <w:rFonts w:ascii="Garamond" w:hAnsi="Garamond"/>
                <w:sz w:val="28"/>
                <w:szCs w:val="28"/>
              </w:rPr>
            </w:pPr>
            <w:r w:rsidRPr="00BD6798">
              <w:rPr>
                <w:rFonts w:ascii="Garamond" w:hAnsi="Garamond"/>
                <w:sz w:val="28"/>
                <w:szCs w:val="28"/>
              </w:rPr>
              <w:t>Materia</w:t>
            </w:r>
          </w:p>
        </w:tc>
        <w:tc>
          <w:tcPr>
            <w:tcW w:w="2006" w:type="dxa"/>
          </w:tcPr>
          <w:p w:rsidR="00204540" w:rsidRPr="00BD6798" w:rsidRDefault="00204540" w:rsidP="006271ED">
            <w:pPr>
              <w:spacing w:line="360" w:lineRule="auto"/>
              <w:rPr>
                <w:rFonts w:ascii="Garamond" w:hAnsi="Garamond"/>
                <w:sz w:val="28"/>
                <w:szCs w:val="28"/>
              </w:rPr>
            </w:pPr>
            <w:r w:rsidRPr="00BD6798">
              <w:rPr>
                <w:rFonts w:ascii="Garamond" w:hAnsi="Garamond"/>
                <w:sz w:val="28"/>
                <w:szCs w:val="28"/>
              </w:rPr>
              <w:t>N° de comparado</w:t>
            </w:r>
          </w:p>
        </w:tc>
      </w:tr>
      <w:tr w:rsidR="00204540" w:rsidRPr="00BD6798" w:rsidTr="006271ED">
        <w:tc>
          <w:tcPr>
            <w:tcW w:w="8784" w:type="dxa"/>
          </w:tcPr>
          <w:p w:rsidR="00204540" w:rsidRPr="00BD6798" w:rsidRDefault="00204540"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 xml:space="preserve">Disponibilidad de medicamentos: </w:t>
            </w:r>
          </w:p>
          <w:p w:rsidR="00204540" w:rsidRPr="00BD6798" w:rsidRDefault="00204540"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Obligación de notificación de suspensión voluntaria de distribución y quiebres de stock</w:t>
            </w:r>
          </w:p>
          <w:p w:rsidR="00204540" w:rsidRPr="00BD6798" w:rsidRDefault="00204540"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Definición de accesibilidad que faculta a CENABAST para registrar medicamentos</w:t>
            </w:r>
          </w:p>
          <w:p w:rsidR="00836EA5" w:rsidRPr="00BD6798" w:rsidRDefault="00836EA5"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Amplía posibilidad de importación de medicamentos a los pacientes (personas naturales)</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Posibilita la existencia de farmacias de especialidad, para obtener precios más bajos (ejemplo, farmacia oncológica)</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Siempre procede la venta fraccionada de medicamentos</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Cuando existan góndolas, siempre deberán ser usadas para la venta de medicamentos de libre venta</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No se puede prohibir en clínicas y hospitales que pacientes lleven sus medicamentos, cuando hayan sido prescritos</w:t>
            </w:r>
          </w:p>
          <w:p w:rsidR="00F47879" w:rsidRPr="00BD6798" w:rsidRDefault="00F47879"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Facultad de CENABAST para intermediar a privados medicamentos prioritarios cuando hay inaccesibilidad</w:t>
            </w:r>
          </w:p>
          <w:p w:rsidR="00F47879" w:rsidRPr="00BD6798" w:rsidRDefault="00F47879"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Facultad de CENABAST para realizar adjudicación múltiples, de registrar y  posibilidad de algunas exigencias de la ley de compras, esto último sólo cuando se importe.</w:t>
            </w:r>
          </w:p>
          <w:p w:rsidR="00330201" w:rsidRPr="00BD6798" w:rsidRDefault="00330201"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 xml:space="preserve">No pueden venderle al sistema público de salud los proveedores </w:t>
            </w:r>
            <w:r w:rsidRPr="00BD6798">
              <w:rPr>
                <w:rFonts w:ascii="Garamond" w:hAnsi="Garamond"/>
                <w:sz w:val="28"/>
                <w:szCs w:val="28"/>
              </w:rPr>
              <w:lastRenderedPageBreak/>
              <w:t>condenados por infracción a la libre competencia (Ejecutivo estima que indicación es inadmisible por no tener origen en el Ejecutivo)</w:t>
            </w:r>
          </w:p>
          <w:p w:rsidR="00330201" w:rsidRPr="00BD6798" w:rsidRDefault="00330201"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Los medicamentos deben ser autorizados en envases de acuerdo a estándar clínico o en envases clínicos que permita fraccionamiento.</w:t>
            </w:r>
          </w:p>
          <w:p w:rsidR="00330201" w:rsidRPr="00BD6798" w:rsidRDefault="00330201"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Responsabilidad de proveedores con el Sistema Público de Salud, por los daños que causen por pérdida de medicamentos por aplicación de una medida sanitaria (Ej. Retiro)</w:t>
            </w:r>
          </w:p>
          <w:p w:rsidR="00204540" w:rsidRPr="00BD6798" w:rsidRDefault="00204540" w:rsidP="006271ED">
            <w:pPr>
              <w:pStyle w:val="Prrafodelista"/>
              <w:spacing w:line="360" w:lineRule="auto"/>
              <w:ind w:left="1440"/>
              <w:rPr>
                <w:rFonts w:ascii="Garamond" w:hAnsi="Garamond"/>
                <w:sz w:val="28"/>
                <w:szCs w:val="28"/>
              </w:rPr>
            </w:pP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lastRenderedPageBreak/>
              <w:t>Art. 1:</w:t>
            </w:r>
          </w:p>
          <w:p w:rsidR="00204540" w:rsidRPr="00BD6798" w:rsidRDefault="00204540" w:rsidP="006271ED">
            <w:pPr>
              <w:spacing w:line="360" w:lineRule="auto"/>
              <w:rPr>
                <w:rFonts w:ascii="Garamond" w:hAnsi="Garamond"/>
                <w:sz w:val="28"/>
                <w:szCs w:val="28"/>
              </w:rPr>
            </w:pPr>
            <w:r w:rsidRPr="00BD6798">
              <w:rPr>
                <w:rFonts w:ascii="Garamond" w:hAnsi="Garamond"/>
                <w:sz w:val="28"/>
                <w:szCs w:val="28"/>
              </w:rPr>
              <w:t>1, 5</w:t>
            </w:r>
            <w:r w:rsidR="00836EA5" w:rsidRPr="00BD6798">
              <w:rPr>
                <w:rFonts w:ascii="Garamond" w:hAnsi="Garamond"/>
                <w:sz w:val="28"/>
                <w:szCs w:val="28"/>
              </w:rPr>
              <w:t xml:space="preserve">, </w:t>
            </w:r>
            <w:r w:rsidR="007F0A2E" w:rsidRPr="00BD6798">
              <w:rPr>
                <w:rFonts w:ascii="Garamond" w:hAnsi="Garamond"/>
                <w:sz w:val="28"/>
                <w:szCs w:val="28"/>
              </w:rPr>
              <w:t>15, 18, 19, 20, 22</w:t>
            </w:r>
          </w:p>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2:</w:t>
            </w:r>
          </w:p>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3</w:t>
            </w:r>
            <w:r w:rsidR="00330201" w:rsidRPr="00BD6798">
              <w:rPr>
                <w:rFonts w:ascii="Garamond" w:hAnsi="Garamond"/>
                <w:sz w:val="28"/>
                <w:szCs w:val="28"/>
              </w:rPr>
              <w:t>, 4, 6</w:t>
            </w:r>
          </w:p>
          <w:p w:rsidR="00330201" w:rsidRPr="00BD6798" w:rsidRDefault="00330201" w:rsidP="006271ED">
            <w:pPr>
              <w:spacing w:line="360" w:lineRule="auto"/>
              <w:rPr>
                <w:rFonts w:ascii="Garamond" w:hAnsi="Garamond"/>
                <w:sz w:val="28"/>
                <w:szCs w:val="28"/>
              </w:rPr>
            </w:pPr>
            <w:r w:rsidRPr="00BD6798">
              <w:rPr>
                <w:rFonts w:ascii="Garamond" w:hAnsi="Garamond"/>
                <w:sz w:val="28"/>
                <w:szCs w:val="28"/>
              </w:rPr>
              <w:t>Art. 4</w:t>
            </w:r>
          </w:p>
          <w:p w:rsidR="00330201" w:rsidRPr="00BD6798" w:rsidRDefault="00330201" w:rsidP="006271ED">
            <w:pPr>
              <w:spacing w:line="360" w:lineRule="auto"/>
              <w:rPr>
                <w:rFonts w:ascii="Garamond" w:hAnsi="Garamond"/>
                <w:sz w:val="28"/>
                <w:szCs w:val="28"/>
              </w:rPr>
            </w:pPr>
            <w:r w:rsidRPr="00BD6798">
              <w:rPr>
                <w:rFonts w:ascii="Garamond" w:hAnsi="Garamond"/>
                <w:sz w:val="28"/>
                <w:szCs w:val="28"/>
              </w:rPr>
              <w:t>Art. 5</w:t>
            </w:r>
          </w:p>
        </w:tc>
      </w:tr>
      <w:tr w:rsidR="00204540" w:rsidRPr="00BD6798" w:rsidTr="006271ED">
        <w:tc>
          <w:tcPr>
            <w:tcW w:w="8784" w:type="dxa"/>
          </w:tcPr>
          <w:p w:rsidR="00512B5F" w:rsidRPr="00BD6798" w:rsidRDefault="00204540"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Política de genérico:</w:t>
            </w:r>
          </w:p>
          <w:p w:rsidR="00204540" w:rsidRPr="00BD6798" w:rsidRDefault="00204540"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Para los medicamentos contenidos en el petitorio, si un laboratorio registra y distribuye un medicamento de marca, también lo debe hacer con un genérico</w:t>
            </w:r>
          </w:p>
          <w:p w:rsidR="00512B5F" w:rsidRPr="00BD6798" w:rsidRDefault="00512B5F"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Petitorio contiene genéricos</w:t>
            </w:r>
          </w:p>
          <w:p w:rsidR="00675BB2" w:rsidRPr="00BD6798" w:rsidRDefault="00675BB2"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Prescripción solo por DCI</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Intercambiabilidad sólo por genéricos</w:t>
            </w:r>
          </w:p>
          <w:p w:rsidR="00675BB2" w:rsidRPr="00BD6798" w:rsidRDefault="00675BB2"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 xml:space="preserve">Envase de medicamentos deben contener DCI a un tercio de una de las caras principales y la marca no ser superior a un quinto de éste. </w:t>
            </w:r>
          </w:p>
          <w:p w:rsidR="00F47879" w:rsidRPr="00BD6798" w:rsidRDefault="00F47879"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CENABAST debe incorporar como criterio de preferencia en sus compras a genéricos</w:t>
            </w:r>
          </w:p>
          <w:p w:rsidR="00512B5F" w:rsidRPr="00BD6798" w:rsidRDefault="00512B5F" w:rsidP="006271ED">
            <w:pPr>
              <w:pStyle w:val="Prrafodelista"/>
              <w:spacing w:line="360" w:lineRule="auto"/>
              <w:ind w:left="1440"/>
              <w:rPr>
                <w:rFonts w:ascii="Garamond" w:hAnsi="Garamond"/>
                <w:sz w:val="28"/>
                <w:szCs w:val="28"/>
              </w:rPr>
            </w:pP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204540" w:rsidRPr="00BD6798" w:rsidRDefault="00204540" w:rsidP="006271ED">
            <w:pPr>
              <w:spacing w:line="360" w:lineRule="auto"/>
              <w:rPr>
                <w:rFonts w:ascii="Garamond" w:hAnsi="Garamond"/>
                <w:sz w:val="28"/>
                <w:szCs w:val="28"/>
              </w:rPr>
            </w:pPr>
            <w:r w:rsidRPr="00BD6798">
              <w:rPr>
                <w:rFonts w:ascii="Garamond" w:hAnsi="Garamond"/>
                <w:sz w:val="28"/>
                <w:szCs w:val="28"/>
              </w:rPr>
              <w:t>4</w:t>
            </w:r>
            <w:r w:rsidR="00512B5F" w:rsidRPr="00BD6798">
              <w:rPr>
                <w:rFonts w:ascii="Garamond" w:hAnsi="Garamond"/>
                <w:sz w:val="28"/>
                <w:szCs w:val="28"/>
              </w:rPr>
              <w:t>, 6</w:t>
            </w:r>
            <w:r w:rsidR="007F0A2E" w:rsidRPr="00BD6798">
              <w:rPr>
                <w:rFonts w:ascii="Garamond" w:hAnsi="Garamond"/>
                <w:sz w:val="28"/>
                <w:szCs w:val="28"/>
              </w:rPr>
              <w:t xml:space="preserve">, </w:t>
            </w:r>
            <w:r w:rsidR="00675BB2" w:rsidRPr="00BD6798">
              <w:rPr>
                <w:rFonts w:ascii="Garamond" w:hAnsi="Garamond"/>
                <w:sz w:val="28"/>
                <w:szCs w:val="28"/>
              </w:rPr>
              <w:t xml:space="preserve">16, </w:t>
            </w:r>
            <w:r w:rsidR="007F0A2E" w:rsidRPr="00BD6798">
              <w:rPr>
                <w:rFonts w:ascii="Garamond" w:hAnsi="Garamond"/>
                <w:sz w:val="28"/>
                <w:szCs w:val="28"/>
              </w:rPr>
              <w:t>19</w:t>
            </w:r>
          </w:p>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2:</w:t>
            </w:r>
          </w:p>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3</w:t>
            </w:r>
          </w:p>
        </w:tc>
      </w:tr>
      <w:tr w:rsidR="00204540" w:rsidRPr="00BD6798" w:rsidTr="006271ED">
        <w:tc>
          <w:tcPr>
            <w:tcW w:w="8784" w:type="dxa"/>
          </w:tcPr>
          <w:p w:rsidR="00204540" w:rsidRPr="00BD6798" w:rsidRDefault="00204540"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Intercambiabilidad segura:</w:t>
            </w:r>
          </w:p>
          <w:p w:rsidR="00204540" w:rsidRPr="00BD6798" w:rsidRDefault="00204540"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Prescripción por DCI</w:t>
            </w:r>
          </w:p>
          <w:p w:rsidR="00204540" w:rsidRPr="00BD6798" w:rsidRDefault="00204540"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 xml:space="preserve">Se mejora política de intercambiabilidad, incluyendo bioequivalencia. Sólo no serán intercambiables aquellos productos que por su </w:t>
            </w:r>
            <w:bookmarkStart w:id="0" w:name="_GoBack"/>
            <w:bookmarkEnd w:id="0"/>
            <w:r w:rsidRPr="00BD6798">
              <w:rPr>
                <w:rFonts w:ascii="Garamond" w:hAnsi="Garamond"/>
                <w:sz w:val="28"/>
                <w:szCs w:val="28"/>
              </w:rPr>
              <w:t>naturaleza, determine el ISP</w:t>
            </w: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204540" w:rsidRPr="00BD6798" w:rsidRDefault="00204540" w:rsidP="006271ED">
            <w:pPr>
              <w:spacing w:line="360" w:lineRule="auto"/>
              <w:rPr>
                <w:rFonts w:ascii="Garamond" w:hAnsi="Garamond"/>
                <w:sz w:val="28"/>
                <w:szCs w:val="28"/>
              </w:rPr>
            </w:pPr>
            <w:r w:rsidRPr="00BD6798">
              <w:rPr>
                <w:rFonts w:ascii="Garamond" w:hAnsi="Garamond"/>
                <w:sz w:val="28"/>
                <w:szCs w:val="28"/>
              </w:rPr>
              <w:t>6</w:t>
            </w:r>
          </w:p>
        </w:tc>
      </w:tr>
      <w:tr w:rsidR="00512B5F" w:rsidRPr="00BD6798" w:rsidTr="006271ED">
        <w:tc>
          <w:tcPr>
            <w:tcW w:w="8784" w:type="dxa"/>
          </w:tcPr>
          <w:p w:rsidR="00512B5F" w:rsidRPr="00BD6798" w:rsidRDefault="00512B5F"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Medicamentos / Alimentos: Los alimentos que se atribuyan propiedades terapéuticas, son considerados medicamentos</w:t>
            </w:r>
          </w:p>
          <w:p w:rsidR="00DF34D4" w:rsidRPr="00BD6798" w:rsidRDefault="00DF34D4" w:rsidP="006271ED">
            <w:pPr>
              <w:pStyle w:val="Prrafodelista"/>
              <w:spacing w:line="360" w:lineRule="auto"/>
              <w:ind w:left="1080"/>
              <w:rPr>
                <w:rFonts w:ascii="Garamond" w:hAnsi="Garamond"/>
                <w:sz w:val="28"/>
                <w:szCs w:val="28"/>
              </w:rPr>
            </w:pP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512B5F" w:rsidRPr="00BD6798" w:rsidRDefault="00512B5F" w:rsidP="006271ED">
            <w:pPr>
              <w:spacing w:line="360" w:lineRule="auto"/>
              <w:rPr>
                <w:rFonts w:ascii="Garamond" w:hAnsi="Garamond"/>
                <w:sz w:val="28"/>
                <w:szCs w:val="28"/>
              </w:rPr>
            </w:pPr>
            <w:r w:rsidRPr="00BD6798">
              <w:rPr>
                <w:rFonts w:ascii="Garamond" w:hAnsi="Garamond"/>
                <w:sz w:val="28"/>
                <w:szCs w:val="28"/>
              </w:rPr>
              <w:t>7</w:t>
            </w:r>
          </w:p>
        </w:tc>
      </w:tr>
      <w:tr w:rsidR="00512B5F" w:rsidRPr="00BD6798" w:rsidTr="006271ED">
        <w:tc>
          <w:tcPr>
            <w:tcW w:w="8784" w:type="dxa"/>
          </w:tcPr>
          <w:p w:rsidR="00512B5F" w:rsidRPr="00BD6798" w:rsidRDefault="00512B5F"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Concesión de servicio público: Iniciativa y votación de parlamentarios. Ejecutivo la estima inadmisible</w:t>
            </w:r>
          </w:p>
          <w:p w:rsidR="00DF34D4" w:rsidRPr="00BD6798" w:rsidRDefault="00DF34D4" w:rsidP="006271ED">
            <w:pPr>
              <w:pStyle w:val="Prrafodelista"/>
              <w:spacing w:line="360" w:lineRule="auto"/>
              <w:ind w:left="1080"/>
              <w:rPr>
                <w:rFonts w:ascii="Garamond" w:hAnsi="Garamond"/>
                <w:sz w:val="28"/>
                <w:szCs w:val="28"/>
              </w:rPr>
            </w:pP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512B5F" w:rsidRPr="00BD6798" w:rsidRDefault="00512B5F" w:rsidP="006271ED">
            <w:pPr>
              <w:spacing w:line="360" w:lineRule="auto"/>
              <w:rPr>
                <w:rFonts w:ascii="Garamond" w:hAnsi="Garamond"/>
                <w:sz w:val="28"/>
                <w:szCs w:val="28"/>
              </w:rPr>
            </w:pPr>
            <w:r w:rsidRPr="00BD6798">
              <w:rPr>
                <w:rFonts w:ascii="Garamond" w:hAnsi="Garamond"/>
                <w:sz w:val="28"/>
                <w:szCs w:val="28"/>
              </w:rPr>
              <w:t>10</w:t>
            </w:r>
          </w:p>
        </w:tc>
      </w:tr>
      <w:tr w:rsidR="00512B5F" w:rsidRPr="00BD6798" w:rsidTr="006271ED">
        <w:tc>
          <w:tcPr>
            <w:tcW w:w="8784" w:type="dxa"/>
          </w:tcPr>
          <w:p w:rsidR="00836EA5" w:rsidRPr="00BD6798" w:rsidRDefault="00836EA5"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Reorganización de Fiscalización de Autoridad Sanitaria:</w:t>
            </w:r>
          </w:p>
          <w:p w:rsidR="00512B5F" w:rsidRPr="00BD6798" w:rsidRDefault="00512B5F"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Droguerías y depósitos farmacéuticos: Bajo supervisión de ISP</w:t>
            </w:r>
            <w:r w:rsidR="00836EA5" w:rsidRPr="00BD6798">
              <w:rPr>
                <w:rFonts w:ascii="Garamond" w:hAnsi="Garamond"/>
                <w:sz w:val="28"/>
                <w:szCs w:val="28"/>
              </w:rPr>
              <w:t xml:space="preserve"> y autorización para fraccionar</w:t>
            </w:r>
          </w:p>
          <w:p w:rsidR="00836EA5" w:rsidRPr="00BD6798" w:rsidRDefault="00836EA5"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Farmacias y Botiquines: SEREMI de Salud</w:t>
            </w:r>
          </w:p>
          <w:p w:rsidR="00DF34D4" w:rsidRPr="00BD6798" w:rsidRDefault="00DF34D4" w:rsidP="006271ED">
            <w:pPr>
              <w:pStyle w:val="Prrafodelista"/>
              <w:spacing w:line="360" w:lineRule="auto"/>
              <w:ind w:left="1440"/>
              <w:rPr>
                <w:rFonts w:ascii="Garamond" w:hAnsi="Garamond"/>
                <w:sz w:val="28"/>
                <w:szCs w:val="28"/>
              </w:rPr>
            </w:pP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lastRenderedPageBreak/>
              <w:t>Art. 1:</w:t>
            </w:r>
          </w:p>
          <w:p w:rsidR="00512B5F" w:rsidRPr="00BD6798" w:rsidRDefault="00836EA5" w:rsidP="006271ED">
            <w:pPr>
              <w:spacing w:line="360" w:lineRule="auto"/>
              <w:rPr>
                <w:rFonts w:ascii="Garamond" w:hAnsi="Garamond"/>
                <w:sz w:val="28"/>
                <w:szCs w:val="28"/>
              </w:rPr>
            </w:pPr>
            <w:r w:rsidRPr="00BD6798">
              <w:rPr>
                <w:rFonts w:ascii="Garamond" w:hAnsi="Garamond"/>
                <w:sz w:val="28"/>
                <w:szCs w:val="28"/>
              </w:rPr>
              <w:t>14, 18</w:t>
            </w:r>
          </w:p>
        </w:tc>
      </w:tr>
      <w:tr w:rsidR="007F0A2E" w:rsidRPr="00BD6798" w:rsidTr="006271ED">
        <w:tc>
          <w:tcPr>
            <w:tcW w:w="8784" w:type="dxa"/>
          </w:tcPr>
          <w:p w:rsidR="007F0A2E" w:rsidRPr="00BD6798" w:rsidRDefault="007F0A2E"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Transparencia de información y mercado:</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Obligación de farmacias de publicar los precios, con un tótem y una pantalla que debe ser la misma al que dispensa, con los precios y stock de los productos.</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Obligación de existencia de medicamentos genéricos intercambiables.</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Laboratorios con obligación de publicar precios</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Los proveedores de productos farmacéuticos no pueden discriminar a farmacias y almacenes farmacéuticos</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Todo contrato entre laboratorio y farmacia debe ser enviado al ISP y versar sobre servicios demostrables, justificados y de objeto lícito</w:t>
            </w:r>
          </w:p>
          <w:p w:rsidR="007F0A2E" w:rsidRPr="00BD6798" w:rsidRDefault="007F0A2E" w:rsidP="006271ED">
            <w:pPr>
              <w:pStyle w:val="Prrafodelista"/>
              <w:numPr>
                <w:ilvl w:val="1"/>
                <w:numId w:val="4"/>
              </w:numPr>
              <w:spacing w:line="360" w:lineRule="auto"/>
              <w:rPr>
                <w:rFonts w:ascii="Garamond" w:hAnsi="Garamond"/>
                <w:sz w:val="28"/>
                <w:szCs w:val="28"/>
              </w:rPr>
            </w:pPr>
            <w:r w:rsidRPr="00BD6798">
              <w:rPr>
                <w:rFonts w:ascii="Garamond" w:hAnsi="Garamond"/>
                <w:sz w:val="28"/>
                <w:szCs w:val="28"/>
              </w:rPr>
              <w:t xml:space="preserve">Farmacias y laboratorios deben enviar sus precios al ISP y MINSAL. El primero deberá ponerlos a disposición del público de manera que permita su comparación </w:t>
            </w:r>
          </w:p>
          <w:p w:rsidR="00DF34D4" w:rsidRPr="00BD6798" w:rsidRDefault="00DF34D4" w:rsidP="006271ED">
            <w:pPr>
              <w:pStyle w:val="Prrafodelista"/>
              <w:spacing w:line="360" w:lineRule="auto"/>
              <w:ind w:left="1440"/>
              <w:rPr>
                <w:rFonts w:ascii="Garamond" w:hAnsi="Garamond"/>
                <w:sz w:val="28"/>
                <w:szCs w:val="28"/>
              </w:rPr>
            </w:pP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7F0A2E" w:rsidRPr="00BD6798" w:rsidRDefault="007F0A2E" w:rsidP="006271ED">
            <w:pPr>
              <w:spacing w:line="360" w:lineRule="auto"/>
              <w:rPr>
                <w:rFonts w:ascii="Garamond" w:hAnsi="Garamond"/>
                <w:sz w:val="28"/>
                <w:szCs w:val="28"/>
              </w:rPr>
            </w:pPr>
            <w:r w:rsidRPr="00BD6798">
              <w:rPr>
                <w:rFonts w:ascii="Garamond" w:hAnsi="Garamond"/>
                <w:sz w:val="28"/>
                <w:szCs w:val="28"/>
              </w:rPr>
              <w:t>23, 24, 25</w:t>
            </w:r>
          </w:p>
        </w:tc>
      </w:tr>
      <w:tr w:rsidR="00317320" w:rsidRPr="00BD6798" w:rsidTr="006271ED">
        <w:tc>
          <w:tcPr>
            <w:tcW w:w="8784" w:type="dxa"/>
          </w:tcPr>
          <w:p w:rsidR="00317320" w:rsidRPr="00BD6798" w:rsidRDefault="00317320"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 xml:space="preserve">Reportes de transparencia </w:t>
            </w:r>
            <w:r w:rsidR="00923911" w:rsidRPr="00BD6798">
              <w:rPr>
                <w:rFonts w:ascii="Garamond" w:hAnsi="Garamond"/>
                <w:sz w:val="28"/>
                <w:szCs w:val="28"/>
              </w:rPr>
              <w:t xml:space="preserve"> y regulación de conflictos de intereses:</w:t>
            </w:r>
          </w:p>
          <w:p w:rsidR="00923911" w:rsidRPr="00BD6798" w:rsidRDefault="00923911" w:rsidP="006271ED">
            <w:pPr>
              <w:pStyle w:val="Prrafodelista"/>
              <w:spacing w:line="360" w:lineRule="auto"/>
              <w:ind w:left="1080"/>
              <w:rPr>
                <w:rFonts w:ascii="Garamond" w:hAnsi="Garamond"/>
                <w:sz w:val="28"/>
                <w:szCs w:val="28"/>
              </w:rPr>
            </w:pPr>
            <w:r w:rsidRPr="00BD6798">
              <w:rPr>
                <w:rFonts w:ascii="Garamond" w:hAnsi="Garamond"/>
                <w:sz w:val="28"/>
                <w:szCs w:val="28"/>
              </w:rPr>
              <w:t>Esta normativa tiene por objeto transparentar los dineros que reciben de parte de la industria farmacéutica, los médicos, las universidades, asociaciones científicas, quienes participan de la elaboración de protocolos en MINSAL, compradores, CENABAST y algunas comisiones del MINSAL. Esta regulación es similar a la estadounidense denominada Sunshine Act. Recientemente el Estado de Minas Gerais en Brasil, aprobó una normativa en el mismo orden y países como Colombia se encuentran en su tramitación.</w:t>
            </w:r>
          </w:p>
          <w:p w:rsidR="00923911" w:rsidRPr="00BD6798" w:rsidRDefault="00923911" w:rsidP="006271ED">
            <w:pPr>
              <w:pStyle w:val="Prrafodelista"/>
              <w:spacing w:line="360" w:lineRule="auto"/>
              <w:ind w:left="1080"/>
              <w:rPr>
                <w:rFonts w:ascii="Garamond" w:hAnsi="Garamond"/>
                <w:sz w:val="28"/>
                <w:szCs w:val="28"/>
              </w:rPr>
            </w:pPr>
            <w:r w:rsidRPr="00BD6798">
              <w:rPr>
                <w:rFonts w:ascii="Garamond" w:hAnsi="Garamond"/>
                <w:sz w:val="28"/>
                <w:szCs w:val="28"/>
              </w:rPr>
              <w:t xml:space="preserve">Asimismo, obliga a que los establecimientos de salud regulen sus conflictos de intereses y regula la participación de visitadores médicos en hospitales </w:t>
            </w:r>
            <w:r w:rsidR="00330201" w:rsidRPr="00BD6798">
              <w:rPr>
                <w:rFonts w:ascii="Garamond" w:hAnsi="Garamond"/>
                <w:sz w:val="28"/>
                <w:szCs w:val="28"/>
              </w:rPr>
              <w:t>públicos</w:t>
            </w:r>
          </w:p>
          <w:p w:rsidR="00DF34D4" w:rsidRPr="00BD6798" w:rsidRDefault="00DF34D4" w:rsidP="006271ED">
            <w:pPr>
              <w:pStyle w:val="Prrafodelista"/>
              <w:spacing w:line="360" w:lineRule="auto"/>
              <w:ind w:left="1080"/>
              <w:rPr>
                <w:rFonts w:ascii="Garamond" w:hAnsi="Garamond"/>
                <w:sz w:val="28"/>
                <w:szCs w:val="28"/>
              </w:rPr>
            </w:pP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317320" w:rsidRPr="00BD6798" w:rsidRDefault="00923911" w:rsidP="006271ED">
            <w:pPr>
              <w:spacing w:line="360" w:lineRule="auto"/>
              <w:rPr>
                <w:rFonts w:ascii="Garamond" w:hAnsi="Garamond"/>
                <w:sz w:val="28"/>
                <w:szCs w:val="28"/>
              </w:rPr>
            </w:pPr>
            <w:r w:rsidRPr="00BD6798">
              <w:rPr>
                <w:rFonts w:ascii="Garamond" w:hAnsi="Garamond"/>
                <w:sz w:val="28"/>
                <w:szCs w:val="28"/>
              </w:rPr>
              <w:t>26</w:t>
            </w:r>
          </w:p>
        </w:tc>
      </w:tr>
      <w:tr w:rsidR="00330201" w:rsidRPr="00BD6798" w:rsidTr="006271ED">
        <w:tc>
          <w:tcPr>
            <w:tcW w:w="8784" w:type="dxa"/>
          </w:tcPr>
          <w:p w:rsidR="00330201" w:rsidRPr="00BD6798" w:rsidRDefault="00330201" w:rsidP="006271ED">
            <w:pPr>
              <w:pStyle w:val="Prrafodelista"/>
              <w:numPr>
                <w:ilvl w:val="0"/>
                <w:numId w:val="4"/>
              </w:numPr>
              <w:spacing w:line="360" w:lineRule="auto"/>
              <w:rPr>
                <w:rFonts w:ascii="Garamond" w:hAnsi="Garamond"/>
                <w:sz w:val="28"/>
                <w:szCs w:val="28"/>
              </w:rPr>
            </w:pPr>
            <w:r w:rsidRPr="00BD6798">
              <w:rPr>
                <w:rFonts w:ascii="Garamond" w:hAnsi="Garamond"/>
                <w:sz w:val="28"/>
                <w:szCs w:val="28"/>
              </w:rPr>
              <w:t>Incorporación en política Nacional de Medicamentos a estrategias de intercambiabilidad de medicamentos y de productos biológicos</w:t>
            </w:r>
          </w:p>
          <w:p w:rsidR="00DF34D4" w:rsidRPr="00BD6798" w:rsidRDefault="00DF34D4" w:rsidP="006271ED">
            <w:pPr>
              <w:pStyle w:val="Prrafodelista"/>
              <w:spacing w:line="360" w:lineRule="auto"/>
              <w:ind w:left="1080"/>
              <w:rPr>
                <w:rFonts w:ascii="Garamond" w:hAnsi="Garamond"/>
                <w:sz w:val="28"/>
                <w:szCs w:val="28"/>
              </w:rPr>
            </w:pPr>
          </w:p>
        </w:tc>
        <w:tc>
          <w:tcPr>
            <w:tcW w:w="2006" w:type="dxa"/>
          </w:tcPr>
          <w:p w:rsidR="00330201" w:rsidRPr="00BD6798" w:rsidRDefault="00330201" w:rsidP="006271ED">
            <w:pPr>
              <w:spacing w:line="360" w:lineRule="auto"/>
              <w:rPr>
                <w:rFonts w:ascii="Garamond" w:hAnsi="Garamond"/>
                <w:sz w:val="28"/>
                <w:szCs w:val="28"/>
              </w:rPr>
            </w:pPr>
            <w:r w:rsidRPr="00BD6798">
              <w:rPr>
                <w:rFonts w:ascii="Garamond" w:hAnsi="Garamond"/>
                <w:sz w:val="28"/>
                <w:szCs w:val="28"/>
              </w:rPr>
              <w:t>Cuarto y Quinto Transitorio</w:t>
            </w:r>
          </w:p>
        </w:tc>
      </w:tr>
    </w:tbl>
    <w:p w:rsidR="00204540" w:rsidRPr="00BD6798" w:rsidRDefault="00204540" w:rsidP="006271ED">
      <w:pPr>
        <w:spacing w:line="360" w:lineRule="auto"/>
        <w:ind w:left="360"/>
        <w:rPr>
          <w:rFonts w:ascii="Garamond" w:hAnsi="Garamond"/>
          <w:sz w:val="28"/>
          <w:szCs w:val="28"/>
        </w:rPr>
      </w:pPr>
    </w:p>
    <w:p w:rsidR="00904D30" w:rsidRPr="00733B03" w:rsidRDefault="00904D30" w:rsidP="006271ED">
      <w:pPr>
        <w:pStyle w:val="Prrafodelista"/>
        <w:numPr>
          <w:ilvl w:val="0"/>
          <w:numId w:val="3"/>
        </w:numPr>
        <w:spacing w:line="360" w:lineRule="auto"/>
        <w:ind w:left="1080"/>
        <w:jc w:val="both"/>
        <w:rPr>
          <w:rFonts w:ascii="Garamond" w:hAnsi="Garamond"/>
          <w:b/>
          <w:sz w:val="28"/>
          <w:szCs w:val="28"/>
        </w:rPr>
      </w:pPr>
      <w:r w:rsidRPr="00733B03">
        <w:rPr>
          <w:rFonts w:ascii="Garamond" w:hAnsi="Garamond"/>
          <w:b/>
          <w:sz w:val="28"/>
          <w:szCs w:val="28"/>
        </w:rPr>
        <w:t>Elementos de Uso Médico</w:t>
      </w:r>
    </w:p>
    <w:tbl>
      <w:tblPr>
        <w:tblStyle w:val="Tablaconcuadrcula"/>
        <w:tblW w:w="10790" w:type="dxa"/>
        <w:tblInd w:w="360" w:type="dxa"/>
        <w:tblLook w:val="04A0" w:firstRow="1" w:lastRow="0" w:firstColumn="1" w:lastColumn="0" w:noHBand="0" w:noVBand="1"/>
      </w:tblPr>
      <w:tblGrid>
        <w:gridCol w:w="8784"/>
        <w:gridCol w:w="2006"/>
      </w:tblGrid>
      <w:tr w:rsidR="00512B5F" w:rsidRPr="00BD6798" w:rsidTr="006271ED">
        <w:tc>
          <w:tcPr>
            <w:tcW w:w="8784" w:type="dxa"/>
          </w:tcPr>
          <w:p w:rsidR="00512B5F" w:rsidRPr="00BD6798" w:rsidRDefault="00512B5F" w:rsidP="006271ED">
            <w:pPr>
              <w:spacing w:line="360" w:lineRule="auto"/>
              <w:rPr>
                <w:rFonts w:ascii="Garamond" w:hAnsi="Garamond"/>
                <w:sz w:val="28"/>
                <w:szCs w:val="28"/>
              </w:rPr>
            </w:pPr>
            <w:r w:rsidRPr="00BD6798">
              <w:rPr>
                <w:rFonts w:ascii="Garamond" w:hAnsi="Garamond"/>
                <w:sz w:val="28"/>
                <w:szCs w:val="28"/>
              </w:rPr>
              <w:lastRenderedPageBreak/>
              <w:t>Materia</w:t>
            </w:r>
          </w:p>
        </w:tc>
        <w:tc>
          <w:tcPr>
            <w:tcW w:w="2006" w:type="dxa"/>
          </w:tcPr>
          <w:p w:rsidR="00512B5F" w:rsidRPr="00BD6798" w:rsidRDefault="00512B5F" w:rsidP="006271ED">
            <w:pPr>
              <w:spacing w:line="360" w:lineRule="auto"/>
              <w:rPr>
                <w:rFonts w:ascii="Garamond" w:hAnsi="Garamond"/>
                <w:sz w:val="28"/>
                <w:szCs w:val="28"/>
              </w:rPr>
            </w:pPr>
            <w:r w:rsidRPr="00BD6798">
              <w:rPr>
                <w:rFonts w:ascii="Garamond" w:hAnsi="Garamond"/>
                <w:sz w:val="28"/>
                <w:szCs w:val="28"/>
              </w:rPr>
              <w:t>N° de comparado</w:t>
            </w:r>
          </w:p>
        </w:tc>
      </w:tr>
      <w:tr w:rsidR="00512B5F" w:rsidRPr="00BD6798" w:rsidTr="006271ED">
        <w:tc>
          <w:tcPr>
            <w:tcW w:w="8784" w:type="dxa"/>
          </w:tcPr>
          <w:p w:rsidR="00512B5F" w:rsidRPr="00BD6798" w:rsidRDefault="00512B5F" w:rsidP="006271ED">
            <w:pPr>
              <w:spacing w:line="360" w:lineRule="auto"/>
              <w:rPr>
                <w:rFonts w:ascii="Garamond" w:hAnsi="Garamond"/>
                <w:sz w:val="28"/>
                <w:szCs w:val="28"/>
              </w:rPr>
            </w:pPr>
            <w:r w:rsidRPr="00BD6798">
              <w:rPr>
                <w:rFonts w:ascii="Garamond" w:hAnsi="Garamond"/>
                <w:sz w:val="28"/>
                <w:szCs w:val="28"/>
              </w:rPr>
              <w:t>Regulación de dispositivos a estándar internacional</w:t>
            </w: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512B5F" w:rsidRPr="00BD6798" w:rsidRDefault="00512B5F" w:rsidP="006271ED">
            <w:pPr>
              <w:spacing w:line="360" w:lineRule="auto"/>
              <w:rPr>
                <w:rFonts w:ascii="Garamond" w:hAnsi="Garamond"/>
                <w:sz w:val="28"/>
                <w:szCs w:val="28"/>
              </w:rPr>
            </w:pPr>
            <w:r w:rsidRPr="00BD6798">
              <w:rPr>
                <w:rFonts w:ascii="Garamond" w:hAnsi="Garamond"/>
                <w:sz w:val="28"/>
                <w:szCs w:val="28"/>
              </w:rPr>
              <w:t>8, 9, 12</w:t>
            </w:r>
          </w:p>
        </w:tc>
      </w:tr>
    </w:tbl>
    <w:p w:rsidR="00512B5F" w:rsidRPr="00BD6798" w:rsidRDefault="00512B5F" w:rsidP="006271ED">
      <w:pPr>
        <w:spacing w:line="360" w:lineRule="auto"/>
        <w:ind w:left="360"/>
        <w:jc w:val="both"/>
        <w:rPr>
          <w:rFonts w:ascii="Garamond" w:hAnsi="Garamond"/>
          <w:sz w:val="28"/>
          <w:szCs w:val="28"/>
        </w:rPr>
      </w:pPr>
    </w:p>
    <w:p w:rsidR="00904D30" w:rsidRPr="00733B03" w:rsidRDefault="00904D30" w:rsidP="006271ED">
      <w:pPr>
        <w:pStyle w:val="Prrafodelista"/>
        <w:numPr>
          <w:ilvl w:val="0"/>
          <w:numId w:val="3"/>
        </w:numPr>
        <w:spacing w:line="360" w:lineRule="auto"/>
        <w:ind w:left="1080"/>
        <w:jc w:val="both"/>
        <w:rPr>
          <w:rFonts w:ascii="Garamond" w:hAnsi="Garamond"/>
          <w:b/>
          <w:sz w:val="28"/>
          <w:szCs w:val="28"/>
        </w:rPr>
      </w:pPr>
      <w:r w:rsidRPr="00733B03">
        <w:rPr>
          <w:rFonts w:ascii="Garamond" w:hAnsi="Garamond"/>
          <w:b/>
          <w:sz w:val="28"/>
          <w:szCs w:val="28"/>
        </w:rPr>
        <w:t>Órganos y Tejidos</w:t>
      </w:r>
    </w:p>
    <w:tbl>
      <w:tblPr>
        <w:tblStyle w:val="Tablaconcuadrcula"/>
        <w:tblW w:w="10790" w:type="dxa"/>
        <w:tblInd w:w="360" w:type="dxa"/>
        <w:tblLook w:val="04A0" w:firstRow="1" w:lastRow="0" w:firstColumn="1" w:lastColumn="0" w:noHBand="0" w:noVBand="1"/>
      </w:tblPr>
      <w:tblGrid>
        <w:gridCol w:w="8784"/>
        <w:gridCol w:w="2006"/>
      </w:tblGrid>
      <w:tr w:rsidR="00923911" w:rsidRPr="00BD6798" w:rsidTr="006271ED">
        <w:tc>
          <w:tcPr>
            <w:tcW w:w="8784" w:type="dxa"/>
          </w:tcPr>
          <w:p w:rsidR="00923911" w:rsidRPr="00BD6798" w:rsidRDefault="00923911" w:rsidP="006271ED">
            <w:pPr>
              <w:spacing w:line="360" w:lineRule="auto"/>
              <w:rPr>
                <w:rFonts w:ascii="Garamond" w:hAnsi="Garamond"/>
                <w:sz w:val="28"/>
                <w:szCs w:val="28"/>
              </w:rPr>
            </w:pPr>
            <w:r w:rsidRPr="00BD6798">
              <w:rPr>
                <w:rFonts w:ascii="Garamond" w:hAnsi="Garamond"/>
                <w:sz w:val="28"/>
                <w:szCs w:val="28"/>
              </w:rPr>
              <w:t>Materia</w:t>
            </w:r>
          </w:p>
        </w:tc>
        <w:tc>
          <w:tcPr>
            <w:tcW w:w="2006" w:type="dxa"/>
          </w:tcPr>
          <w:p w:rsidR="00923911" w:rsidRPr="00BD6798" w:rsidRDefault="00923911" w:rsidP="006271ED">
            <w:pPr>
              <w:spacing w:line="360" w:lineRule="auto"/>
              <w:rPr>
                <w:rFonts w:ascii="Garamond" w:hAnsi="Garamond"/>
                <w:sz w:val="28"/>
                <w:szCs w:val="28"/>
              </w:rPr>
            </w:pPr>
            <w:r w:rsidRPr="00BD6798">
              <w:rPr>
                <w:rFonts w:ascii="Garamond" w:hAnsi="Garamond"/>
                <w:sz w:val="28"/>
                <w:szCs w:val="28"/>
              </w:rPr>
              <w:t>N° de comparado</w:t>
            </w:r>
          </w:p>
        </w:tc>
      </w:tr>
      <w:tr w:rsidR="00923911" w:rsidRPr="00BD6798" w:rsidTr="006271ED">
        <w:tc>
          <w:tcPr>
            <w:tcW w:w="8784" w:type="dxa"/>
          </w:tcPr>
          <w:p w:rsidR="00923911" w:rsidRPr="00BD6798" w:rsidRDefault="00923911" w:rsidP="006271ED">
            <w:pPr>
              <w:spacing w:line="360" w:lineRule="auto"/>
              <w:rPr>
                <w:rFonts w:ascii="Garamond" w:hAnsi="Garamond"/>
                <w:sz w:val="28"/>
                <w:szCs w:val="28"/>
              </w:rPr>
            </w:pPr>
            <w:r w:rsidRPr="00BD6798">
              <w:rPr>
                <w:rFonts w:ascii="Garamond" w:hAnsi="Garamond"/>
                <w:sz w:val="28"/>
                <w:szCs w:val="28"/>
              </w:rPr>
              <w:t>Llamado a regulación por reglamento</w:t>
            </w: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923911" w:rsidRPr="00BD6798" w:rsidRDefault="00923911" w:rsidP="006271ED">
            <w:pPr>
              <w:spacing w:line="360" w:lineRule="auto"/>
              <w:rPr>
                <w:rFonts w:ascii="Garamond" w:hAnsi="Garamond"/>
                <w:sz w:val="28"/>
                <w:szCs w:val="28"/>
              </w:rPr>
            </w:pPr>
            <w:r w:rsidRPr="00BD6798">
              <w:rPr>
                <w:rFonts w:ascii="Garamond" w:hAnsi="Garamond"/>
                <w:sz w:val="28"/>
                <w:szCs w:val="28"/>
              </w:rPr>
              <w:t>27, 28</w:t>
            </w:r>
          </w:p>
        </w:tc>
      </w:tr>
    </w:tbl>
    <w:p w:rsidR="00923911" w:rsidRPr="00BD6798" w:rsidRDefault="00923911" w:rsidP="006271ED">
      <w:pPr>
        <w:spacing w:line="360" w:lineRule="auto"/>
        <w:ind w:left="360"/>
        <w:jc w:val="both"/>
        <w:rPr>
          <w:rFonts w:ascii="Garamond" w:hAnsi="Garamond"/>
          <w:sz w:val="28"/>
          <w:szCs w:val="28"/>
        </w:rPr>
      </w:pPr>
    </w:p>
    <w:p w:rsidR="00904D30" w:rsidRPr="00733B03" w:rsidRDefault="00904D30" w:rsidP="006271ED">
      <w:pPr>
        <w:pStyle w:val="Prrafodelista"/>
        <w:numPr>
          <w:ilvl w:val="0"/>
          <w:numId w:val="3"/>
        </w:numPr>
        <w:spacing w:line="360" w:lineRule="auto"/>
        <w:ind w:left="1080"/>
        <w:jc w:val="both"/>
        <w:rPr>
          <w:rFonts w:ascii="Garamond" w:hAnsi="Garamond"/>
          <w:b/>
          <w:sz w:val="28"/>
          <w:szCs w:val="28"/>
        </w:rPr>
      </w:pPr>
      <w:r w:rsidRPr="00733B03">
        <w:rPr>
          <w:rFonts w:ascii="Garamond" w:hAnsi="Garamond"/>
          <w:b/>
          <w:sz w:val="28"/>
          <w:szCs w:val="28"/>
        </w:rPr>
        <w:t>Sancionatorio administrativo</w:t>
      </w:r>
    </w:p>
    <w:tbl>
      <w:tblPr>
        <w:tblStyle w:val="Tablaconcuadrcula"/>
        <w:tblW w:w="10790" w:type="dxa"/>
        <w:tblInd w:w="360" w:type="dxa"/>
        <w:tblLook w:val="04A0" w:firstRow="1" w:lastRow="0" w:firstColumn="1" w:lastColumn="0" w:noHBand="0" w:noVBand="1"/>
      </w:tblPr>
      <w:tblGrid>
        <w:gridCol w:w="8784"/>
        <w:gridCol w:w="2006"/>
      </w:tblGrid>
      <w:tr w:rsidR="00923911" w:rsidRPr="00BD6798" w:rsidTr="006271ED">
        <w:tc>
          <w:tcPr>
            <w:tcW w:w="8784" w:type="dxa"/>
          </w:tcPr>
          <w:p w:rsidR="00923911" w:rsidRPr="00BD6798" w:rsidRDefault="00923911" w:rsidP="006271ED">
            <w:pPr>
              <w:spacing w:line="360" w:lineRule="auto"/>
              <w:rPr>
                <w:rFonts w:ascii="Garamond" w:hAnsi="Garamond"/>
                <w:sz w:val="28"/>
                <w:szCs w:val="28"/>
              </w:rPr>
            </w:pPr>
            <w:r w:rsidRPr="00BD6798">
              <w:rPr>
                <w:rFonts w:ascii="Garamond" w:hAnsi="Garamond"/>
                <w:sz w:val="28"/>
                <w:szCs w:val="28"/>
              </w:rPr>
              <w:t>Materia</w:t>
            </w:r>
          </w:p>
        </w:tc>
        <w:tc>
          <w:tcPr>
            <w:tcW w:w="2006" w:type="dxa"/>
          </w:tcPr>
          <w:p w:rsidR="00923911" w:rsidRPr="00BD6798" w:rsidRDefault="00923911" w:rsidP="006271ED">
            <w:pPr>
              <w:spacing w:line="360" w:lineRule="auto"/>
              <w:rPr>
                <w:rFonts w:ascii="Garamond" w:hAnsi="Garamond"/>
                <w:sz w:val="28"/>
                <w:szCs w:val="28"/>
              </w:rPr>
            </w:pPr>
            <w:r w:rsidRPr="00BD6798">
              <w:rPr>
                <w:rFonts w:ascii="Garamond" w:hAnsi="Garamond"/>
                <w:sz w:val="28"/>
                <w:szCs w:val="28"/>
              </w:rPr>
              <w:t>N° de comparado</w:t>
            </w:r>
          </w:p>
        </w:tc>
      </w:tr>
      <w:tr w:rsidR="00923911" w:rsidRPr="00BD6798" w:rsidTr="006271ED">
        <w:tc>
          <w:tcPr>
            <w:tcW w:w="8784" w:type="dxa"/>
          </w:tcPr>
          <w:p w:rsidR="00923911" w:rsidRPr="00BD6798" w:rsidRDefault="00A159D0" w:rsidP="006271ED">
            <w:pPr>
              <w:pStyle w:val="Prrafodelista"/>
              <w:numPr>
                <w:ilvl w:val="0"/>
                <w:numId w:val="5"/>
              </w:numPr>
              <w:spacing w:line="360" w:lineRule="auto"/>
              <w:rPr>
                <w:rFonts w:ascii="Garamond" w:hAnsi="Garamond"/>
                <w:sz w:val="28"/>
                <w:szCs w:val="28"/>
              </w:rPr>
            </w:pPr>
            <w:r w:rsidRPr="00BD6798">
              <w:rPr>
                <w:rFonts w:ascii="Garamond" w:hAnsi="Garamond"/>
                <w:sz w:val="28"/>
                <w:szCs w:val="28"/>
              </w:rPr>
              <w:t>Se le confieren al MINSAL y al ISP facultades interpretativas del Código Sanitario, el primero para los ámbitos de competencias que le corresponden a las SEREMI de Salud y al segundo, sobre las propias.</w:t>
            </w:r>
          </w:p>
          <w:p w:rsidR="00A159D0" w:rsidRPr="00BD6798" w:rsidRDefault="00F47879" w:rsidP="006271ED">
            <w:pPr>
              <w:pStyle w:val="Prrafodelista"/>
              <w:numPr>
                <w:ilvl w:val="0"/>
                <w:numId w:val="5"/>
              </w:numPr>
              <w:spacing w:line="360" w:lineRule="auto"/>
              <w:rPr>
                <w:rFonts w:ascii="Garamond" w:hAnsi="Garamond"/>
                <w:sz w:val="28"/>
                <w:szCs w:val="28"/>
              </w:rPr>
            </w:pPr>
            <w:r w:rsidRPr="00BD6798">
              <w:rPr>
                <w:rFonts w:ascii="Garamond" w:hAnsi="Garamond"/>
                <w:sz w:val="28"/>
                <w:szCs w:val="28"/>
              </w:rPr>
              <w:t>Se actualiza el sistema de notificaciones de sumarios sanitarios conforme a la ley N°19.880</w:t>
            </w:r>
          </w:p>
          <w:p w:rsidR="00F47879" w:rsidRPr="00BD6798" w:rsidRDefault="00F47879" w:rsidP="006271ED">
            <w:pPr>
              <w:pStyle w:val="Prrafodelista"/>
              <w:numPr>
                <w:ilvl w:val="0"/>
                <w:numId w:val="5"/>
              </w:numPr>
              <w:spacing w:line="360" w:lineRule="auto"/>
              <w:rPr>
                <w:rFonts w:ascii="Garamond" w:hAnsi="Garamond"/>
                <w:sz w:val="28"/>
                <w:szCs w:val="28"/>
              </w:rPr>
            </w:pPr>
            <w:r w:rsidRPr="00BD6798">
              <w:rPr>
                <w:rFonts w:ascii="Garamond" w:hAnsi="Garamond"/>
                <w:sz w:val="28"/>
                <w:szCs w:val="28"/>
              </w:rPr>
              <w:t>Se autoriza que las multas que deban pagar las micro y pequeñas empresas, sean pagadas en cuotas</w:t>
            </w:r>
          </w:p>
          <w:p w:rsidR="00F47879" w:rsidRPr="00BD6798" w:rsidRDefault="00F47879" w:rsidP="006271ED">
            <w:pPr>
              <w:pStyle w:val="Prrafodelista"/>
              <w:numPr>
                <w:ilvl w:val="0"/>
                <w:numId w:val="5"/>
              </w:numPr>
              <w:spacing w:line="360" w:lineRule="auto"/>
              <w:rPr>
                <w:rFonts w:ascii="Garamond" w:hAnsi="Garamond"/>
                <w:sz w:val="28"/>
                <w:szCs w:val="28"/>
              </w:rPr>
            </w:pPr>
            <w:r w:rsidRPr="00BD6798">
              <w:rPr>
                <w:rFonts w:ascii="Garamond" w:hAnsi="Garamond"/>
                <w:sz w:val="28"/>
                <w:szCs w:val="28"/>
              </w:rPr>
              <w:t>Se aclara el ámbito de competencia en los recursos de reclamación, recogiendo el criterio de los fallos de la Corte Suprema</w:t>
            </w:r>
          </w:p>
          <w:p w:rsidR="00F47879" w:rsidRPr="00BD6798" w:rsidRDefault="00F47879" w:rsidP="006271ED">
            <w:pPr>
              <w:pStyle w:val="Prrafodelista"/>
              <w:numPr>
                <w:ilvl w:val="0"/>
                <w:numId w:val="5"/>
              </w:numPr>
              <w:spacing w:line="360" w:lineRule="auto"/>
              <w:rPr>
                <w:rFonts w:ascii="Garamond" w:hAnsi="Garamond"/>
                <w:sz w:val="28"/>
                <w:szCs w:val="28"/>
              </w:rPr>
            </w:pPr>
            <w:r w:rsidRPr="00BD6798">
              <w:rPr>
                <w:rFonts w:ascii="Garamond" w:hAnsi="Garamond"/>
                <w:sz w:val="28"/>
                <w:szCs w:val="28"/>
              </w:rPr>
              <w:t>Se establece la prescripción de infracción y sanción en 4 años, recogiendo jurisprudencia de Corte Suprema</w:t>
            </w:r>
          </w:p>
          <w:p w:rsidR="00F47879" w:rsidRPr="00BD6798" w:rsidRDefault="00F47879" w:rsidP="006271ED">
            <w:pPr>
              <w:pStyle w:val="Prrafodelista"/>
              <w:numPr>
                <w:ilvl w:val="0"/>
                <w:numId w:val="5"/>
              </w:numPr>
              <w:spacing w:line="360" w:lineRule="auto"/>
              <w:rPr>
                <w:rFonts w:ascii="Garamond" w:hAnsi="Garamond"/>
                <w:sz w:val="28"/>
                <w:szCs w:val="28"/>
              </w:rPr>
            </w:pPr>
            <w:r w:rsidRPr="00BD6798">
              <w:rPr>
                <w:rFonts w:ascii="Garamond" w:hAnsi="Garamond"/>
                <w:sz w:val="28"/>
                <w:szCs w:val="28"/>
              </w:rPr>
              <w:t>Se sube el límite de las multas a 5 mil UTM y nunca podrán ser inferiores al beneficio que reporta la infracción</w:t>
            </w:r>
          </w:p>
          <w:p w:rsidR="00F47879" w:rsidRPr="00BD6798" w:rsidRDefault="00F47879" w:rsidP="006271ED">
            <w:pPr>
              <w:pStyle w:val="Prrafodelista"/>
              <w:numPr>
                <w:ilvl w:val="0"/>
                <w:numId w:val="5"/>
              </w:numPr>
              <w:spacing w:line="360" w:lineRule="auto"/>
              <w:rPr>
                <w:rFonts w:ascii="Garamond" w:hAnsi="Garamond"/>
                <w:sz w:val="28"/>
                <w:szCs w:val="28"/>
              </w:rPr>
            </w:pPr>
            <w:r w:rsidRPr="00BD6798">
              <w:rPr>
                <w:rFonts w:ascii="Garamond" w:hAnsi="Garamond"/>
                <w:sz w:val="28"/>
                <w:szCs w:val="28"/>
              </w:rPr>
              <w:t>Se establece como sanción la suspensión o cancelación ante 1 o más reincidencias</w:t>
            </w:r>
          </w:p>
        </w:tc>
        <w:tc>
          <w:tcPr>
            <w:tcW w:w="2006" w:type="dxa"/>
          </w:tcPr>
          <w:p w:rsidR="00F47879" w:rsidRPr="00BD6798" w:rsidRDefault="00F47879" w:rsidP="006271ED">
            <w:pPr>
              <w:spacing w:line="360" w:lineRule="auto"/>
              <w:rPr>
                <w:rFonts w:ascii="Garamond" w:hAnsi="Garamond"/>
                <w:sz w:val="28"/>
                <w:szCs w:val="28"/>
              </w:rPr>
            </w:pPr>
            <w:r w:rsidRPr="00BD6798">
              <w:rPr>
                <w:rFonts w:ascii="Garamond" w:hAnsi="Garamond"/>
                <w:sz w:val="28"/>
                <w:szCs w:val="28"/>
              </w:rPr>
              <w:t>Art. 1:</w:t>
            </w:r>
          </w:p>
          <w:p w:rsidR="00923911" w:rsidRPr="00BD6798" w:rsidRDefault="00A159D0" w:rsidP="006271ED">
            <w:pPr>
              <w:spacing w:line="360" w:lineRule="auto"/>
              <w:rPr>
                <w:rFonts w:ascii="Garamond" w:hAnsi="Garamond"/>
                <w:sz w:val="28"/>
                <w:szCs w:val="28"/>
              </w:rPr>
            </w:pPr>
            <w:r w:rsidRPr="00BD6798">
              <w:rPr>
                <w:rFonts w:ascii="Garamond" w:hAnsi="Garamond"/>
                <w:sz w:val="28"/>
                <w:szCs w:val="28"/>
              </w:rPr>
              <w:t xml:space="preserve">29, 30, </w:t>
            </w:r>
            <w:r w:rsidR="00F47879" w:rsidRPr="00BD6798">
              <w:rPr>
                <w:rFonts w:ascii="Garamond" w:hAnsi="Garamond"/>
                <w:sz w:val="28"/>
                <w:szCs w:val="28"/>
              </w:rPr>
              <w:t>32, 33, 34, 35, 36</w:t>
            </w:r>
          </w:p>
        </w:tc>
      </w:tr>
    </w:tbl>
    <w:p w:rsidR="00923911" w:rsidRPr="00BD6798" w:rsidRDefault="00923911" w:rsidP="006271ED">
      <w:pPr>
        <w:spacing w:line="360" w:lineRule="auto"/>
        <w:ind w:left="360"/>
        <w:jc w:val="both"/>
        <w:rPr>
          <w:rFonts w:ascii="Garamond" w:hAnsi="Garamond"/>
          <w:sz w:val="28"/>
          <w:szCs w:val="28"/>
        </w:rPr>
      </w:pPr>
    </w:p>
    <w:p w:rsidR="00512B5F" w:rsidRPr="00BD6798" w:rsidRDefault="00512B5F" w:rsidP="006271ED">
      <w:pPr>
        <w:pStyle w:val="Prrafodelista"/>
        <w:numPr>
          <w:ilvl w:val="0"/>
          <w:numId w:val="3"/>
        </w:numPr>
        <w:spacing w:line="360" w:lineRule="auto"/>
        <w:ind w:left="1080"/>
        <w:rPr>
          <w:rFonts w:ascii="Garamond" w:hAnsi="Garamond"/>
          <w:sz w:val="28"/>
          <w:szCs w:val="28"/>
        </w:rPr>
      </w:pPr>
      <w:r w:rsidRPr="00733B03">
        <w:rPr>
          <w:rFonts w:ascii="Garamond" w:hAnsi="Garamond"/>
          <w:b/>
          <w:sz w:val="28"/>
          <w:szCs w:val="28"/>
        </w:rPr>
        <w:t>Adecuaciones normativas</w:t>
      </w:r>
      <w:r w:rsidR="00923911" w:rsidRPr="00733B03">
        <w:rPr>
          <w:rFonts w:ascii="Garamond" w:hAnsi="Garamond"/>
          <w:b/>
          <w:sz w:val="28"/>
          <w:szCs w:val="28"/>
        </w:rPr>
        <w:t xml:space="preserve"> y concordancias</w:t>
      </w:r>
      <w:r w:rsidRPr="00BD6798">
        <w:rPr>
          <w:rFonts w:ascii="Garamond" w:hAnsi="Garamond"/>
          <w:sz w:val="28"/>
          <w:szCs w:val="28"/>
        </w:rPr>
        <w:t xml:space="preserve">: N° de comparado </w:t>
      </w:r>
      <w:r w:rsidR="00F47879" w:rsidRPr="00BD6798">
        <w:rPr>
          <w:rFonts w:ascii="Garamond" w:hAnsi="Garamond"/>
          <w:sz w:val="28"/>
          <w:szCs w:val="28"/>
        </w:rPr>
        <w:t xml:space="preserve">Art. 1: </w:t>
      </w:r>
      <w:r w:rsidRPr="00BD6798">
        <w:rPr>
          <w:rFonts w:ascii="Garamond" w:hAnsi="Garamond"/>
          <w:sz w:val="28"/>
          <w:szCs w:val="28"/>
        </w:rPr>
        <w:t>3, 11, 13</w:t>
      </w:r>
      <w:r w:rsidR="00F47879" w:rsidRPr="00BD6798">
        <w:rPr>
          <w:rFonts w:ascii="Garamond" w:hAnsi="Garamond"/>
          <w:sz w:val="28"/>
          <w:szCs w:val="28"/>
        </w:rPr>
        <w:t>, 31, 37, 38; Art. 2: 1, 2</w:t>
      </w:r>
      <w:r w:rsidR="00330201" w:rsidRPr="00BD6798">
        <w:rPr>
          <w:rFonts w:ascii="Garamond" w:hAnsi="Garamond"/>
          <w:sz w:val="28"/>
          <w:szCs w:val="28"/>
        </w:rPr>
        <w:t>, 5, 7. Art. 3. Art. 6</w:t>
      </w:r>
    </w:p>
    <w:p w:rsidR="00B65632" w:rsidRPr="00BD6798" w:rsidRDefault="00330201" w:rsidP="006271ED">
      <w:pPr>
        <w:pStyle w:val="Prrafodelista"/>
        <w:numPr>
          <w:ilvl w:val="0"/>
          <w:numId w:val="3"/>
        </w:numPr>
        <w:spacing w:line="360" w:lineRule="auto"/>
        <w:ind w:left="1080"/>
        <w:rPr>
          <w:rFonts w:ascii="Garamond" w:hAnsi="Garamond"/>
          <w:sz w:val="28"/>
          <w:szCs w:val="28"/>
        </w:rPr>
      </w:pPr>
      <w:r w:rsidRPr="00733B03">
        <w:rPr>
          <w:rFonts w:ascii="Garamond" w:hAnsi="Garamond"/>
          <w:b/>
          <w:sz w:val="28"/>
          <w:szCs w:val="28"/>
        </w:rPr>
        <w:lastRenderedPageBreak/>
        <w:t>Se faculta al Presidente de la República para fijar el</w:t>
      </w:r>
      <w:r w:rsidRPr="00BD6798">
        <w:rPr>
          <w:rFonts w:ascii="Garamond" w:hAnsi="Garamond"/>
          <w:sz w:val="28"/>
          <w:szCs w:val="28"/>
        </w:rPr>
        <w:t xml:space="preserve"> texto refundido, coordinado y sistematizado del Código Sanitario: Sexto Transitorio</w:t>
      </w:r>
    </w:p>
    <w:p w:rsidR="00BC70A7" w:rsidRPr="00BD6798" w:rsidRDefault="00BC70A7" w:rsidP="006271ED">
      <w:pPr>
        <w:pStyle w:val="Prrafodelista"/>
        <w:spacing w:line="360" w:lineRule="auto"/>
        <w:ind w:left="1080"/>
        <w:rPr>
          <w:rFonts w:ascii="Garamond" w:hAnsi="Garamond"/>
          <w:sz w:val="28"/>
          <w:szCs w:val="28"/>
        </w:rPr>
      </w:pPr>
    </w:p>
    <w:p w:rsidR="00BC70A7" w:rsidRDefault="00BC70A7" w:rsidP="006271ED">
      <w:pPr>
        <w:pStyle w:val="Prrafodelista"/>
        <w:numPr>
          <w:ilvl w:val="0"/>
          <w:numId w:val="7"/>
        </w:numPr>
        <w:spacing w:line="360" w:lineRule="auto"/>
        <w:ind w:left="1440"/>
        <w:rPr>
          <w:rFonts w:ascii="Garamond" w:hAnsi="Garamond"/>
          <w:b/>
          <w:sz w:val="28"/>
          <w:szCs w:val="28"/>
          <w:u w:val="single"/>
        </w:rPr>
      </w:pPr>
      <w:r w:rsidRPr="006271ED">
        <w:rPr>
          <w:rFonts w:ascii="Garamond" w:hAnsi="Garamond"/>
          <w:b/>
          <w:sz w:val="28"/>
          <w:szCs w:val="28"/>
          <w:u w:val="single"/>
        </w:rPr>
        <w:t>Nudos críticos Indicaciones.</w:t>
      </w:r>
    </w:p>
    <w:p w:rsidR="006271ED" w:rsidRPr="006271ED" w:rsidRDefault="006271ED" w:rsidP="006271ED">
      <w:pPr>
        <w:pStyle w:val="Prrafodelista"/>
        <w:spacing w:line="360" w:lineRule="auto"/>
        <w:ind w:left="1440"/>
        <w:rPr>
          <w:rFonts w:ascii="Garamond" w:hAnsi="Garamond"/>
          <w:b/>
          <w:sz w:val="28"/>
          <w:szCs w:val="28"/>
          <w:u w:val="single"/>
        </w:rPr>
      </w:pPr>
    </w:p>
    <w:p w:rsidR="006271ED" w:rsidRDefault="00BC70A7" w:rsidP="006271ED">
      <w:pPr>
        <w:pStyle w:val="Prrafodelista"/>
        <w:numPr>
          <w:ilvl w:val="1"/>
          <w:numId w:val="4"/>
        </w:numPr>
        <w:tabs>
          <w:tab w:val="left" w:pos="4820"/>
        </w:tabs>
        <w:spacing w:line="360" w:lineRule="auto"/>
        <w:ind w:left="1429"/>
        <w:rPr>
          <w:rFonts w:ascii="Garamond" w:hAnsi="Garamond" w:cs="Arial"/>
          <w:sz w:val="28"/>
          <w:szCs w:val="28"/>
          <w:lang w:val="es-MX"/>
        </w:rPr>
      </w:pPr>
      <w:r w:rsidRPr="00BD6798">
        <w:rPr>
          <w:rFonts w:ascii="Garamond" w:hAnsi="Garamond" w:cs="Arial"/>
          <w:b/>
          <w:sz w:val="28"/>
          <w:szCs w:val="28"/>
          <w:u w:val="single"/>
        </w:rPr>
        <w:t>Indicación N° 5</w:t>
      </w:r>
      <w:r w:rsidRPr="00BD6798">
        <w:rPr>
          <w:rFonts w:ascii="Garamond" w:hAnsi="Garamond" w:cs="Arial"/>
          <w:sz w:val="28"/>
          <w:szCs w:val="28"/>
          <w:lang w:val="es-MX"/>
        </w:rPr>
        <w:t xml:space="preserve">, del ejecutivo que elimina el </w:t>
      </w:r>
      <w:r w:rsidR="006271ED">
        <w:rPr>
          <w:rFonts w:ascii="Garamond" w:hAnsi="Garamond" w:cs="Arial"/>
          <w:sz w:val="28"/>
          <w:szCs w:val="28"/>
          <w:lang w:val="es-MX"/>
        </w:rPr>
        <w:t xml:space="preserve">inciso tercero del artículo 96 del Código Sanitario. </w:t>
      </w:r>
    </w:p>
    <w:p w:rsidR="00BC70A7" w:rsidRPr="00BD6798" w:rsidRDefault="006271ED" w:rsidP="006271ED">
      <w:pPr>
        <w:pStyle w:val="Prrafodelista"/>
        <w:tabs>
          <w:tab w:val="left" w:pos="4820"/>
        </w:tabs>
        <w:spacing w:line="360" w:lineRule="auto"/>
        <w:ind w:left="1429"/>
        <w:rPr>
          <w:rFonts w:ascii="Garamond" w:hAnsi="Garamond" w:cs="Arial"/>
          <w:sz w:val="28"/>
          <w:szCs w:val="28"/>
          <w:lang w:val="es-MX"/>
        </w:rPr>
      </w:pPr>
      <w:r>
        <w:rPr>
          <w:rFonts w:ascii="Garamond" w:hAnsi="Garamond" w:cs="Arial"/>
          <w:sz w:val="28"/>
          <w:szCs w:val="28"/>
          <w:lang w:val="es-MX"/>
        </w:rPr>
        <w:t>Este</w:t>
      </w:r>
      <w:r w:rsidR="00BC70A7" w:rsidRPr="00BD6798">
        <w:rPr>
          <w:rFonts w:ascii="Garamond" w:hAnsi="Garamond" w:cs="Arial"/>
          <w:sz w:val="28"/>
          <w:szCs w:val="28"/>
          <w:lang w:val="es-MX"/>
        </w:rPr>
        <w:t xml:space="preserve"> inciso </w:t>
      </w:r>
      <w:r>
        <w:rPr>
          <w:rFonts w:ascii="Garamond" w:hAnsi="Garamond" w:cs="Arial"/>
          <w:sz w:val="28"/>
          <w:szCs w:val="28"/>
          <w:lang w:val="es-MX"/>
        </w:rPr>
        <w:t>disponía</w:t>
      </w:r>
      <w:r w:rsidR="00BC70A7" w:rsidRPr="00BD6798">
        <w:rPr>
          <w:rFonts w:ascii="Garamond" w:hAnsi="Garamond" w:cs="Arial"/>
          <w:sz w:val="28"/>
          <w:szCs w:val="28"/>
          <w:lang w:val="es-MX"/>
        </w:rPr>
        <w:t xml:space="preserve"> que contra las actuaciones y resoluciones que adopte el Director del Instituto de Salud Pública en el ejercicio de sus funciones en relación con las materias a que se refiere el Código, con excepción de las sentencias recaídas en los sumarios sanitarios de su competencia, podrá interponerse recurso de reclamación ante el Ministro de Salud, dentro del plazo de cinco días contado desde la fecha de notificación de la respectiva resolución.</w:t>
      </w:r>
    </w:p>
    <w:p w:rsidR="009E3C83" w:rsidRPr="00BD6798" w:rsidRDefault="009E3C83" w:rsidP="006271ED">
      <w:pPr>
        <w:pStyle w:val="Prrafodelista"/>
        <w:tabs>
          <w:tab w:val="left" w:pos="4820"/>
        </w:tabs>
        <w:spacing w:line="360" w:lineRule="auto"/>
        <w:ind w:left="1429"/>
        <w:rPr>
          <w:rFonts w:ascii="Garamond" w:hAnsi="Garamond" w:cs="Arial"/>
          <w:sz w:val="28"/>
          <w:szCs w:val="28"/>
          <w:lang w:val="es-MX"/>
        </w:rPr>
      </w:pPr>
      <w:r w:rsidRPr="00BD6798">
        <w:rPr>
          <w:rFonts w:ascii="Garamond" w:hAnsi="Garamond" w:cs="Arial"/>
          <w:b/>
          <w:sz w:val="28"/>
          <w:szCs w:val="28"/>
          <w:u w:val="single"/>
        </w:rPr>
        <w:t xml:space="preserve">Se explica que la  </w:t>
      </w:r>
      <w:r w:rsidRPr="00BD6798">
        <w:rPr>
          <w:rFonts w:ascii="Garamond" w:hAnsi="Garamond" w:cs="Arial"/>
          <w:sz w:val="28"/>
          <w:szCs w:val="28"/>
          <w:lang w:val="es-MX"/>
        </w:rPr>
        <w:t>propuesta</w:t>
      </w:r>
      <w:r w:rsidR="006271ED">
        <w:rPr>
          <w:rFonts w:ascii="Garamond" w:hAnsi="Garamond" w:cs="Arial"/>
          <w:sz w:val="28"/>
          <w:szCs w:val="28"/>
          <w:lang w:val="es-MX"/>
        </w:rPr>
        <w:t xml:space="preserve"> de eliminar</w:t>
      </w:r>
      <w:r w:rsidRPr="00BD6798">
        <w:rPr>
          <w:rFonts w:ascii="Garamond" w:hAnsi="Garamond" w:cs="Arial"/>
          <w:sz w:val="28"/>
          <w:szCs w:val="28"/>
          <w:lang w:val="es-MX"/>
        </w:rPr>
        <w:t xml:space="preserve"> está en concordancia con facultades que se otorgan al Instituto de Salud Pública de Chile mediante otras indicaciones, para interpretar cuestiones relativas a materias propias de su competencia, de manera de homogeneizar los criterios existentes y otorgar mayor certeza jurídica a los distintos actores regulados. En el fondo, es un traslado de atribuciones que hoy detenta el Ministro de Salud. Cuando se hace uso del recurso de reclamación que la indicación suprime, habitualmente el Ministro confirma la resolución del ISP, porque se trata de materias técnicas de gran especificidad y complejidad</w:t>
      </w:r>
      <w:r w:rsidR="006271ED">
        <w:rPr>
          <w:rFonts w:ascii="Garamond" w:hAnsi="Garamond" w:cs="Arial"/>
          <w:sz w:val="28"/>
          <w:szCs w:val="28"/>
          <w:lang w:val="es-MX"/>
        </w:rPr>
        <w:t>.</w:t>
      </w:r>
    </w:p>
    <w:p w:rsidR="009E3C83" w:rsidRDefault="009E3C83" w:rsidP="006271ED">
      <w:pPr>
        <w:pStyle w:val="Prrafodelista"/>
        <w:tabs>
          <w:tab w:val="left" w:pos="4820"/>
        </w:tabs>
        <w:spacing w:line="360" w:lineRule="auto"/>
        <w:ind w:left="1429"/>
        <w:rPr>
          <w:rFonts w:ascii="Garamond" w:hAnsi="Garamond" w:cs="Arial"/>
          <w:sz w:val="28"/>
          <w:szCs w:val="28"/>
          <w:lang w:val="es-MX"/>
        </w:rPr>
      </w:pPr>
      <w:r w:rsidRPr="00BD6798">
        <w:rPr>
          <w:rFonts w:ascii="Garamond" w:hAnsi="Garamond" w:cs="Arial"/>
          <w:b/>
          <w:sz w:val="28"/>
          <w:szCs w:val="28"/>
          <w:u w:val="single"/>
        </w:rPr>
        <w:t>Derecha se opuso</w:t>
      </w:r>
      <w:r w:rsidRPr="00BD6798">
        <w:rPr>
          <w:rFonts w:ascii="Garamond" w:hAnsi="Garamond" w:cs="Arial"/>
          <w:sz w:val="28"/>
          <w:szCs w:val="28"/>
        </w:rPr>
        <w:t xml:space="preserve"> porque </w:t>
      </w:r>
      <w:r w:rsidRPr="00BD6798">
        <w:rPr>
          <w:rFonts w:ascii="Garamond" w:hAnsi="Garamond" w:cs="Arial"/>
          <w:sz w:val="28"/>
          <w:szCs w:val="28"/>
          <w:lang w:val="es-MX"/>
        </w:rPr>
        <w:t>no debe eliminarse el derecho a reclamar ante la autoridad competente, si estima que un acto administrativo le es agraviante. Chahuan argumento que se deben dejar todas las vías administrativas y judiciales abiertas.</w:t>
      </w:r>
    </w:p>
    <w:p w:rsidR="006271ED" w:rsidRPr="006271ED" w:rsidRDefault="006271ED" w:rsidP="006271ED">
      <w:pPr>
        <w:tabs>
          <w:tab w:val="left" w:pos="4820"/>
        </w:tabs>
        <w:spacing w:line="360" w:lineRule="auto"/>
        <w:rPr>
          <w:rFonts w:ascii="Garamond" w:hAnsi="Garamond" w:cs="Arial"/>
          <w:sz w:val="28"/>
          <w:szCs w:val="28"/>
          <w:lang w:val="es-MX"/>
        </w:rPr>
      </w:pPr>
    </w:p>
    <w:p w:rsidR="009E3C83" w:rsidRPr="00BD6798" w:rsidRDefault="009E3C83" w:rsidP="006271ED">
      <w:pPr>
        <w:pStyle w:val="Prrafodelista"/>
        <w:numPr>
          <w:ilvl w:val="1"/>
          <w:numId w:val="4"/>
        </w:numPr>
        <w:tabs>
          <w:tab w:val="left" w:pos="4820"/>
        </w:tabs>
        <w:spacing w:line="360" w:lineRule="auto"/>
        <w:ind w:left="1429"/>
        <w:rPr>
          <w:rFonts w:ascii="Garamond" w:hAnsi="Garamond" w:cs="Arial"/>
          <w:sz w:val="28"/>
          <w:szCs w:val="28"/>
          <w:lang w:val="es-MX"/>
        </w:rPr>
      </w:pPr>
      <w:r w:rsidRPr="00BD6798">
        <w:rPr>
          <w:rFonts w:ascii="Garamond" w:hAnsi="Garamond" w:cs="Arial"/>
          <w:b/>
          <w:sz w:val="28"/>
          <w:szCs w:val="28"/>
          <w:u w:val="single"/>
        </w:rPr>
        <w:t>Indicación N° 11</w:t>
      </w:r>
      <w:r w:rsidRPr="00BD6798">
        <w:rPr>
          <w:rFonts w:ascii="Garamond" w:hAnsi="Garamond" w:cs="Arial"/>
          <w:sz w:val="28"/>
          <w:szCs w:val="28"/>
          <w:lang w:val="es-MX"/>
        </w:rPr>
        <w:t xml:space="preserve"> del ejecutivo, modifica el artículo 99 que faculta al Instituto de Salud Pública para autorizar provisionalmente la distribución, venta o expendio y uso de productos farmacéuticos sin previo registro, para ensayos clínicos u otro tipo de investigaciones científica. </w:t>
      </w:r>
    </w:p>
    <w:p w:rsidR="008751FC" w:rsidRPr="00BD6798" w:rsidRDefault="009E3C83" w:rsidP="006271ED">
      <w:pPr>
        <w:pStyle w:val="Prrafodelista"/>
        <w:tabs>
          <w:tab w:val="left" w:pos="4820"/>
        </w:tabs>
        <w:spacing w:line="360" w:lineRule="auto"/>
        <w:ind w:left="1429"/>
        <w:rPr>
          <w:rFonts w:ascii="Garamond" w:hAnsi="Garamond" w:cs="Arial"/>
          <w:sz w:val="28"/>
          <w:szCs w:val="28"/>
          <w:lang w:val="es-MX"/>
        </w:rPr>
      </w:pPr>
      <w:r w:rsidRPr="00BD6798">
        <w:rPr>
          <w:rFonts w:ascii="Garamond" w:hAnsi="Garamond" w:cs="Arial"/>
          <w:b/>
          <w:sz w:val="28"/>
          <w:szCs w:val="28"/>
          <w:u w:val="single"/>
        </w:rPr>
        <w:t xml:space="preserve">Se voto de forma dividida </w:t>
      </w:r>
      <w:r w:rsidRPr="00BD6798">
        <w:rPr>
          <w:rFonts w:ascii="Garamond" w:hAnsi="Garamond" w:cs="Arial"/>
          <w:sz w:val="28"/>
          <w:szCs w:val="28"/>
          <w:lang w:val="es-MX"/>
        </w:rPr>
        <w:t xml:space="preserve">la letra b) que perfecciona la facultad de registro que ya ostenta la </w:t>
      </w:r>
      <w:r w:rsidR="006271ED">
        <w:rPr>
          <w:rFonts w:ascii="Garamond" w:hAnsi="Garamond" w:cs="Arial"/>
          <w:sz w:val="28"/>
          <w:szCs w:val="28"/>
          <w:lang w:val="es-MX"/>
        </w:rPr>
        <w:t>Cenabast</w:t>
      </w:r>
      <w:r w:rsidRPr="00BD6798">
        <w:rPr>
          <w:rFonts w:ascii="Garamond" w:hAnsi="Garamond" w:cs="Arial"/>
          <w:sz w:val="28"/>
          <w:szCs w:val="28"/>
          <w:lang w:val="es-MX"/>
        </w:rPr>
        <w:t xml:space="preserve">, de modo de subsanar las dificultades interpretativas que ha originado el concepto de “inaccesibilidad”. La define como la existencia de barreras económicas, financieras, geográficas o de oportunidad, que impiden acceder a un medicamento. Esta sirve como una razón de salud pública que permitirá, en casos </w:t>
      </w:r>
      <w:r w:rsidRPr="00BD6798">
        <w:rPr>
          <w:rFonts w:ascii="Garamond" w:hAnsi="Garamond" w:cs="Arial"/>
          <w:sz w:val="28"/>
          <w:szCs w:val="28"/>
          <w:lang w:val="es-MX"/>
        </w:rPr>
        <w:lastRenderedPageBreak/>
        <w:t>excepcionales, el uso de licencias no voluntarias. Estas últimas tienen como objetivo paliar la dificultad que se presenta cuando medicamentos patentados en el extranjero no se comercializan en Chile</w:t>
      </w:r>
      <w:r w:rsidR="008751FC" w:rsidRPr="00BD6798">
        <w:rPr>
          <w:rFonts w:ascii="Garamond" w:hAnsi="Garamond" w:cs="Arial"/>
          <w:sz w:val="28"/>
          <w:szCs w:val="28"/>
          <w:lang w:val="es-MX"/>
        </w:rPr>
        <w:t xml:space="preserve">. </w:t>
      </w:r>
    </w:p>
    <w:p w:rsidR="00AE6656" w:rsidRDefault="008751FC" w:rsidP="006271ED">
      <w:pPr>
        <w:pStyle w:val="Prrafodelista"/>
        <w:tabs>
          <w:tab w:val="left" w:pos="4820"/>
        </w:tabs>
        <w:spacing w:line="360" w:lineRule="auto"/>
        <w:ind w:left="1429"/>
        <w:rPr>
          <w:rFonts w:ascii="Garamond" w:hAnsi="Garamond" w:cs="Arial"/>
          <w:sz w:val="28"/>
          <w:szCs w:val="28"/>
          <w:lang w:val="es-MX"/>
        </w:rPr>
      </w:pPr>
      <w:r w:rsidRPr="00BD6798">
        <w:rPr>
          <w:rFonts w:ascii="Garamond" w:hAnsi="Garamond" w:cs="Arial"/>
          <w:b/>
          <w:sz w:val="28"/>
          <w:szCs w:val="28"/>
          <w:u w:val="single"/>
        </w:rPr>
        <w:t xml:space="preserve">Derecha se abstuvo ya que el </w:t>
      </w:r>
      <w:r w:rsidRPr="00BD6798">
        <w:rPr>
          <w:rFonts w:ascii="Garamond" w:hAnsi="Garamond" w:cs="Arial"/>
          <w:sz w:val="28"/>
          <w:szCs w:val="28"/>
          <w:lang w:val="es-MX"/>
        </w:rPr>
        <w:t>concepto de inaccesibilidad es vago, faltan se establezca en la norma algunos criterios objetivos y técnicos, de manera de que el reglamento especifique luego los casos en que se aplicarán.</w:t>
      </w:r>
    </w:p>
    <w:p w:rsidR="006271ED" w:rsidRPr="00BD6798" w:rsidRDefault="006271ED" w:rsidP="006271ED">
      <w:pPr>
        <w:pStyle w:val="Prrafodelista"/>
        <w:tabs>
          <w:tab w:val="left" w:pos="4820"/>
        </w:tabs>
        <w:spacing w:line="360" w:lineRule="auto"/>
        <w:ind w:left="1429"/>
        <w:rPr>
          <w:rFonts w:ascii="Garamond" w:hAnsi="Garamond" w:cs="Arial"/>
          <w:sz w:val="28"/>
          <w:szCs w:val="28"/>
          <w:lang w:val="es-MX"/>
        </w:rPr>
      </w:pPr>
    </w:p>
    <w:p w:rsidR="00AE6656" w:rsidRPr="00BD6798" w:rsidRDefault="006271ED" w:rsidP="00733B03">
      <w:pPr>
        <w:pStyle w:val="Prrafodelista"/>
        <w:numPr>
          <w:ilvl w:val="1"/>
          <w:numId w:val="4"/>
        </w:numPr>
        <w:tabs>
          <w:tab w:val="left" w:pos="4820"/>
        </w:tabs>
        <w:spacing w:line="360" w:lineRule="auto"/>
        <w:ind w:left="1429"/>
        <w:jc w:val="both"/>
        <w:rPr>
          <w:rFonts w:ascii="Garamond" w:hAnsi="Garamond" w:cs="Arial"/>
          <w:sz w:val="28"/>
          <w:szCs w:val="28"/>
          <w:lang w:val="es-MX"/>
        </w:rPr>
      </w:pPr>
      <w:r w:rsidRPr="008461F1">
        <w:rPr>
          <w:rFonts w:ascii="Garamond" w:hAnsi="Garamond" w:cs="Arial"/>
          <w:b/>
          <w:sz w:val="28"/>
          <w:szCs w:val="28"/>
          <w:u w:val="single"/>
        </w:rPr>
        <w:t>El Art.</w:t>
      </w:r>
      <w:r w:rsidR="00AA0BB0" w:rsidRPr="008461F1">
        <w:rPr>
          <w:rFonts w:ascii="Garamond" w:hAnsi="Garamond" w:cs="Arial"/>
          <w:b/>
          <w:sz w:val="28"/>
          <w:szCs w:val="28"/>
          <w:u w:val="single"/>
        </w:rPr>
        <w:t xml:space="preserve"> 111 ter</w:t>
      </w:r>
      <w:r w:rsidR="00AA0BB0" w:rsidRPr="00BD6798">
        <w:rPr>
          <w:rFonts w:ascii="Garamond" w:hAnsi="Garamond" w:cs="Arial"/>
          <w:sz w:val="28"/>
          <w:szCs w:val="28"/>
        </w:rPr>
        <w:t xml:space="preserve"> </w:t>
      </w:r>
      <w:r w:rsidR="008461F1">
        <w:rPr>
          <w:rFonts w:ascii="Garamond" w:hAnsi="Garamond" w:cs="Arial"/>
          <w:sz w:val="28"/>
          <w:szCs w:val="28"/>
        </w:rPr>
        <w:t>e</w:t>
      </w:r>
      <w:r>
        <w:rPr>
          <w:rFonts w:ascii="Garamond" w:hAnsi="Garamond" w:cs="Arial"/>
          <w:sz w:val="28"/>
          <w:szCs w:val="28"/>
        </w:rPr>
        <w:t>stablece el registro, para que n</w:t>
      </w:r>
      <w:r w:rsidR="00AA0BB0" w:rsidRPr="00BD6798">
        <w:rPr>
          <w:rFonts w:ascii="Garamond" w:hAnsi="Garamond" w:cs="Arial"/>
          <w:sz w:val="28"/>
          <w:szCs w:val="28"/>
        </w:rPr>
        <w:t>ingún elemento de uso médico podrá ser distribuido o utilizado en el país sin registro sanitario previo otorgado por el Instituto de Salud Pública o sin la notificación previa a ese Servicio, según corresponda a su calificación de riesgo sanitario.</w:t>
      </w:r>
      <w:r w:rsidR="00AE6656" w:rsidRPr="00BD6798">
        <w:rPr>
          <w:rFonts w:ascii="Garamond" w:hAnsi="Garamond" w:cs="Arial"/>
          <w:sz w:val="28"/>
          <w:szCs w:val="28"/>
        </w:rPr>
        <w:t xml:space="preserve"> </w:t>
      </w:r>
      <w:r w:rsidR="00AE6656" w:rsidRPr="00BD6798">
        <w:rPr>
          <w:rFonts w:ascii="Garamond" w:hAnsi="Garamond"/>
          <w:sz w:val="28"/>
          <w:szCs w:val="28"/>
        </w:rPr>
        <w:t>La diferenciación entre dispositivos de riesgo y de bajo riesgo sanitario está en consonancia con los lineamientos internacionales sobre la materia. La norma intenta conocer la trazabilidad del dispositivo, desde su fabricación hasta que se pone a disposición del público. En el reglamento, en tanto, se establecerán cuatro categorías de riesgo sanitario, fundadas en criterios objetivos, tales como su finalidad o el uso que se les puede dar.</w:t>
      </w:r>
    </w:p>
    <w:p w:rsidR="00AE6656" w:rsidRDefault="00AE6656" w:rsidP="006271ED">
      <w:pPr>
        <w:pStyle w:val="Prrafodelista"/>
        <w:tabs>
          <w:tab w:val="left" w:pos="4820"/>
        </w:tabs>
        <w:spacing w:line="360" w:lineRule="auto"/>
        <w:ind w:left="1429"/>
        <w:rPr>
          <w:rFonts w:ascii="Garamond" w:hAnsi="Garamond"/>
          <w:sz w:val="28"/>
          <w:szCs w:val="28"/>
        </w:rPr>
      </w:pPr>
      <w:r w:rsidRPr="00733B03">
        <w:rPr>
          <w:rFonts w:ascii="Garamond" w:hAnsi="Garamond"/>
          <w:sz w:val="28"/>
          <w:szCs w:val="28"/>
          <w:u w:val="single"/>
        </w:rPr>
        <w:t>Derecha se abstuvo</w:t>
      </w:r>
      <w:r w:rsidRPr="00BD6798">
        <w:rPr>
          <w:rFonts w:ascii="Garamond" w:hAnsi="Garamond"/>
          <w:sz w:val="28"/>
          <w:szCs w:val="28"/>
        </w:rPr>
        <w:t>.</w:t>
      </w:r>
    </w:p>
    <w:p w:rsidR="006271ED" w:rsidRPr="00BD6798" w:rsidRDefault="006271ED" w:rsidP="006271ED">
      <w:pPr>
        <w:pStyle w:val="Prrafodelista"/>
        <w:tabs>
          <w:tab w:val="left" w:pos="4820"/>
        </w:tabs>
        <w:spacing w:line="360" w:lineRule="auto"/>
        <w:ind w:left="1429"/>
        <w:rPr>
          <w:rFonts w:ascii="Garamond" w:hAnsi="Garamond"/>
          <w:sz w:val="28"/>
          <w:szCs w:val="28"/>
        </w:rPr>
      </w:pPr>
    </w:p>
    <w:p w:rsidR="00AE6656" w:rsidRPr="006271ED" w:rsidRDefault="00AE6656" w:rsidP="006271ED">
      <w:pPr>
        <w:pStyle w:val="Prrafodelista"/>
        <w:numPr>
          <w:ilvl w:val="1"/>
          <w:numId w:val="4"/>
        </w:numPr>
        <w:spacing w:line="360" w:lineRule="auto"/>
        <w:ind w:left="1440"/>
        <w:rPr>
          <w:rFonts w:ascii="Garamond" w:hAnsi="Garamond" w:cs="Arial"/>
          <w:sz w:val="28"/>
          <w:szCs w:val="28"/>
        </w:rPr>
      </w:pPr>
      <w:r w:rsidRPr="006271ED">
        <w:rPr>
          <w:rFonts w:ascii="Garamond" w:hAnsi="Garamond" w:cs="Arial"/>
          <w:sz w:val="28"/>
          <w:szCs w:val="28"/>
        </w:rPr>
        <w:t xml:space="preserve">La </w:t>
      </w:r>
      <w:r w:rsidRPr="006271ED">
        <w:rPr>
          <w:rFonts w:ascii="Garamond" w:hAnsi="Garamond" w:cs="Arial"/>
          <w:b/>
          <w:sz w:val="28"/>
          <w:szCs w:val="28"/>
          <w:u w:val="single"/>
        </w:rPr>
        <w:t>indicación N° 44</w:t>
      </w:r>
      <w:r w:rsidRPr="006271ED">
        <w:rPr>
          <w:rFonts w:ascii="Garamond" w:hAnsi="Garamond" w:cs="Arial"/>
          <w:sz w:val="28"/>
          <w:szCs w:val="28"/>
        </w:rPr>
        <w:t>, d</w:t>
      </w:r>
      <w:r w:rsidR="0088559F" w:rsidRPr="006271ED">
        <w:rPr>
          <w:rFonts w:ascii="Garamond" w:hAnsi="Garamond" w:cs="Arial"/>
          <w:sz w:val="28"/>
          <w:szCs w:val="28"/>
        </w:rPr>
        <w:t xml:space="preserve">e </w:t>
      </w:r>
      <w:r w:rsidRPr="006271ED">
        <w:rPr>
          <w:rFonts w:ascii="Garamond" w:hAnsi="Garamond" w:cs="Arial"/>
          <w:sz w:val="28"/>
          <w:szCs w:val="28"/>
        </w:rPr>
        <w:t xml:space="preserve">Rossi, sustituye el artículo 128 bis </w:t>
      </w:r>
      <w:r w:rsidR="006271ED" w:rsidRPr="006271ED">
        <w:rPr>
          <w:rFonts w:ascii="Garamond" w:hAnsi="Garamond" w:cs="Arial"/>
          <w:sz w:val="28"/>
          <w:szCs w:val="28"/>
        </w:rPr>
        <w:t>para que</w:t>
      </w:r>
      <w:r w:rsidR="006271ED">
        <w:rPr>
          <w:rFonts w:ascii="Garamond" w:hAnsi="Garamond" w:cs="Arial"/>
          <w:sz w:val="28"/>
          <w:szCs w:val="28"/>
        </w:rPr>
        <w:t xml:space="preserve"> l</w:t>
      </w:r>
      <w:r w:rsidRPr="006271ED">
        <w:rPr>
          <w:rFonts w:ascii="Garamond" w:hAnsi="Garamond" w:cs="Arial"/>
          <w:sz w:val="28"/>
          <w:szCs w:val="28"/>
        </w:rPr>
        <w:t xml:space="preserve">os </w:t>
      </w:r>
      <w:r w:rsidR="006271ED">
        <w:rPr>
          <w:rFonts w:ascii="Garamond" w:hAnsi="Garamond" w:cs="Arial"/>
          <w:sz w:val="28"/>
          <w:szCs w:val="28"/>
        </w:rPr>
        <w:t>laboratorios farmacéuticos teng</w:t>
      </w:r>
      <w:r w:rsidRPr="006271ED">
        <w:rPr>
          <w:rFonts w:ascii="Garamond" w:hAnsi="Garamond" w:cs="Arial"/>
          <w:sz w:val="28"/>
          <w:szCs w:val="28"/>
        </w:rPr>
        <w:t xml:space="preserve">án por </w:t>
      </w:r>
      <w:r w:rsidRPr="006271ED">
        <w:rPr>
          <w:rFonts w:ascii="Garamond" w:hAnsi="Garamond" w:cs="Arial"/>
          <w:b/>
          <w:sz w:val="28"/>
          <w:szCs w:val="28"/>
          <w:u w:val="single"/>
        </w:rPr>
        <w:t>objeto exclusivo la producción de medicamentos</w:t>
      </w:r>
      <w:r w:rsidRPr="006271ED">
        <w:rPr>
          <w:rFonts w:ascii="Garamond" w:hAnsi="Garamond" w:cs="Arial"/>
          <w:sz w:val="28"/>
          <w:szCs w:val="28"/>
        </w:rPr>
        <w:t xml:space="preserve"> y aquellas actividades a que se refiere el artículo 128. La </w:t>
      </w:r>
      <w:r w:rsidRPr="006271ED">
        <w:rPr>
          <w:rFonts w:ascii="Garamond" w:hAnsi="Garamond" w:cs="Arial"/>
          <w:b/>
          <w:sz w:val="28"/>
          <w:szCs w:val="28"/>
          <w:u w:val="single"/>
        </w:rPr>
        <w:t>propiedad y administración de un laboratorio farmacéutico será incompatible con la de una farmacia</w:t>
      </w:r>
      <w:r w:rsidRPr="006271ED">
        <w:rPr>
          <w:rFonts w:ascii="Garamond" w:hAnsi="Garamond" w:cs="Arial"/>
          <w:sz w:val="28"/>
          <w:szCs w:val="28"/>
        </w:rPr>
        <w:t xml:space="preserve">, almacén farmacéutico o droguería. </w:t>
      </w:r>
      <w:r w:rsidR="0088559F" w:rsidRPr="006271ED">
        <w:rPr>
          <w:rFonts w:ascii="Garamond" w:hAnsi="Garamond" w:cs="Arial"/>
          <w:sz w:val="28"/>
          <w:szCs w:val="28"/>
        </w:rPr>
        <w:t xml:space="preserve"> </w:t>
      </w:r>
    </w:p>
    <w:p w:rsidR="0088559F" w:rsidRPr="00BD6798" w:rsidRDefault="0088559F" w:rsidP="006271ED">
      <w:pPr>
        <w:pStyle w:val="Prrafodelista"/>
        <w:spacing w:line="360" w:lineRule="auto"/>
        <w:ind w:left="1440"/>
        <w:rPr>
          <w:rFonts w:ascii="Garamond" w:hAnsi="Garamond" w:cs="Arial"/>
          <w:sz w:val="28"/>
          <w:szCs w:val="28"/>
        </w:rPr>
      </w:pPr>
      <w:r w:rsidRPr="00BD6798">
        <w:rPr>
          <w:rFonts w:ascii="Garamond" w:hAnsi="Garamond" w:cs="Arial"/>
          <w:sz w:val="28"/>
          <w:szCs w:val="28"/>
        </w:rPr>
        <w:t xml:space="preserve">La disposición tiene por objeto </w:t>
      </w:r>
      <w:r w:rsidRPr="006271ED">
        <w:rPr>
          <w:rFonts w:ascii="Garamond" w:hAnsi="Garamond" w:cs="Arial"/>
          <w:b/>
          <w:sz w:val="28"/>
          <w:szCs w:val="28"/>
          <w:u w:val="single"/>
        </w:rPr>
        <w:t>prohibir la integración vertical</w:t>
      </w:r>
      <w:r w:rsidRPr="00BD6798">
        <w:rPr>
          <w:rFonts w:ascii="Garamond" w:hAnsi="Garamond" w:cs="Arial"/>
          <w:sz w:val="28"/>
          <w:szCs w:val="28"/>
        </w:rPr>
        <w:t>.</w:t>
      </w:r>
    </w:p>
    <w:p w:rsidR="0088559F" w:rsidRPr="00BD6798" w:rsidRDefault="0088559F" w:rsidP="006271ED">
      <w:pPr>
        <w:pStyle w:val="Prrafodelista"/>
        <w:spacing w:line="360" w:lineRule="auto"/>
        <w:ind w:left="1440"/>
        <w:rPr>
          <w:rFonts w:ascii="Garamond" w:hAnsi="Garamond" w:cs="Arial"/>
          <w:sz w:val="28"/>
          <w:szCs w:val="28"/>
        </w:rPr>
      </w:pPr>
      <w:r w:rsidRPr="00BD6798">
        <w:rPr>
          <w:rFonts w:ascii="Garamond" w:hAnsi="Garamond" w:cs="Arial"/>
          <w:sz w:val="28"/>
          <w:szCs w:val="28"/>
          <w:lang w:val="es-MX"/>
        </w:rPr>
        <w:t xml:space="preserve">Derecha hizo </w:t>
      </w:r>
      <w:r w:rsidRPr="00BD6798">
        <w:rPr>
          <w:rFonts w:ascii="Garamond" w:hAnsi="Garamond" w:cs="Arial"/>
          <w:b/>
          <w:sz w:val="28"/>
          <w:szCs w:val="28"/>
          <w:u w:val="single"/>
          <w:lang w:val="es-MX"/>
        </w:rPr>
        <w:t xml:space="preserve">reserva de </w:t>
      </w:r>
      <w:r w:rsidR="006271ED" w:rsidRPr="00BD6798">
        <w:rPr>
          <w:rFonts w:ascii="Garamond" w:hAnsi="Garamond" w:cs="Arial"/>
          <w:b/>
          <w:sz w:val="28"/>
          <w:szCs w:val="28"/>
          <w:u w:val="single"/>
          <w:lang w:val="es-MX"/>
        </w:rPr>
        <w:t>constitucionalidad</w:t>
      </w:r>
      <w:r w:rsidR="006271ED" w:rsidRPr="00BD6798">
        <w:rPr>
          <w:rFonts w:ascii="Garamond" w:hAnsi="Garamond" w:cs="Arial"/>
          <w:sz w:val="28"/>
          <w:szCs w:val="28"/>
          <w:lang w:val="es-MX"/>
        </w:rPr>
        <w:t xml:space="preserve"> porque</w:t>
      </w:r>
      <w:r w:rsidRPr="00BD6798">
        <w:rPr>
          <w:rFonts w:ascii="Garamond" w:hAnsi="Garamond" w:cs="Arial"/>
          <w:sz w:val="28"/>
          <w:szCs w:val="28"/>
          <w:lang w:val="es-MX"/>
        </w:rPr>
        <w:t xml:space="preserve"> la </w:t>
      </w:r>
      <w:r w:rsidRPr="00BD6798">
        <w:rPr>
          <w:rFonts w:ascii="Garamond" w:hAnsi="Garamond" w:cs="Arial"/>
          <w:sz w:val="28"/>
          <w:szCs w:val="28"/>
        </w:rPr>
        <w:t>medida implica cercenar libertades, situación que no cabe realizar mediante un precepto de rango legal.</w:t>
      </w:r>
    </w:p>
    <w:p w:rsidR="0088559F" w:rsidRPr="00BD6798" w:rsidRDefault="0088559F" w:rsidP="006271ED">
      <w:pPr>
        <w:pStyle w:val="Prrafodelista"/>
        <w:spacing w:line="360" w:lineRule="auto"/>
        <w:ind w:left="1440"/>
        <w:rPr>
          <w:rFonts w:ascii="Garamond" w:hAnsi="Garamond" w:cs="Arial"/>
          <w:sz w:val="28"/>
          <w:szCs w:val="28"/>
        </w:rPr>
      </w:pPr>
      <w:r w:rsidRPr="00733B03">
        <w:rPr>
          <w:rFonts w:ascii="Garamond" w:hAnsi="Garamond" w:cs="Arial"/>
          <w:b/>
          <w:sz w:val="28"/>
          <w:szCs w:val="28"/>
          <w:u w:val="single"/>
        </w:rPr>
        <w:t>Subsecretario de salud también se opuso</w:t>
      </w:r>
      <w:r w:rsidRPr="00BD6798">
        <w:rPr>
          <w:rFonts w:ascii="Garamond" w:hAnsi="Garamond" w:cs="Arial"/>
          <w:sz w:val="28"/>
          <w:szCs w:val="28"/>
        </w:rPr>
        <w:t xml:space="preserve"> porque la prohibición de las marcas propias podría significar obstáculos para que la CENABAST acceda a comprar medicamentos a precios más baratos.</w:t>
      </w:r>
      <w:r w:rsidR="006271ED">
        <w:rPr>
          <w:rFonts w:ascii="Garamond" w:hAnsi="Garamond" w:cs="Arial"/>
          <w:sz w:val="28"/>
          <w:szCs w:val="28"/>
        </w:rPr>
        <w:t xml:space="preserve"> Agrega que la</w:t>
      </w:r>
      <w:r w:rsidRPr="00BD6798">
        <w:rPr>
          <w:rFonts w:ascii="Garamond" w:hAnsi="Garamond" w:cs="Arial"/>
          <w:sz w:val="28"/>
          <w:szCs w:val="28"/>
        </w:rPr>
        <w:t xml:space="preserve"> integración vertical no necesariamente tiene efectos perniciosos para los compradores finales de los productos.</w:t>
      </w:r>
    </w:p>
    <w:p w:rsidR="00A30C3A" w:rsidRPr="00BD6798" w:rsidRDefault="006271ED" w:rsidP="006271ED">
      <w:pPr>
        <w:pStyle w:val="Prrafodelista"/>
        <w:numPr>
          <w:ilvl w:val="1"/>
          <w:numId w:val="4"/>
        </w:numPr>
        <w:spacing w:line="360" w:lineRule="auto"/>
        <w:ind w:left="1429"/>
        <w:rPr>
          <w:rFonts w:ascii="Garamond" w:hAnsi="Garamond" w:cs="Arial"/>
          <w:sz w:val="28"/>
          <w:szCs w:val="28"/>
        </w:rPr>
      </w:pPr>
      <w:r>
        <w:rPr>
          <w:rFonts w:ascii="Garamond" w:hAnsi="Garamond" w:cs="Arial"/>
          <w:b/>
          <w:sz w:val="28"/>
          <w:szCs w:val="28"/>
          <w:u w:val="single"/>
        </w:rPr>
        <w:t>I</w:t>
      </w:r>
      <w:r w:rsidR="0088559F" w:rsidRPr="00BD6798">
        <w:rPr>
          <w:rFonts w:ascii="Garamond" w:hAnsi="Garamond" w:cs="Arial"/>
          <w:b/>
          <w:sz w:val="28"/>
          <w:szCs w:val="28"/>
          <w:u w:val="single"/>
        </w:rPr>
        <w:t xml:space="preserve">ndicación N° 46 </w:t>
      </w:r>
      <w:r w:rsidR="00A30C3A" w:rsidRPr="00BD6798">
        <w:rPr>
          <w:rFonts w:ascii="Garamond" w:hAnsi="Garamond" w:cs="Arial"/>
          <w:b/>
          <w:sz w:val="28"/>
          <w:szCs w:val="28"/>
          <w:u w:val="single"/>
        </w:rPr>
        <w:t>, 47, 49</w:t>
      </w:r>
      <w:r>
        <w:rPr>
          <w:rFonts w:ascii="Garamond" w:hAnsi="Garamond" w:cs="Arial"/>
          <w:b/>
          <w:sz w:val="28"/>
          <w:szCs w:val="28"/>
          <w:u w:val="single"/>
        </w:rPr>
        <w:t xml:space="preserve">, igual </w:t>
      </w:r>
      <w:r>
        <w:rPr>
          <w:rFonts w:ascii="Garamond" w:hAnsi="Garamond" w:cs="Arial"/>
          <w:sz w:val="28"/>
          <w:szCs w:val="28"/>
        </w:rPr>
        <w:t>que la anterior</w:t>
      </w:r>
      <w:r w:rsidR="0088559F" w:rsidRPr="00BD6798">
        <w:rPr>
          <w:rFonts w:ascii="Garamond" w:hAnsi="Garamond" w:cs="Arial"/>
          <w:sz w:val="28"/>
          <w:szCs w:val="28"/>
        </w:rPr>
        <w:t xml:space="preserve"> </w:t>
      </w:r>
      <w:r w:rsidRPr="00733B03">
        <w:rPr>
          <w:rFonts w:ascii="Garamond" w:hAnsi="Garamond" w:cs="Arial"/>
          <w:b/>
          <w:sz w:val="28"/>
          <w:szCs w:val="28"/>
          <w:u w:val="single"/>
        </w:rPr>
        <w:t>prohíben</w:t>
      </w:r>
      <w:r w:rsidR="00A30C3A" w:rsidRPr="00733B03">
        <w:rPr>
          <w:rFonts w:ascii="Garamond" w:hAnsi="Garamond" w:cs="Arial"/>
          <w:b/>
          <w:sz w:val="28"/>
          <w:szCs w:val="28"/>
          <w:u w:val="single"/>
        </w:rPr>
        <w:t xml:space="preserve"> la integración</w:t>
      </w:r>
      <w:r w:rsidR="00A30C3A" w:rsidRPr="00BD6798">
        <w:rPr>
          <w:rFonts w:ascii="Garamond" w:hAnsi="Garamond" w:cs="Arial"/>
          <w:sz w:val="28"/>
          <w:szCs w:val="28"/>
        </w:rPr>
        <w:t xml:space="preserve"> de </w:t>
      </w:r>
      <w:r w:rsidR="0088559F" w:rsidRPr="00BD6798">
        <w:rPr>
          <w:rFonts w:ascii="Garamond" w:hAnsi="Garamond" w:cs="Arial"/>
          <w:sz w:val="28"/>
          <w:szCs w:val="28"/>
        </w:rPr>
        <w:t xml:space="preserve"> </w:t>
      </w:r>
      <w:r w:rsidR="00A30C3A" w:rsidRPr="00BD6798">
        <w:rPr>
          <w:rFonts w:ascii="Garamond" w:hAnsi="Garamond" w:cs="Arial"/>
          <w:sz w:val="28"/>
          <w:szCs w:val="28"/>
        </w:rPr>
        <w:t>los</w:t>
      </w:r>
      <w:r w:rsidR="0088559F" w:rsidRPr="00BD6798">
        <w:rPr>
          <w:rFonts w:ascii="Garamond" w:hAnsi="Garamond" w:cs="Arial"/>
          <w:sz w:val="28"/>
          <w:szCs w:val="28"/>
        </w:rPr>
        <w:t xml:space="preserve"> laboratorio</w:t>
      </w:r>
      <w:r w:rsidR="00A30C3A" w:rsidRPr="00BD6798">
        <w:rPr>
          <w:rFonts w:ascii="Garamond" w:hAnsi="Garamond" w:cs="Arial"/>
          <w:sz w:val="28"/>
          <w:szCs w:val="28"/>
        </w:rPr>
        <w:t>s</w:t>
      </w:r>
      <w:r w:rsidR="0088559F" w:rsidRPr="00BD6798">
        <w:rPr>
          <w:rFonts w:ascii="Garamond" w:hAnsi="Garamond" w:cs="Arial"/>
          <w:sz w:val="28"/>
          <w:szCs w:val="28"/>
        </w:rPr>
        <w:t xml:space="preserve"> farmacéutico, </w:t>
      </w:r>
      <w:r w:rsidR="00A30C3A" w:rsidRPr="00BD6798">
        <w:rPr>
          <w:rFonts w:ascii="Garamond" w:hAnsi="Garamond" w:cs="Arial"/>
          <w:sz w:val="28"/>
          <w:szCs w:val="28"/>
        </w:rPr>
        <w:t>con un</w:t>
      </w:r>
      <w:r w:rsidR="0088559F" w:rsidRPr="00BD6798">
        <w:rPr>
          <w:rFonts w:ascii="Garamond" w:hAnsi="Garamond" w:cs="Arial"/>
          <w:sz w:val="28"/>
          <w:szCs w:val="28"/>
        </w:rPr>
        <w:t xml:space="preserve"> comercializador de productos cosméticos, de perfumería, insumos médicos, suplementos alimenticios y supermercados cuyos productos son susceptibles de ventas en</w:t>
      </w:r>
      <w:r w:rsidR="00A30C3A" w:rsidRPr="00BD6798">
        <w:rPr>
          <w:rFonts w:ascii="Garamond" w:hAnsi="Garamond" w:cs="Arial"/>
          <w:sz w:val="28"/>
          <w:szCs w:val="28"/>
        </w:rPr>
        <w:t xml:space="preserve"> establecimientos farmacéuticos.</w:t>
      </w:r>
    </w:p>
    <w:p w:rsidR="006271ED" w:rsidRDefault="00A30C3A" w:rsidP="006271ED">
      <w:pPr>
        <w:pStyle w:val="Prrafodelista"/>
        <w:spacing w:line="360" w:lineRule="auto"/>
        <w:ind w:left="1429"/>
        <w:rPr>
          <w:rFonts w:ascii="Garamond" w:hAnsi="Garamond" w:cs="Arial"/>
          <w:sz w:val="28"/>
          <w:szCs w:val="28"/>
        </w:rPr>
      </w:pPr>
      <w:r w:rsidRPr="00BD6798">
        <w:rPr>
          <w:rFonts w:ascii="Garamond" w:hAnsi="Garamond" w:cs="Arial"/>
          <w:b/>
          <w:sz w:val="28"/>
          <w:szCs w:val="28"/>
          <w:u w:val="single"/>
        </w:rPr>
        <w:lastRenderedPageBreak/>
        <w:t xml:space="preserve">Se establece la </w:t>
      </w:r>
      <w:r w:rsidRPr="00BD6798">
        <w:rPr>
          <w:rFonts w:ascii="Garamond" w:hAnsi="Garamond" w:cs="Arial"/>
          <w:sz w:val="28"/>
          <w:szCs w:val="28"/>
        </w:rPr>
        <w:t xml:space="preserve">prohibición de integración de los dueños de las farmacias con los importadores de medicamentos. </w:t>
      </w:r>
    </w:p>
    <w:p w:rsidR="0088559F" w:rsidRPr="00BD6798" w:rsidRDefault="0088559F" w:rsidP="006271ED">
      <w:pPr>
        <w:pStyle w:val="Prrafodelista"/>
        <w:spacing w:line="360" w:lineRule="auto"/>
        <w:ind w:left="1429"/>
        <w:rPr>
          <w:rFonts w:ascii="Garamond" w:hAnsi="Garamond" w:cs="Arial"/>
          <w:sz w:val="28"/>
          <w:szCs w:val="28"/>
        </w:rPr>
      </w:pPr>
      <w:r w:rsidRPr="00BD6798">
        <w:rPr>
          <w:rFonts w:ascii="Garamond" w:hAnsi="Garamond" w:cs="Arial"/>
          <w:sz w:val="28"/>
          <w:szCs w:val="28"/>
        </w:rPr>
        <w:t xml:space="preserve">Derecha </w:t>
      </w:r>
      <w:r w:rsidR="006271ED">
        <w:rPr>
          <w:rFonts w:ascii="Garamond" w:hAnsi="Garamond" w:cs="Arial"/>
          <w:sz w:val="28"/>
          <w:szCs w:val="28"/>
        </w:rPr>
        <w:t>hizo</w:t>
      </w:r>
      <w:r w:rsidRPr="00BD6798">
        <w:rPr>
          <w:rFonts w:ascii="Garamond" w:hAnsi="Garamond" w:cs="Arial"/>
          <w:sz w:val="28"/>
          <w:szCs w:val="28"/>
        </w:rPr>
        <w:t xml:space="preserve"> reserva de constitucionalidad</w:t>
      </w:r>
      <w:r w:rsidR="006271ED">
        <w:rPr>
          <w:rFonts w:ascii="Garamond" w:hAnsi="Garamond" w:cs="Arial"/>
          <w:sz w:val="28"/>
          <w:szCs w:val="28"/>
        </w:rPr>
        <w:t xml:space="preserve"> por infringir la libertad </w:t>
      </w:r>
      <w:r w:rsidR="008461F1">
        <w:rPr>
          <w:rFonts w:ascii="Garamond" w:hAnsi="Garamond" w:cs="Arial"/>
          <w:sz w:val="28"/>
          <w:szCs w:val="28"/>
        </w:rPr>
        <w:t>económica.</w:t>
      </w:r>
    </w:p>
    <w:p w:rsidR="00A30C3A" w:rsidRPr="00BD6798" w:rsidRDefault="006271ED" w:rsidP="006271ED">
      <w:pPr>
        <w:pStyle w:val="Prrafodelista"/>
        <w:numPr>
          <w:ilvl w:val="1"/>
          <w:numId w:val="4"/>
        </w:numPr>
        <w:spacing w:line="360" w:lineRule="auto"/>
        <w:ind w:left="1429"/>
        <w:rPr>
          <w:rFonts w:ascii="Garamond" w:hAnsi="Garamond" w:cs="Arial"/>
          <w:sz w:val="28"/>
          <w:szCs w:val="28"/>
        </w:rPr>
      </w:pPr>
      <w:r>
        <w:rPr>
          <w:rFonts w:ascii="Garamond" w:hAnsi="Garamond" w:cs="Arial"/>
          <w:b/>
          <w:sz w:val="28"/>
          <w:szCs w:val="28"/>
          <w:u w:val="single"/>
        </w:rPr>
        <w:t>I</w:t>
      </w:r>
      <w:r w:rsidR="00A30C3A" w:rsidRPr="00BD6798">
        <w:rPr>
          <w:rFonts w:ascii="Garamond" w:hAnsi="Garamond" w:cs="Arial"/>
          <w:b/>
          <w:sz w:val="28"/>
          <w:szCs w:val="28"/>
          <w:u w:val="single"/>
        </w:rPr>
        <w:t>ndicación N° 63</w:t>
      </w:r>
      <w:r w:rsidR="00A30C3A" w:rsidRPr="00BD6798">
        <w:rPr>
          <w:rFonts w:ascii="Garamond" w:hAnsi="Garamond" w:cs="Arial"/>
          <w:sz w:val="28"/>
          <w:szCs w:val="28"/>
        </w:rPr>
        <w:t>, de Girardi,</w:t>
      </w:r>
      <w:r w:rsidR="00901E12" w:rsidRPr="00BD6798">
        <w:rPr>
          <w:rFonts w:ascii="Garamond" w:hAnsi="Garamond" w:cs="Arial"/>
          <w:sz w:val="28"/>
          <w:szCs w:val="28"/>
        </w:rPr>
        <w:t xml:space="preserve"> sustituye el inciso primero del artículo 129 </w:t>
      </w:r>
      <w:r w:rsidR="008461F1" w:rsidRPr="00BD6798">
        <w:rPr>
          <w:rFonts w:ascii="Garamond" w:hAnsi="Garamond" w:cs="Arial"/>
          <w:sz w:val="28"/>
          <w:szCs w:val="28"/>
        </w:rPr>
        <w:t>B, prohibiendo</w:t>
      </w:r>
      <w:r w:rsidR="00A30C3A" w:rsidRPr="00BD6798">
        <w:rPr>
          <w:rFonts w:ascii="Garamond" w:hAnsi="Garamond" w:cs="Arial"/>
          <w:sz w:val="28"/>
          <w:szCs w:val="28"/>
        </w:rPr>
        <w:t xml:space="preserve"> la venta de remedios en farmacias con recetas que hubieran sido fabricados  internados por personas o sociedad relacionadas. </w:t>
      </w:r>
    </w:p>
    <w:p w:rsidR="00A30C3A" w:rsidRDefault="00A30C3A" w:rsidP="006271ED">
      <w:pPr>
        <w:pStyle w:val="Prrafodelista"/>
        <w:spacing w:line="360" w:lineRule="auto"/>
        <w:ind w:left="1429"/>
        <w:rPr>
          <w:rFonts w:ascii="Garamond" w:hAnsi="Garamond" w:cs="Arial"/>
          <w:sz w:val="28"/>
          <w:szCs w:val="28"/>
        </w:rPr>
      </w:pPr>
      <w:r w:rsidRPr="00BD6798">
        <w:rPr>
          <w:rFonts w:ascii="Garamond" w:hAnsi="Garamond" w:cs="Arial"/>
          <w:sz w:val="28"/>
          <w:szCs w:val="28"/>
        </w:rPr>
        <w:t>Se</w:t>
      </w:r>
      <w:r w:rsidR="008461F1">
        <w:rPr>
          <w:rFonts w:ascii="Garamond" w:hAnsi="Garamond" w:cs="Arial"/>
          <w:sz w:val="28"/>
          <w:szCs w:val="28"/>
        </w:rPr>
        <w:t xml:space="preserve"> voto 3x2 con reserva de constitucionalidad por infracción a la libertad económica.</w:t>
      </w:r>
    </w:p>
    <w:p w:rsidR="00733B03" w:rsidRPr="00BD6798" w:rsidRDefault="00733B03" w:rsidP="006271ED">
      <w:pPr>
        <w:pStyle w:val="Prrafodelista"/>
        <w:spacing w:line="360" w:lineRule="auto"/>
        <w:ind w:left="1429"/>
        <w:rPr>
          <w:rFonts w:ascii="Garamond" w:hAnsi="Garamond" w:cs="Arial"/>
          <w:sz w:val="28"/>
          <w:szCs w:val="28"/>
        </w:rPr>
      </w:pPr>
    </w:p>
    <w:p w:rsidR="004F5D65" w:rsidRPr="00BD6798" w:rsidRDefault="00A30C3A" w:rsidP="006271ED">
      <w:pPr>
        <w:pStyle w:val="Prrafodelista"/>
        <w:numPr>
          <w:ilvl w:val="1"/>
          <w:numId w:val="4"/>
        </w:numPr>
        <w:spacing w:line="360" w:lineRule="auto"/>
        <w:ind w:left="1429"/>
        <w:rPr>
          <w:rFonts w:ascii="Garamond" w:hAnsi="Garamond" w:cs="Arial"/>
          <w:sz w:val="28"/>
          <w:szCs w:val="28"/>
        </w:rPr>
      </w:pPr>
      <w:r w:rsidRPr="008461F1">
        <w:rPr>
          <w:rFonts w:ascii="Garamond" w:hAnsi="Garamond" w:cs="Arial"/>
          <w:b/>
          <w:sz w:val="28"/>
          <w:szCs w:val="28"/>
          <w:u w:val="single"/>
        </w:rPr>
        <w:t>Indicación N° 71</w:t>
      </w:r>
      <w:r w:rsidRPr="00BD6798">
        <w:rPr>
          <w:rFonts w:ascii="Garamond" w:hAnsi="Garamond" w:cs="Arial"/>
          <w:sz w:val="28"/>
          <w:szCs w:val="28"/>
        </w:rPr>
        <w:t xml:space="preserve"> de Girardi</w:t>
      </w:r>
      <w:r w:rsidR="00901E12" w:rsidRPr="00BD6798">
        <w:rPr>
          <w:rFonts w:ascii="Garamond" w:hAnsi="Garamond" w:cs="Arial"/>
          <w:sz w:val="28"/>
          <w:szCs w:val="28"/>
        </w:rPr>
        <w:t xml:space="preserve"> agrega un articulo 129 F para que las </w:t>
      </w:r>
      <w:r w:rsidR="008461F1">
        <w:rPr>
          <w:rFonts w:ascii="Garamond" w:hAnsi="Garamond" w:cs="Arial"/>
          <w:sz w:val="28"/>
          <w:szCs w:val="28"/>
        </w:rPr>
        <w:t>farmacias</w:t>
      </w:r>
      <w:r w:rsidR="00901E12" w:rsidRPr="00BD6798">
        <w:rPr>
          <w:rFonts w:ascii="Garamond" w:hAnsi="Garamond" w:cs="Arial"/>
          <w:sz w:val="28"/>
          <w:szCs w:val="28"/>
        </w:rPr>
        <w:t xml:space="preserve"> </w:t>
      </w:r>
      <w:r w:rsidR="00901E12" w:rsidRPr="00733B03">
        <w:rPr>
          <w:rFonts w:ascii="Garamond" w:hAnsi="Garamond" w:cs="Arial"/>
          <w:b/>
          <w:sz w:val="28"/>
          <w:szCs w:val="28"/>
          <w:u w:val="single"/>
        </w:rPr>
        <w:t>informen de sus precios</w:t>
      </w:r>
      <w:r w:rsidR="00901E12" w:rsidRPr="00BD6798">
        <w:rPr>
          <w:rFonts w:ascii="Garamond" w:hAnsi="Garamond" w:cs="Arial"/>
          <w:sz w:val="28"/>
          <w:szCs w:val="28"/>
        </w:rPr>
        <w:t xml:space="preserve">, los cuales deberán ser publicados en la web por el ISP. </w:t>
      </w:r>
    </w:p>
    <w:p w:rsidR="004F5D65" w:rsidRPr="00BD6798" w:rsidRDefault="008461F1" w:rsidP="006271ED">
      <w:pPr>
        <w:pStyle w:val="Prrafodelista"/>
        <w:spacing w:line="360" w:lineRule="auto"/>
        <w:ind w:left="1440"/>
        <w:rPr>
          <w:rFonts w:ascii="Garamond" w:hAnsi="Garamond" w:cs="Arial"/>
          <w:sz w:val="28"/>
          <w:szCs w:val="28"/>
        </w:rPr>
      </w:pPr>
      <w:r w:rsidRPr="00BD6798">
        <w:rPr>
          <w:rFonts w:ascii="Garamond" w:hAnsi="Garamond" w:cs="Arial"/>
          <w:sz w:val="28"/>
          <w:szCs w:val="28"/>
        </w:rPr>
        <w:t>De acuerdo con</w:t>
      </w:r>
      <w:r w:rsidR="004F5D65" w:rsidRPr="00BD6798">
        <w:rPr>
          <w:rFonts w:ascii="Garamond" w:hAnsi="Garamond" w:cs="Arial"/>
          <w:sz w:val="28"/>
          <w:szCs w:val="28"/>
        </w:rPr>
        <w:t xml:space="preserve"> esto las farmacias deberán proveer la información actualizada de los precios y descuentos de productos farmacéuticos que se encuentren disponibles para su venta, expendio o administración, incluidas las ofertas esporádicas.</w:t>
      </w:r>
    </w:p>
    <w:p w:rsidR="004F5D65" w:rsidRPr="00BD6798" w:rsidRDefault="004F5D65" w:rsidP="006271ED">
      <w:pPr>
        <w:pStyle w:val="Prrafodelista"/>
        <w:spacing w:line="360" w:lineRule="auto"/>
        <w:ind w:left="1440"/>
        <w:rPr>
          <w:rFonts w:ascii="Garamond" w:hAnsi="Garamond" w:cs="Arial"/>
          <w:sz w:val="28"/>
          <w:szCs w:val="28"/>
        </w:rPr>
      </w:pPr>
      <w:r w:rsidRPr="00BD6798">
        <w:rPr>
          <w:rFonts w:ascii="Garamond" w:hAnsi="Garamond" w:cs="Arial"/>
          <w:sz w:val="28"/>
          <w:szCs w:val="28"/>
        </w:rPr>
        <w:t xml:space="preserve">La </w:t>
      </w:r>
      <w:r w:rsidRPr="00733B03">
        <w:rPr>
          <w:rFonts w:ascii="Garamond" w:hAnsi="Garamond" w:cs="Arial"/>
          <w:b/>
          <w:sz w:val="28"/>
          <w:szCs w:val="28"/>
          <w:u w:val="single"/>
        </w:rPr>
        <w:t xml:space="preserve">derecha se abstuvo </w:t>
      </w:r>
      <w:r w:rsidR="008461F1" w:rsidRPr="00733B03">
        <w:rPr>
          <w:rFonts w:ascii="Garamond" w:hAnsi="Garamond" w:cs="Arial"/>
          <w:b/>
          <w:sz w:val="28"/>
          <w:szCs w:val="28"/>
          <w:u w:val="single"/>
        </w:rPr>
        <w:t>porque estimó</w:t>
      </w:r>
      <w:r w:rsidRPr="00733B03">
        <w:rPr>
          <w:rFonts w:ascii="Garamond" w:hAnsi="Garamond" w:cs="Arial"/>
          <w:b/>
          <w:sz w:val="28"/>
          <w:szCs w:val="28"/>
          <w:u w:val="single"/>
        </w:rPr>
        <w:t xml:space="preserve"> excesivo sumar la intervención</w:t>
      </w:r>
      <w:r w:rsidRPr="00BD6798">
        <w:rPr>
          <w:rFonts w:ascii="Garamond" w:hAnsi="Garamond" w:cs="Arial"/>
          <w:sz w:val="28"/>
          <w:szCs w:val="28"/>
        </w:rPr>
        <w:t xml:space="preserve"> del Ministerio de Salud y del Instituto de Salud Pública, dada la abundante legislación que actualmente rige el mercado de los medicamentos. Sin embargo, consideró apropiado acudir a la protección de las normas sobre libre competencia, en resguardo de los consumidores. El ISP no tiene la competencia técnica para hacer investigaciones de mercado.</w:t>
      </w:r>
    </w:p>
    <w:p w:rsidR="004F5D65" w:rsidRPr="00BD6798" w:rsidRDefault="004F5D65" w:rsidP="008461F1">
      <w:pPr>
        <w:pStyle w:val="Prrafodelista"/>
        <w:spacing w:line="360" w:lineRule="auto"/>
        <w:ind w:left="1429"/>
        <w:rPr>
          <w:rFonts w:ascii="Garamond" w:hAnsi="Garamond" w:cs="Arial"/>
          <w:sz w:val="28"/>
          <w:szCs w:val="28"/>
        </w:rPr>
      </w:pPr>
    </w:p>
    <w:p w:rsidR="004F5D65" w:rsidRPr="00BD6798" w:rsidRDefault="004F5D65" w:rsidP="006271ED">
      <w:pPr>
        <w:pStyle w:val="Prrafodelista"/>
        <w:spacing w:line="360" w:lineRule="auto"/>
        <w:ind w:left="1440"/>
        <w:rPr>
          <w:rFonts w:ascii="Garamond" w:hAnsi="Garamond" w:cs="Arial"/>
          <w:sz w:val="28"/>
          <w:szCs w:val="28"/>
        </w:rPr>
      </w:pPr>
    </w:p>
    <w:p w:rsidR="00A30C3A" w:rsidRPr="00BD6798" w:rsidRDefault="00901E12" w:rsidP="006271ED">
      <w:pPr>
        <w:pStyle w:val="Prrafodelista"/>
        <w:spacing w:line="360" w:lineRule="auto"/>
        <w:ind w:left="1429"/>
        <w:rPr>
          <w:rFonts w:ascii="Garamond" w:hAnsi="Garamond" w:cs="Arial"/>
          <w:sz w:val="28"/>
          <w:szCs w:val="28"/>
        </w:rPr>
      </w:pPr>
      <w:r w:rsidRPr="00BD6798">
        <w:rPr>
          <w:rFonts w:ascii="Garamond" w:hAnsi="Garamond" w:cs="Arial"/>
          <w:sz w:val="28"/>
          <w:szCs w:val="28"/>
        </w:rPr>
        <w:t xml:space="preserve"> </w:t>
      </w:r>
    </w:p>
    <w:p w:rsidR="0088559F" w:rsidRPr="00BD6798" w:rsidRDefault="0088559F" w:rsidP="006271ED">
      <w:pPr>
        <w:pStyle w:val="Prrafodelista"/>
        <w:spacing w:line="360" w:lineRule="auto"/>
        <w:ind w:left="1429"/>
        <w:rPr>
          <w:rFonts w:ascii="Garamond" w:hAnsi="Garamond" w:cs="Arial"/>
          <w:sz w:val="28"/>
          <w:szCs w:val="28"/>
        </w:rPr>
      </w:pPr>
    </w:p>
    <w:p w:rsidR="00AE6656" w:rsidRPr="00BD6798" w:rsidRDefault="00AE6656" w:rsidP="006271ED">
      <w:pPr>
        <w:pStyle w:val="Prrafodelista"/>
        <w:tabs>
          <w:tab w:val="left" w:pos="4820"/>
        </w:tabs>
        <w:spacing w:line="360" w:lineRule="auto"/>
        <w:ind w:left="1429"/>
        <w:rPr>
          <w:rFonts w:ascii="Garamond" w:hAnsi="Garamond" w:cs="Arial"/>
          <w:sz w:val="28"/>
          <w:szCs w:val="28"/>
          <w:lang w:val="es-MX"/>
        </w:rPr>
      </w:pPr>
    </w:p>
    <w:p w:rsidR="00AA0BB0" w:rsidRPr="00BD6798" w:rsidRDefault="00AA0BB0" w:rsidP="006271ED">
      <w:pPr>
        <w:pStyle w:val="Prrafodelista"/>
        <w:spacing w:line="360" w:lineRule="auto"/>
        <w:ind w:left="1429"/>
        <w:rPr>
          <w:rFonts w:ascii="Garamond" w:hAnsi="Garamond" w:cs="Arial"/>
          <w:sz w:val="28"/>
          <w:szCs w:val="28"/>
        </w:rPr>
      </w:pPr>
    </w:p>
    <w:p w:rsidR="00AA0BB0" w:rsidRPr="00BD6798" w:rsidRDefault="00AA0BB0" w:rsidP="006271ED">
      <w:pPr>
        <w:pStyle w:val="Prrafodelista"/>
        <w:tabs>
          <w:tab w:val="left" w:pos="4820"/>
        </w:tabs>
        <w:spacing w:line="360" w:lineRule="auto"/>
        <w:ind w:left="1429"/>
        <w:rPr>
          <w:rFonts w:ascii="Garamond" w:hAnsi="Garamond" w:cs="Arial"/>
          <w:sz w:val="28"/>
          <w:szCs w:val="28"/>
          <w:lang w:val="es-MX"/>
        </w:rPr>
      </w:pPr>
    </w:p>
    <w:p w:rsidR="008751FC" w:rsidRPr="00BD6798" w:rsidRDefault="008751FC" w:rsidP="006271ED">
      <w:pPr>
        <w:pStyle w:val="Prrafodelista"/>
        <w:tabs>
          <w:tab w:val="left" w:pos="4820"/>
        </w:tabs>
        <w:spacing w:line="360" w:lineRule="auto"/>
        <w:ind w:left="1429"/>
        <w:rPr>
          <w:rFonts w:ascii="Garamond" w:hAnsi="Garamond" w:cs="Arial"/>
          <w:sz w:val="28"/>
          <w:szCs w:val="28"/>
          <w:lang w:val="es-MX"/>
        </w:rPr>
      </w:pPr>
    </w:p>
    <w:p w:rsidR="009E3C83" w:rsidRPr="00BD6798" w:rsidRDefault="009E3C83" w:rsidP="006271ED">
      <w:pPr>
        <w:pStyle w:val="Prrafodelista"/>
        <w:tabs>
          <w:tab w:val="left" w:pos="4820"/>
        </w:tabs>
        <w:spacing w:line="360" w:lineRule="auto"/>
        <w:ind w:left="1429"/>
        <w:rPr>
          <w:rFonts w:ascii="Garamond" w:hAnsi="Garamond" w:cs="Arial"/>
          <w:sz w:val="28"/>
          <w:szCs w:val="28"/>
          <w:lang w:val="es-MX"/>
        </w:rPr>
      </w:pPr>
    </w:p>
    <w:p w:rsidR="009E3C83" w:rsidRPr="00BD6798" w:rsidRDefault="009E3C83" w:rsidP="006271ED">
      <w:pPr>
        <w:pStyle w:val="Prrafodelista"/>
        <w:tabs>
          <w:tab w:val="left" w:pos="4820"/>
        </w:tabs>
        <w:spacing w:line="360" w:lineRule="auto"/>
        <w:ind w:left="1429"/>
        <w:rPr>
          <w:rFonts w:ascii="Garamond" w:hAnsi="Garamond" w:cs="Arial"/>
          <w:sz w:val="28"/>
          <w:szCs w:val="28"/>
          <w:lang w:val="es-MX"/>
        </w:rPr>
      </w:pPr>
    </w:p>
    <w:p w:rsidR="00BC70A7" w:rsidRPr="00BD6798" w:rsidRDefault="00BC70A7" w:rsidP="006271ED">
      <w:pPr>
        <w:pStyle w:val="Prrafodelista"/>
        <w:tabs>
          <w:tab w:val="left" w:pos="4820"/>
        </w:tabs>
        <w:spacing w:line="360" w:lineRule="auto"/>
        <w:ind w:left="1080"/>
        <w:rPr>
          <w:rFonts w:ascii="Garamond" w:hAnsi="Garamond" w:cs="Arial"/>
          <w:sz w:val="28"/>
          <w:szCs w:val="28"/>
          <w:lang w:val="es-MX"/>
        </w:rPr>
      </w:pPr>
    </w:p>
    <w:p w:rsidR="00BC70A7" w:rsidRPr="00BD6798" w:rsidRDefault="00BC70A7" w:rsidP="006271ED">
      <w:pPr>
        <w:pStyle w:val="Prrafodelista"/>
        <w:spacing w:line="360" w:lineRule="auto"/>
        <w:ind w:left="1800"/>
        <w:rPr>
          <w:rFonts w:ascii="Garamond" w:hAnsi="Garamond"/>
          <w:sz w:val="28"/>
          <w:szCs w:val="28"/>
        </w:rPr>
      </w:pPr>
    </w:p>
    <w:sectPr w:rsidR="00BC70A7" w:rsidRPr="00BD6798" w:rsidSect="00063708">
      <w:headerReference w:type="default" r:id="rId14"/>
      <w:footerReference w:type="default" r:id="rId15"/>
      <w:pgSz w:w="12240" w:h="18720"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EE" w:rsidRDefault="00EE0AEE" w:rsidP="00490F32">
      <w:pPr>
        <w:spacing w:after="0" w:line="240" w:lineRule="auto"/>
      </w:pPr>
      <w:r>
        <w:separator/>
      </w:r>
    </w:p>
  </w:endnote>
  <w:endnote w:type="continuationSeparator" w:id="0">
    <w:p w:rsidR="00EE0AEE" w:rsidRDefault="00EE0AEE" w:rsidP="004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48505"/>
      <w:docPartObj>
        <w:docPartGallery w:val="Page Numbers (Bottom of Page)"/>
        <w:docPartUnique/>
      </w:docPartObj>
    </w:sdtPr>
    <w:sdtContent>
      <w:sdt>
        <w:sdtPr>
          <w:id w:val="1728636285"/>
          <w:docPartObj>
            <w:docPartGallery w:val="Page Numbers (Top of Page)"/>
            <w:docPartUnique/>
          </w:docPartObj>
        </w:sdtPr>
        <w:sdtContent>
          <w:p w:rsidR="006271ED" w:rsidRDefault="006271ED">
            <w:pPr>
              <w:pStyle w:val="Piedepgina"/>
              <w:jc w:val="center"/>
            </w:pPr>
            <w:r w:rsidRPr="00490F32">
              <w:rPr>
                <w:color w:val="808080" w:themeColor="background1" w:themeShade="80"/>
                <w:sz w:val="18"/>
                <w:lang w:val="es-ES"/>
              </w:rPr>
              <w:t xml:space="preserve">Página </w:t>
            </w:r>
            <w:r w:rsidRPr="00490F32">
              <w:rPr>
                <w:b/>
                <w:bCs/>
                <w:color w:val="808080" w:themeColor="background1" w:themeShade="80"/>
                <w:sz w:val="20"/>
                <w:szCs w:val="24"/>
              </w:rPr>
              <w:fldChar w:fldCharType="begin"/>
            </w:r>
            <w:r w:rsidRPr="00490F32">
              <w:rPr>
                <w:b/>
                <w:bCs/>
                <w:color w:val="808080" w:themeColor="background1" w:themeShade="80"/>
                <w:sz w:val="18"/>
              </w:rPr>
              <w:instrText>PAGE</w:instrText>
            </w:r>
            <w:r w:rsidRPr="00490F32">
              <w:rPr>
                <w:b/>
                <w:bCs/>
                <w:color w:val="808080" w:themeColor="background1" w:themeShade="80"/>
                <w:sz w:val="20"/>
                <w:szCs w:val="24"/>
              </w:rPr>
              <w:fldChar w:fldCharType="separate"/>
            </w:r>
            <w:r w:rsidR="00733B03">
              <w:rPr>
                <w:b/>
                <w:bCs/>
                <w:noProof/>
                <w:color w:val="808080" w:themeColor="background1" w:themeShade="80"/>
                <w:sz w:val="18"/>
              </w:rPr>
              <w:t>5</w:t>
            </w:r>
            <w:r w:rsidRPr="00490F32">
              <w:rPr>
                <w:b/>
                <w:bCs/>
                <w:color w:val="808080" w:themeColor="background1" w:themeShade="80"/>
                <w:sz w:val="20"/>
                <w:szCs w:val="24"/>
              </w:rPr>
              <w:fldChar w:fldCharType="end"/>
            </w:r>
            <w:r w:rsidRPr="00490F32">
              <w:rPr>
                <w:color w:val="808080" w:themeColor="background1" w:themeShade="80"/>
                <w:sz w:val="18"/>
                <w:lang w:val="es-ES"/>
              </w:rPr>
              <w:t xml:space="preserve"> de </w:t>
            </w:r>
            <w:r w:rsidRPr="00490F32">
              <w:rPr>
                <w:b/>
                <w:bCs/>
                <w:color w:val="808080" w:themeColor="background1" w:themeShade="80"/>
                <w:sz w:val="20"/>
                <w:szCs w:val="24"/>
              </w:rPr>
              <w:fldChar w:fldCharType="begin"/>
            </w:r>
            <w:r w:rsidRPr="00490F32">
              <w:rPr>
                <w:b/>
                <w:bCs/>
                <w:color w:val="808080" w:themeColor="background1" w:themeShade="80"/>
                <w:sz w:val="18"/>
              </w:rPr>
              <w:instrText>NUMPAGES</w:instrText>
            </w:r>
            <w:r w:rsidRPr="00490F32">
              <w:rPr>
                <w:b/>
                <w:bCs/>
                <w:color w:val="808080" w:themeColor="background1" w:themeShade="80"/>
                <w:sz w:val="20"/>
                <w:szCs w:val="24"/>
              </w:rPr>
              <w:fldChar w:fldCharType="separate"/>
            </w:r>
            <w:r w:rsidR="00733B03">
              <w:rPr>
                <w:b/>
                <w:bCs/>
                <w:noProof/>
                <w:color w:val="808080" w:themeColor="background1" w:themeShade="80"/>
                <w:sz w:val="18"/>
              </w:rPr>
              <w:t>9</w:t>
            </w:r>
            <w:r w:rsidRPr="00490F32">
              <w:rPr>
                <w:b/>
                <w:bCs/>
                <w:color w:val="808080" w:themeColor="background1" w:themeShade="80"/>
                <w:sz w:val="20"/>
                <w:szCs w:val="24"/>
              </w:rPr>
              <w:fldChar w:fldCharType="end"/>
            </w:r>
          </w:p>
        </w:sdtContent>
      </w:sdt>
    </w:sdtContent>
  </w:sdt>
  <w:p w:rsidR="006271ED" w:rsidRDefault="006271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EE" w:rsidRDefault="00EE0AEE" w:rsidP="00490F32">
      <w:pPr>
        <w:spacing w:after="0" w:line="240" w:lineRule="auto"/>
      </w:pPr>
      <w:r>
        <w:separator/>
      </w:r>
    </w:p>
  </w:footnote>
  <w:footnote w:type="continuationSeparator" w:id="0">
    <w:p w:rsidR="00EE0AEE" w:rsidRDefault="00EE0AEE" w:rsidP="0049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1ED" w:rsidRPr="00675BB2" w:rsidRDefault="006271ED" w:rsidP="00675BB2">
    <w:pPr>
      <w:pStyle w:val="Encabezado"/>
      <w:jc w:val="right"/>
      <w:rPr>
        <w:color w:val="767171" w:themeColor="background2" w:themeShade="80"/>
        <w:sz w:val="16"/>
      </w:rPr>
    </w:pPr>
    <w:r w:rsidRPr="00675BB2">
      <w:rPr>
        <w:color w:val="767171" w:themeColor="background2" w:themeShade="80"/>
        <w:sz w:val="16"/>
      </w:rPr>
      <w:t>12 de julio de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5F9"/>
    <w:multiLevelType w:val="hybridMultilevel"/>
    <w:tmpl w:val="F7A895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AEE77F7"/>
    <w:multiLevelType w:val="hybridMultilevel"/>
    <w:tmpl w:val="1268884E"/>
    <w:lvl w:ilvl="0" w:tplc="C122CD9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EF0361D"/>
    <w:multiLevelType w:val="hybridMultilevel"/>
    <w:tmpl w:val="B6EC23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0935E28"/>
    <w:multiLevelType w:val="hybridMultilevel"/>
    <w:tmpl w:val="BD6671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D9F73B9"/>
    <w:multiLevelType w:val="hybridMultilevel"/>
    <w:tmpl w:val="A2229634"/>
    <w:lvl w:ilvl="0" w:tplc="8946E270">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16B1F86"/>
    <w:multiLevelType w:val="hybridMultilevel"/>
    <w:tmpl w:val="237E0B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63D36FDB"/>
    <w:multiLevelType w:val="hybridMultilevel"/>
    <w:tmpl w:val="A290E244"/>
    <w:lvl w:ilvl="0" w:tplc="2BD87F22">
      <w:start w:val="1"/>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B3353F6"/>
    <w:multiLevelType w:val="hybridMultilevel"/>
    <w:tmpl w:val="F09045B8"/>
    <w:lvl w:ilvl="0" w:tplc="4FD634E8">
      <w:start w:val="1"/>
      <w:numFmt w:val="lowerRoman"/>
      <w:lvlText w:val="%1)"/>
      <w:lvlJc w:val="left"/>
      <w:pPr>
        <w:ind w:left="1080" w:hanging="720"/>
      </w:pPr>
      <w:rPr>
        <w:rFonts w:hint="default"/>
      </w:rPr>
    </w:lvl>
    <w:lvl w:ilvl="1" w:tplc="340A0019">
      <w:start w:val="1"/>
      <w:numFmt w:val="lowerLetter"/>
      <w:lvlText w:val="%2."/>
      <w:lvlJc w:val="left"/>
      <w:pPr>
        <w:ind w:left="1069"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32"/>
    <w:rsid w:val="00035A4A"/>
    <w:rsid w:val="000430E6"/>
    <w:rsid w:val="00063708"/>
    <w:rsid w:val="00070CE3"/>
    <w:rsid w:val="00077792"/>
    <w:rsid w:val="000C2630"/>
    <w:rsid w:val="000E7B38"/>
    <w:rsid w:val="00131248"/>
    <w:rsid w:val="001A022F"/>
    <w:rsid w:val="001F3EA8"/>
    <w:rsid w:val="00204540"/>
    <w:rsid w:val="00285AE4"/>
    <w:rsid w:val="00317320"/>
    <w:rsid w:val="00330201"/>
    <w:rsid w:val="00392F35"/>
    <w:rsid w:val="003F71B9"/>
    <w:rsid w:val="003F7ED7"/>
    <w:rsid w:val="004138F9"/>
    <w:rsid w:val="0043428A"/>
    <w:rsid w:val="00462EBB"/>
    <w:rsid w:val="00490F32"/>
    <w:rsid w:val="004F5D65"/>
    <w:rsid w:val="00512B5F"/>
    <w:rsid w:val="00544BC4"/>
    <w:rsid w:val="00595A10"/>
    <w:rsid w:val="006271ED"/>
    <w:rsid w:val="00675BB2"/>
    <w:rsid w:val="006767E4"/>
    <w:rsid w:val="00713ACA"/>
    <w:rsid w:val="00733B03"/>
    <w:rsid w:val="007354BF"/>
    <w:rsid w:val="00796358"/>
    <w:rsid w:val="007F0A2E"/>
    <w:rsid w:val="007F78A7"/>
    <w:rsid w:val="00836EA5"/>
    <w:rsid w:val="008461F1"/>
    <w:rsid w:val="008751FC"/>
    <w:rsid w:val="0088559F"/>
    <w:rsid w:val="0090142B"/>
    <w:rsid w:val="00901E12"/>
    <w:rsid w:val="00904D30"/>
    <w:rsid w:val="00914351"/>
    <w:rsid w:val="00923911"/>
    <w:rsid w:val="00944490"/>
    <w:rsid w:val="009E032D"/>
    <w:rsid w:val="009E3C83"/>
    <w:rsid w:val="00A159D0"/>
    <w:rsid w:val="00A30C3A"/>
    <w:rsid w:val="00A61A9D"/>
    <w:rsid w:val="00AA0BB0"/>
    <w:rsid w:val="00AA132F"/>
    <w:rsid w:val="00AE6656"/>
    <w:rsid w:val="00B65632"/>
    <w:rsid w:val="00BC6B68"/>
    <w:rsid w:val="00BC70A7"/>
    <w:rsid w:val="00BD6798"/>
    <w:rsid w:val="00C2039C"/>
    <w:rsid w:val="00C25BA0"/>
    <w:rsid w:val="00D04937"/>
    <w:rsid w:val="00D11E4B"/>
    <w:rsid w:val="00D120AD"/>
    <w:rsid w:val="00D60BA3"/>
    <w:rsid w:val="00DA572E"/>
    <w:rsid w:val="00DE0A7E"/>
    <w:rsid w:val="00DF34D4"/>
    <w:rsid w:val="00E91279"/>
    <w:rsid w:val="00EE0AEE"/>
    <w:rsid w:val="00F47879"/>
    <w:rsid w:val="00FA2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9177"/>
  <w15:docId w15:val="{2EA16F63-C02B-492D-BC93-70ACF265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4B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BC4"/>
    <w:rPr>
      <w:rFonts w:ascii="Segoe UI" w:hAnsi="Segoe UI" w:cs="Segoe UI"/>
      <w:sz w:val="18"/>
      <w:szCs w:val="18"/>
    </w:rPr>
  </w:style>
  <w:style w:type="paragraph" w:styleId="Encabezado">
    <w:name w:val="header"/>
    <w:basedOn w:val="Normal"/>
    <w:link w:val="EncabezadoCar"/>
    <w:uiPriority w:val="99"/>
    <w:unhideWhenUsed/>
    <w:rsid w:val="00490F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F32"/>
  </w:style>
  <w:style w:type="paragraph" w:styleId="Piedepgina">
    <w:name w:val="footer"/>
    <w:basedOn w:val="Normal"/>
    <w:link w:val="PiedepginaCar"/>
    <w:uiPriority w:val="99"/>
    <w:unhideWhenUsed/>
    <w:rsid w:val="00490F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F32"/>
  </w:style>
  <w:style w:type="paragraph" w:styleId="Prrafodelista">
    <w:name w:val="List Paragraph"/>
    <w:basedOn w:val="Normal"/>
    <w:uiPriority w:val="34"/>
    <w:qFormat/>
    <w:rsid w:val="00DA572E"/>
    <w:pPr>
      <w:ind w:left="720"/>
      <w:contextualSpacing/>
    </w:pPr>
  </w:style>
  <w:style w:type="table" w:styleId="Tablaconcuadrcula">
    <w:name w:val="Table Grid"/>
    <w:basedOn w:val="Tablanormal"/>
    <w:uiPriority w:val="39"/>
    <w:rsid w:val="0020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96201">
      <w:bodyDiv w:val="1"/>
      <w:marLeft w:val="0"/>
      <w:marRight w:val="0"/>
      <w:marTop w:val="0"/>
      <w:marBottom w:val="0"/>
      <w:divBdr>
        <w:top w:val="none" w:sz="0" w:space="0" w:color="auto"/>
        <w:left w:val="none" w:sz="0" w:space="0" w:color="auto"/>
        <w:bottom w:val="none" w:sz="0" w:space="0" w:color="auto"/>
        <w:right w:val="none" w:sz="0" w:space="0" w:color="auto"/>
      </w:divBdr>
    </w:div>
    <w:div w:id="1169828205">
      <w:bodyDiv w:val="1"/>
      <w:marLeft w:val="0"/>
      <w:marRight w:val="0"/>
      <w:marTop w:val="0"/>
      <w:marBottom w:val="0"/>
      <w:divBdr>
        <w:top w:val="none" w:sz="0" w:space="0" w:color="auto"/>
        <w:left w:val="none" w:sz="0" w:space="0" w:color="auto"/>
        <w:bottom w:val="none" w:sz="0" w:space="0" w:color="auto"/>
        <w:right w:val="none" w:sz="0" w:space="0" w:color="auto"/>
      </w:divBdr>
    </w:div>
    <w:div w:id="14076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F6906-0FA8-492F-A899-C762837C38B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s-ES"/>
        </a:p>
      </dgm:t>
    </dgm:pt>
    <dgm:pt modelId="{BC4691B7-C6A2-420C-91CF-6D7CEE51638D}">
      <dgm:prSet phldrT="[Texto]" custT="1"/>
      <dgm:spPr/>
      <dgm:t>
        <a:bodyPr/>
        <a:lstStyle/>
        <a:p>
          <a:pPr algn="ctr"/>
          <a:r>
            <a:rPr lang="es-ES" sz="1100" dirty="0"/>
            <a:t>Uso racional de medicamentos</a:t>
          </a:r>
        </a:p>
      </dgm:t>
    </dgm:pt>
    <dgm:pt modelId="{24C7A3E5-79EF-4734-B730-FDF6C5AE783E}" type="parTrans" cxnId="{AC58479A-C58A-48F5-B009-E0FA769B2300}">
      <dgm:prSet/>
      <dgm:spPr/>
      <dgm:t>
        <a:bodyPr/>
        <a:lstStyle/>
        <a:p>
          <a:pPr algn="ctr"/>
          <a:endParaRPr lang="es-ES" sz="1100"/>
        </a:p>
      </dgm:t>
    </dgm:pt>
    <dgm:pt modelId="{CE92D4E8-6B0C-4636-B94F-4ABDA58E7909}" type="sibTrans" cxnId="{AC58479A-C58A-48F5-B009-E0FA769B2300}">
      <dgm:prSet custT="1"/>
      <dgm:spPr/>
      <dgm:t>
        <a:bodyPr/>
        <a:lstStyle/>
        <a:p>
          <a:pPr algn="ctr"/>
          <a:endParaRPr lang="es-ES" sz="1100"/>
        </a:p>
      </dgm:t>
    </dgm:pt>
    <dgm:pt modelId="{123F24C6-4400-4E9B-B693-B0C2AA45ACB6}">
      <dgm:prSet phldrT="[Texto]" custT="1"/>
      <dgm:spPr>
        <a:solidFill>
          <a:schemeClr val="accent6"/>
        </a:solidFill>
      </dgm:spPr>
      <dgm:t>
        <a:bodyPr/>
        <a:lstStyle/>
        <a:p>
          <a:pPr algn="ctr"/>
          <a:r>
            <a:rPr lang="es-ES" sz="1100" dirty="0"/>
            <a:t>Mayor acceso a medicamentos</a:t>
          </a:r>
        </a:p>
      </dgm:t>
    </dgm:pt>
    <dgm:pt modelId="{59932A19-8D63-4C0D-9211-21C0669E7162}" type="parTrans" cxnId="{A421749B-50E1-413A-82AB-749DCA8EB16C}">
      <dgm:prSet/>
      <dgm:spPr/>
      <dgm:t>
        <a:bodyPr/>
        <a:lstStyle/>
        <a:p>
          <a:pPr algn="ctr"/>
          <a:endParaRPr lang="es-ES" sz="1100"/>
        </a:p>
      </dgm:t>
    </dgm:pt>
    <dgm:pt modelId="{71B73718-B59D-4326-885A-4B21F69A4102}" type="sibTrans" cxnId="{A421749B-50E1-413A-82AB-749DCA8EB16C}">
      <dgm:prSet/>
      <dgm:spPr/>
      <dgm:t>
        <a:bodyPr/>
        <a:lstStyle/>
        <a:p>
          <a:pPr algn="ctr"/>
          <a:endParaRPr lang="es-ES" sz="1100"/>
        </a:p>
      </dgm:t>
    </dgm:pt>
    <dgm:pt modelId="{81C5FFA1-1B70-4B69-818C-299D8595E660}">
      <dgm:prSet phldrT="[Texto]" custT="1"/>
      <dgm:spPr/>
      <dgm:t>
        <a:bodyPr/>
        <a:lstStyle/>
        <a:p>
          <a:pPr algn="ctr"/>
          <a:r>
            <a:rPr lang="es-ES" sz="1100" dirty="0"/>
            <a:t>Seguridad de medicación</a:t>
          </a:r>
        </a:p>
      </dgm:t>
    </dgm:pt>
    <dgm:pt modelId="{150A260C-E82A-44E3-A554-6BA10D1CF946}" type="parTrans" cxnId="{87C7BF0E-4754-429C-BB37-9D9B8F9A51E9}">
      <dgm:prSet/>
      <dgm:spPr/>
      <dgm:t>
        <a:bodyPr/>
        <a:lstStyle/>
        <a:p>
          <a:pPr algn="ctr"/>
          <a:endParaRPr lang="es-ES" sz="1100"/>
        </a:p>
      </dgm:t>
    </dgm:pt>
    <dgm:pt modelId="{2EF24B8D-4E16-449C-9A9A-C7CA9387D0EA}" type="sibTrans" cxnId="{87C7BF0E-4754-429C-BB37-9D9B8F9A51E9}">
      <dgm:prSet custT="1"/>
      <dgm:spPr/>
      <dgm:t>
        <a:bodyPr/>
        <a:lstStyle/>
        <a:p>
          <a:pPr algn="ctr"/>
          <a:endParaRPr lang="es-ES" sz="1100"/>
        </a:p>
      </dgm:t>
    </dgm:pt>
    <dgm:pt modelId="{AA4407CD-153B-4445-BF0B-827C5568BB57}">
      <dgm:prSet phldrT="[Texto]" custT="1"/>
      <dgm:spPr/>
      <dgm:t>
        <a:bodyPr/>
        <a:lstStyle/>
        <a:p>
          <a:pPr algn="ctr"/>
          <a:r>
            <a:rPr lang="es-ES" sz="1100" dirty="0"/>
            <a:t>Transparencia del mercado</a:t>
          </a:r>
        </a:p>
      </dgm:t>
    </dgm:pt>
    <dgm:pt modelId="{5C1251C5-6D50-402D-8347-48FCA3E28BD8}" type="parTrans" cxnId="{F320B532-F681-4D8E-A025-8AC825E824C1}">
      <dgm:prSet/>
      <dgm:spPr/>
      <dgm:t>
        <a:bodyPr/>
        <a:lstStyle/>
        <a:p>
          <a:pPr algn="ctr"/>
          <a:endParaRPr lang="es-ES" sz="1100"/>
        </a:p>
      </dgm:t>
    </dgm:pt>
    <dgm:pt modelId="{F9AB4E8E-34A6-485F-9674-606B62AD6C7E}" type="sibTrans" cxnId="{F320B532-F681-4D8E-A025-8AC825E824C1}">
      <dgm:prSet custT="1"/>
      <dgm:spPr/>
      <dgm:t>
        <a:bodyPr/>
        <a:lstStyle/>
        <a:p>
          <a:pPr algn="ctr"/>
          <a:endParaRPr lang="es-ES" sz="1100"/>
        </a:p>
      </dgm:t>
    </dgm:pt>
    <dgm:pt modelId="{53FA3118-F9F8-4581-A3A7-8D3A042CA7BA}">
      <dgm:prSet phldrT="[Texto]" custT="1"/>
      <dgm:spPr/>
      <dgm:t>
        <a:bodyPr/>
        <a:lstStyle/>
        <a:p>
          <a:pPr algn="ctr"/>
          <a:r>
            <a:rPr lang="es-ES" sz="1100" dirty="0"/>
            <a:t>Intercambiabilidad segura</a:t>
          </a:r>
        </a:p>
      </dgm:t>
    </dgm:pt>
    <dgm:pt modelId="{5F14BF0A-442F-4868-9537-51582257E9E1}" type="parTrans" cxnId="{A6075D7C-922A-4482-9CBD-3562C4F5754C}">
      <dgm:prSet/>
      <dgm:spPr/>
      <dgm:t>
        <a:bodyPr/>
        <a:lstStyle/>
        <a:p>
          <a:pPr algn="ctr"/>
          <a:endParaRPr lang="es-ES" sz="1100"/>
        </a:p>
      </dgm:t>
    </dgm:pt>
    <dgm:pt modelId="{F99AC8DD-60D1-49EA-BB1A-0580DF126BC3}" type="sibTrans" cxnId="{A6075D7C-922A-4482-9CBD-3562C4F5754C}">
      <dgm:prSet custT="1"/>
      <dgm:spPr/>
      <dgm:t>
        <a:bodyPr/>
        <a:lstStyle/>
        <a:p>
          <a:pPr algn="ctr"/>
          <a:endParaRPr lang="es-ES" sz="1100"/>
        </a:p>
      </dgm:t>
    </dgm:pt>
    <dgm:pt modelId="{33A8FBDD-63ED-4218-9D36-F4118A2486B4}">
      <dgm:prSet phldrT="[Texto]" custT="1"/>
      <dgm:spPr/>
      <dgm:t>
        <a:bodyPr/>
        <a:lstStyle/>
        <a:p>
          <a:pPr algn="ctr"/>
          <a:r>
            <a:rPr lang="es-ES" sz="1100" dirty="0"/>
            <a:t>Mitigar asimetría de información</a:t>
          </a:r>
        </a:p>
      </dgm:t>
    </dgm:pt>
    <dgm:pt modelId="{425CAB90-C986-4E54-A78A-05C172414765}" type="parTrans" cxnId="{AB71251C-31CA-446E-A12F-0FA1ADA69AB4}">
      <dgm:prSet/>
      <dgm:spPr/>
      <dgm:t>
        <a:bodyPr/>
        <a:lstStyle/>
        <a:p>
          <a:pPr algn="ctr"/>
          <a:endParaRPr lang="es-ES" sz="1100"/>
        </a:p>
      </dgm:t>
    </dgm:pt>
    <dgm:pt modelId="{C1F6A61E-262C-4023-A0B9-C13D6925C202}" type="sibTrans" cxnId="{AB71251C-31CA-446E-A12F-0FA1ADA69AB4}">
      <dgm:prSet custT="1"/>
      <dgm:spPr/>
      <dgm:t>
        <a:bodyPr/>
        <a:lstStyle/>
        <a:p>
          <a:pPr algn="ctr"/>
          <a:endParaRPr lang="es-ES" sz="1100"/>
        </a:p>
      </dgm:t>
    </dgm:pt>
    <dgm:pt modelId="{7D55F7DE-3867-42B5-AC8C-FB6BCBADC7B5}">
      <dgm:prSet phldrT="[Texto]" custT="1"/>
      <dgm:spPr/>
      <dgm:t>
        <a:bodyPr/>
        <a:lstStyle/>
        <a:p>
          <a:pPr algn="ctr"/>
          <a:r>
            <a:rPr lang="es-ES" sz="1100" dirty="0"/>
            <a:t>Política de genéricos</a:t>
          </a:r>
        </a:p>
      </dgm:t>
    </dgm:pt>
    <dgm:pt modelId="{D57E7004-9781-4997-8987-41FBAF7131F8}" type="parTrans" cxnId="{582FC43E-52BB-48B3-A102-1464A4C05515}">
      <dgm:prSet/>
      <dgm:spPr/>
      <dgm:t>
        <a:bodyPr/>
        <a:lstStyle/>
        <a:p>
          <a:pPr algn="ctr"/>
          <a:endParaRPr lang="es-ES" sz="1100"/>
        </a:p>
      </dgm:t>
    </dgm:pt>
    <dgm:pt modelId="{EB7DE9F7-D2FC-487A-875B-3B5B0473257A}" type="sibTrans" cxnId="{582FC43E-52BB-48B3-A102-1464A4C05515}">
      <dgm:prSet custT="1"/>
      <dgm:spPr/>
      <dgm:t>
        <a:bodyPr/>
        <a:lstStyle/>
        <a:p>
          <a:pPr algn="ctr"/>
          <a:endParaRPr lang="es-ES" sz="1100"/>
        </a:p>
      </dgm:t>
    </dgm:pt>
    <dgm:pt modelId="{F1D240B1-88B4-4342-A772-22049DF8E0E3}">
      <dgm:prSet phldrT="[Texto]" custT="1"/>
      <dgm:spPr/>
      <dgm:t>
        <a:bodyPr/>
        <a:lstStyle/>
        <a:p>
          <a:pPr algn="ctr"/>
          <a:r>
            <a:rPr lang="es-ES" sz="1100" dirty="0"/>
            <a:t>Eliminar barreras administrativas</a:t>
          </a:r>
        </a:p>
      </dgm:t>
    </dgm:pt>
    <dgm:pt modelId="{0676C03F-3919-4C3A-AD7B-8235610D3711}" type="parTrans" cxnId="{20BD38B9-5FF2-4E3D-9A28-B2AEAB397E3E}">
      <dgm:prSet/>
      <dgm:spPr/>
      <dgm:t>
        <a:bodyPr/>
        <a:lstStyle/>
        <a:p>
          <a:pPr algn="ctr"/>
          <a:endParaRPr lang="es-ES" sz="1100"/>
        </a:p>
      </dgm:t>
    </dgm:pt>
    <dgm:pt modelId="{E8291D9E-DA7C-4BC9-AECA-865DC497F4F9}" type="sibTrans" cxnId="{20BD38B9-5FF2-4E3D-9A28-B2AEAB397E3E}">
      <dgm:prSet custT="1"/>
      <dgm:spPr/>
      <dgm:t>
        <a:bodyPr/>
        <a:lstStyle/>
        <a:p>
          <a:pPr algn="ctr"/>
          <a:endParaRPr lang="es-ES" sz="1100"/>
        </a:p>
      </dgm:t>
    </dgm:pt>
    <dgm:pt modelId="{CEA499EF-407E-4A53-84B9-0F427A745206}">
      <dgm:prSet phldrT="[Texto]" custT="1"/>
      <dgm:spPr/>
      <dgm:t>
        <a:bodyPr/>
        <a:lstStyle/>
        <a:p>
          <a:pPr algn="ctr"/>
          <a:r>
            <a:rPr lang="es-ES" sz="1100" dirty="0"/>
            <a:t>Información para el diseño  y evaluación de políticas públicas</a:t>
          </a:r>
        </a:p>
      </dgm:t>
    </dgm:pt>
    <dgm:pt modelId="{40357E05-283B-4168-9CAD-9441FC1CBB82}" type="parTrans" cxnId="{22F71720-E2B2-4418-B6BA-81AD6F7FA842}">
      <dgm:prSet/>
      <dgm:spPr/>
      <dgm:t>
        <a:bodyPr/>
        <a:lstStyle/>
        <a:p>
          <a:pPr algn="ctr"/>
          <a:endParaRPr lang="es-ES" sz="1100"/>
        </a:p>
      </dgm:t>
    </dgm:pt>
    <dgm:pt modelId="{9D76209A-4874-4930-8F6B-64631DB9BE01}" type="sibTrans" cxnId="{22F71720-E2B2-4418-B6BA-81AD6F7FA842}">
      <dgm:prSet custT="1"/>
      <dgm:spPr/>
      <dgm:t>
        <a:bodyPr/>
        <a:lstStyle/>
        <a:p>
          <a:pPr algn="ctr"/>
          <a:endParaRPr lang="es-ES" sz="1100"/>
        </a:p>
      </dgm:t>
    </dgm:pt>
    <dgm:pt modelId="{F8D90DA8-5A52-436F-A363-BBB67C532AED}" type="pres">
      <dgm:prSet presAssocID="{8E2F6906-0FA8-492F-A899-C762837C38BA}" presName="Name0" presStyleCnt="0">
        <dgm:presLayoutVars>
          <dgm:dir/>
          <dgm:resizeHandles val="exact"/>
        </dgm:presLayoutVars>
      </dgm:prSet>
      <dgm:spPr/>
    </dgm:pt>
    <dgm:pt modelId="{4419A5DB-AD8A-499A-BF60-E0D214062AA1}" type="pres">
      <dgm:prSet presAssocID="{BC4691B7-C6A2-420C-91CF-6D7CEE51638D}" presName="node" presStyleLbl="node1" presStyleIdx="0" presStyleCnt="9">
        <dgm:presLayoutVars>
          <dgm:bulletEnabled val="1"/>
        </dgm:presLayoutVars>
      </dgm:prSet>
      <dgm:spPr/>
    </dgm:pt>
    <dgm:pt modelId="{218F88E3-93B3-4036-9CA8-442A0E95B3EC}" type="pres">
      <dgm:prSet presAssocID="{CE92D4E8-6B0C-4636-B94F-4ABDA58E7909}" presName="sibTrans" presStyleLbl="sibTrans1D1" presStyleIdx="0" presStyleCnt="8"/>
      <dgm:spPr/>
    </dgm:pt>
    <dgm:pt modelId="{A73662C2-19C5-4594-95A9-9741DFE0BAB0}" type="pres">
      <dgm:prSet presAssocID="{CE92D4E8-6B0C-4636-B94F-4ABDA58E7909}" presName="connectorText" presStyleLbl="sibTrans1D1" presStyleIdx="0" presStyleCnt="8"/>
      <dgm:spPr/>
    </dgm:pt>
    <dgm:pt modelId="{85E16AB9-7D4C-4188-8174-8B128F44E873}" type="pres">
      <dgm:prSet presAssocID="{81C5FFA1-1B70-4B69-818C-299D8595E660}" presName="node" presStyleLbl="node1" presStyleIdx="1" presStyleCnt="9">
        <dgm:presLayoutVars>
          <dgm:bulletEnabled val="1"/>
        </dgm:presLayoutVars>
      </dgm:prSet>
      <dgm:spPr/>
    </dgm:pt>
    <dgm:pt modelId="{E99E22DC-20D4-40AC-9EDF-EDBDDDA9DABD}" type="pres">
      <dgm:prSet presAssocID="{2EF24B8D-4E16-449C-9A9A-C7CA9387D0EA}" presName="sibTrans" presStyleLbl="sibTrans1D1" presStyleIdx="1" presStyleCnt="8"/>
      <dgm:spPr/>
    </dgm:pt>
    <dgm:pt modelId="{0B0BD3A7-CCD5-4971-9C21-A3195F38D613}" type="pres">
      <dgm:prSet presAssocID="{2EF24B8D-4E16-449C-9A9A-C7CA9387D0EA}" presName="connectorText" presStyleLbl="sibTrans1D1" presStyleIdx="1" presStyleCnt="8"/>
      <dgm:spPr/>
    </dgm:pt>
    <dgm:pt modelId="{18E87F45-35C8-4398-A360-C8CC86B06738}" type="pres">
      <dgm:prSet presAssocID="{AA4407CD-153B-4445-BF0B-827C5568BB57}" presName="node" presStyleLbl="node1" presStyleIdx="2" presStyleCnt="9">
        <dgm:presLayoutVars>
          <dgm:bulletEnabled val="1"/>
        </dgm:presLayoutVars>
      </dgm:prSet>
      <dgm:spPr/>
    </dgm:pt>
    <dgm:pt modelId="{57A22773-3F81-4A95-926C-B443ACFFC8FF}" type="pres">
      <dgm:prSet presAssocID="{F9AB4E8E-34A6-485F-9674-606B62AD6C7E}" presName="sibTrans" presStyleLbl="sibTrans1D1" presStyleIdx="2" presStyleCnt="8"/>
      <dgm:spPr/>
    </dgm:pt>
    <dgm:pt modelId="{1C96A7DE-DC10-4578-8733-C9A83EE580F2}" type="pres">
      <dgm:prSet presAssocID="{F9AB4E8E-34A6-485F-9674-606B62AD6C7E}" presName="connectorText" presStyleLbl="sibTrans1D1" presStyleIdx="2" presStyleCnt="8"/>
      <dgm:spPr/>
    </dgm:pt>
    <dgm:pt modelId="{158FB65D-273D-4584-A5C3-FB9BBD16B3A1}" type="pres">
      <dgm:prSet presAssocID="{53FA3118-F9F8-4581-A3A7-8D3A042CA7BA}" presName="node" presStyleLbl="node1" presStyleIdx="3" presStyleCnt="9">
        <dgm:presLayoutVars>
          <dgm:bulletEnabled val="1"/>
        </dgm:presLayoutVars>
      </dgm:prSet>
      <dgm:spPr/>
    </dgm:pt>
    <dgm:pt modelId="{810F649B-BFCD-4093-B271-43730FCD6059}" type="pres">
      <dgm:prSet presAssocID="{F99AC8DD-60D1-49EA-BB1A-0580DF126BC3}" presName="sibTrans" presStyleLbl="sibTrans1D1" presStyleIdx="3" presStyleCnt="8"/>
      <dgm:spPr/>
    </dgm:pt>
    <dgm:pt modelId="{641E0F45-8575-48F5-A11C-42D694ECE169}" type="pres">
      <dgm:prSet presAssocID="{F99AC8DD-60D1-49EA-BB1A-0580DF126BC3}" presName="connectorText" presStyleLbl="sibTrans1D1" presStyleIdx="3" presStyleCnt="8"/>
      <dgm:spPr/>
    </dgm:pt>
    <dgm:pt modelId="{C5B43FA8-2903-4782-BAD8-F3589F6E7720}" type="pres">
      <dgm:prSet presAssocID="{7D55F7DE-3867-42B5-AC8C-FB6BCBADC7B5}" presName="node" presStyleLbl="node1" presStyleIdx="4" presStyleCnt="9">
        <dgm:presLayoutVars>
          <dgm:bulletEnabled val="1"/>
        </dgm:presLayoutVars>
      </dgm:prSet>
      <dgm:spPr/>
    </dgm:pt>
    <dgm:pt modelId="{AE766ACF-8C2C-42E4-B631-1A6D8048C465}" type="pres">
      <dgm:prSet presAssocID="{EB7DE9F7-D2FC-487A-875B-3B5B0473257A}" presName="sibTrans" presStyleLbl="sibTrans1D1" presStyleIdx="4" presStyleCnt="8"/>
      <dgm:spPr/>
    </dgm:pt>
    <dgm:pt modelId="{EDFF716D-D38A-42A0-8B5C-A0D68BF6F6C1}" type="pres">
      <dgm:prSet presAssocID="{EB7DE9F7-D2FC-487A-875B-3B5B0473257A}" presName="connectorText" presStyleLbl="sibTrans1D1" presStyleIdx="4" presStyleCnt="8"/>
      <dgm:spPr/>
    </dgm:pt>
    <dgm:pt modelId="{F76C75AF-9A1A-483F-806F-EBEB9C26E5EC}" type="pres">
      <dgm:prSet presAssocID="{33A8FBDD-63ED-4218-9D36-F4118A2486B4}" presName="node" presStyleLbl="node1" presStyleIdx="5" presStyleCnt="9">
        <dgm:presLayoutVars>
          <dgm:bulletEnabled val="1"/>
        </dgm:presLayoutVars>
      </dgm:prSet>
      <dgm:spPr/>
    </dgm:pt>
    <dgm:pt modelId="{6212C42D-1E96-4497-8E03-60C789BBBFC4}" type="pres">
      <dgm:prSet presAssocID="{C1F6A61E-262C-4023-A0B9-C13D6925C202}" presName="sibTrans" presStyleLbl="sibTrans1D1" presStyleIdx="5" presStyleCnt="8"/>
      <dgm:spPr/>
    </dgm:pt>
    <dgm:pt modelId="{03FCC749-983A-4CC9-A6C5-259FFFA5AA90}" type="pres">
      <dgm:prSet presAssocID="{C1F6A61E-262C-4023-A0B9-C13D6925C202}" presName="connectorText" presStyleLbl="sibTrans1D1" presStyleIdx="5" presStyleCnt="8"/>
      <dgm:spPr/>
    </dgm:pt>
    <dgm:pt modelId="{4CD93064-2BA1-477A-850D-7B73E4F1AE23}" type="pres">
      <dgm:prSet presAssocID="{F1D240B1-88B4-4342-A772-22049DF8E0E3}" presName="node" presStyleLbl="node1" presStyleIdx="6" presStyleCnt="9">
        <dgm:presLayoutVars>
          <dgm:bulletEnabled val="1"/>
        </dgm:presLayoutVars>
      </dgm:prSet>
      <dgm:spPr/>
    </dgm:pt>
    <dgm:pt modelId="{BFBE205A-89A3-4676-9FFB-92C6653CFB44}" type="pres">
      <dgm:prSet presAssocID="{E8291D9E-DA7C-4BC9-AECA-865DC497F4F9}" presName="sibTrans" presStyleLbl="sibTrans1D1" presStyleIdx="6" presStyleCnt="8"/>
      <dgm:spPr/>
    </dgm:pt>
    <dgm:pt modelId="{6F5BEE4F-31A5-45D7-8F59-15E2A8CD607A}" type="pres">
      <dgm:prSet presAssocID="{E8291D9E-DA7C-4BC9-AECA-865DC497F4F9}" presName="connectorText" presStyleLbl="sibTrans1D1" presStyleIdx="6" presStyleCnt="8"/>
      <dgm:spPr/>
    </dgm:pt>
    <dgm:pt modelId="{D3EC9A58-19A2-480B-A2E1-3CB6F8950188}" type="pres">
      <dgm:prSet presAssocID="{CEA499EF-407E-4A53-84B9-0F427A745206}" presName="node" presStyleLbl="node1" presStyleIdx="7" presStyleCnt="9">
        <dgm:presLayoutVars>
          <dgm:bulletEnabled val="1"/>
        </dgm:presLayoutVars>
      </dgm:prSet>
      <dgm:spPr/>
    </dgm:pt>
    <dgm:pt modelId="{29211864-4AB4-476E-918D-53AE3EF7827F}" type="pres">
      <dgm:prSet presAssocID="{9D76209A-4874-4930-8F6B-64631DB9BE01}" presName="sibTrans" presStyleLbl="sibTrans1D1" presStyleIdx="7" presStyleCnt="8"/>
      <dgm:spPr/>
    </dgm:pt>
    <dgm:pt modelId="{284665FF-EF2B-460C-99E2-5E64E905B867}" type="pres">
      <dgm:prSet presAssocID="{9D76209A-4874-4930-8F6B-64631DB9BE01}" presName="connectorText" presStyleLbl="sibTrans1D1" presStyleIdx="7" presStyleCnt="8"/>
      <dgm:spPr/>
    </dgm:pt>
    <dgm:pt modelId="{273A3AB5-1CD1-4634-BF1D-43AC9E38B8DF}" type="pres">
      <dgm:prSet presAssocID="{123F24C6-4400-4E9B-B693-B0C2AA45ACB6}" presName="node" presStyleLbl="node1" presStyleIdx="8" presStyleCnt="9">
        <dgm:presLayoutVars>
          <dgm:bulletEnabled val="1"/>
        </dgm:presLayoutVars>
      </dgm:prSet>
      <dgm:spPr/>
    </dgm:pt>
  </dgm:ptLst>
  <dgm:cxnLst>
    <dgm:cxn modelId="{47F70300-7C7A-4DDA-A3F5-C18AFCD7EE33}" type="presOf" srcId="{CEA499EF-407E-4A53-84B9-0F427A745206}" destId="{D3EC9A58-19A2-480B-A2E1-3CB6F8950188}" srcOrd="0" destOrd="0" presId="urn:microsoft.com/office/officeart/2005/8/layout/bProcess3"/>
    <dgm:cxn modelId="{87C7BF0E-4754-429C-BB37-9D9B8F9A51E9}" srcId="{8E2F6906-0FA8-492F-A899-C762837C38BA}" destId="{81C5FFA1-1B70-4B69-818C-299D8595E660}" srcOrd="1" destOrd="0" parTransId="{150A260C-E82A-44E3-A554-6BA10D1CF946}" sibTransId="{2EF24B8D-4E16-449C-9A9A-C7CA9387D0EA}"/>
    <dgm:cxn modelId="{00254111-AAA2-4CEB-A15E-E275E1B43053}" type="presOf" srcId="{8E2F6906-0FA8-492F-A899-C762837C38BA}" destId="{F8D90DA8-5A52-436F-A363-BBB67C532AED}" srcOrd="0" destOrd="0" presId="urn:microsoft.com/office/officeart/2005/8/layout/bProcess3"/>
    <dgm:cxn modelId="{8406B71A-952F-488C-83A1-B9786CFB3204}" type="presOf" srcId="{7D55F7DE-3867-42B5-AC8C-FB6BCBADC7B5}" destId="{C5B43FA8-2903-4782-BAD8-F3589F6E7720}" srcOrd="0" destOrd="0" presId="urn:microsoft.com/office/officeart/2005/8/layout/bProcess3"/>
    <dgm:cxn modelId="{AB71251C-31CA-446E-A12F-0FA1ADA69AB4}" srcId="{8E2F6906-0FA8-492F-A899-C762837C38BA}" destId="{33A8FBDD-63ED-4218-9D36-F4118A2486B4}" srcOrd="5" destOrd="0" parTransId="{425CAB90-C986-4E54-A78A-05C172414765}" sibTransId="{C1F6A61E-262C-4023-A0B9-C13D6925C202}"/>
    <dgm:cxn modelId="{22F71720-E2B2-4418-B6BA-81AD6F7FA842}" srcId="{8E2F6906-0FA8-492F-A899-C762837C38BA}" destId="{CEA499EF-407E-4A53-84B9-0F427A745206}" srcOrd="7" destOrd="0" parTransId="{40357E05-283B-4168-9CAD-9441FC1CBB82}" sibTransId="{9D76209A-4874-4930-8F6B-64631DB9BE01}"/>
    <dgm:cxn modelId="{DEC89226-DC8B-47BD-B02A-0316F5A02109}" type="presOf" srcId="{2EF24B8D-4E16-449C-9A9A-C7CA9387D0EA}" destId="{0B0BD3A7-CCD5-4971-9C21-A3195F38D613}" srcOrd="1" destOrd="0" presId="urn:microsoft.com/office/officeart/2005/8/layout/bProcess3"/>
    <dgm:cxn modelId="{F320B532-F681-4D8E-A025-8AC825E824C1}" srcId="{8E2F6906-0FA8-492F-A899-C762837C38BA}" destId="{AA4407CD-153B-4445-BF0B-827C5568BB57}" srcOrd="2" destOrd="0" parTransId="{5C1251C5-6D50-402D-8347-48FCA3E28BD8}" sibTransId="{F9AB4E8E-34A6-485F-9674-606B62AD6C7E}"/>
    <dgm:cxn modelId="{BE1E723D-B095-4C18-9015-946A97D91F3F}" type="presOf" srcId="{CE92D4E8-6B0C-4636-B94F-4ABDA58E7909}" destId="{A73662C2-19C5-4594-95A9-9741DFE0BAB0}" srcOrd="1" destOrd="0" presId="urn:microsoft.com/office/officeart/2005/8/layout/bProcess3"/>
    <dgm:cxn modelId="{4AE1F03D-D298-486A-BF62-557E853481EB}" type="presOf" srcId="{E8291D9E-DA7C-4BC9-AECA-865DC497F4F9}" destId="{6F5BEE4F-31A5-45D7-8F59-15E2A8CD607A}" srcOrd="1" destOrd="0" presId="urn:microsoft.com/office/officeart/2005/8/layout/bProcess3"/>
    <dgm:cxn modelId="{582FC43E-52BB-48B3-A102-1464A4C05515}" srcId="{8E2F6906-0FA8-492F-A899-C762837C38BA}" destId="{7D55F7DE-3867-42B5-AC8C-FB6BCBADC7B5}" srcOrd="4" destOrd="0" parTransId="{D57E7004-9781-4997-8987-41FBAF7131F8}" sibTransId="{EB7DE9F7-D2FC-487A-875B-3B5B0473257A}"/>
    <dgm:cxn modelId="{F6A51245-67D6-442A-B4FD-BCD4A1118A4A}" type="presOf" srcId="{EB7DE9F7-D2FC-487A-875B-3B5B0473257A}" destId="{EDFF716D-D38A-42A0-8B5C-A0D68BF6F6C1}" srcOrd="1" destOrd="0" presId="urn:microsoft.com/office/officeart/2005/8/layout/bProcess3"/>
    <dgm:cxn modelId="{1AB5E147-8581-4965-B8A8-789E0ADCDBDC}" type="presOf" srcId="{BC4691B7-C6A2-420C-91CF-6D7CEE51638D}" destId="{4419A5DB-AD8A-499A-BF60-E0D214062AA1}" srcOrd="0" destOrd="0" presId="urn:microsoft.com/office/officeart/2005/8/layout/bProcess3"/>
    <dgm:cxn modelId="{791AA24A-9D3C-4F9F-8DC2-F8C1302BE060}" type="presOf" srcId="{33A8FBDD-63ED-4218-9D36-F4118A2486B4}" destId="{F76C75AF-9A1A-483F-806F-EBEB9C26E5EC}" srcOrd="0" destOrd="0" presId="urn:microsoft.com/office/officeart/2005/8/layout/bProcess3"/>
    <dgm:cxn modelId="{961FEC72-6A9A-43DC-9FDD-93F8AE98BD36}" type="presOf" srcId="{E8291D9E-DA7C-4BC9-AECA-865DC497F4F9}" destId="{BFBE205A-89A3-4676-9FFB-92C6653CFB44}" srcOrd="0" destOrd="0" presId="urn:microsoft.com/office/officeart/2005/8/layout/bProcess3"/>
    <dgm:cxn modelId="{A6075D7C-922A-4482-9CBD-3562C4F5754C}" srcId="{8E2F6906-0FA8-492F-A899-C762837C38BA}" destId="{53FA3118-F9F8-4581-A3A7-8D3A042CA7BA}" srcOrd="3" destOrd="0" parTransId="{5F14BF0A-442F-4868-9537-51582257E9E1}" sibTransId="{F99AC8DD-60D1-49EA-BB1A-0580DF126BC3}"/>
    <dgm:cxn modelId="{643D7581-6D58-4A2C-8085-3AB50C56212A}" type="presOf" srcId="{F9AB4E8E-34A6-485F-9674-606B62AD6C7E}" destId="{1C96A7DE-DC10-4578-8733-C9A83EE580F2}" srcOrd="1" destOrd="0" presId="urn:microsoft.com/office/officeart/2005/8/layout/bProcess3"/>
    <dgm:cxn modelId="{A86D8884-B361-48B0-8BF7-68CE4B24F91A}" type="presOf" srcId="{F9AB4E8E-34A6-485F-9674-606B62AD6C7E}" destId="{57A22773-3F81-4A95-926C-B443ACFFC8FF}" srcOrd="0" destOrd="0" presId="urn:microsoft.com/office/officeart/2005/8/layout/bProcess3"/>
    <dgm:cxn modelId="{D1455A86-C7B9-45DA-B586-6551D1074C18}" type="presOf" srcId="{AA4407CD-153B-4445-BF0B-827C5568BB57}" destId="{18E87F45-35C8-4398-A360-C8CC86B06738}" srcOrd="0" destOrd="0" presId="urn:microsoft.com/office/officeart/2005/8/layout/bProcess3"/>
    <dgm:cxn modelId="{1DC5FB87-72C1-40F6-A363-7F5ED74E35BE}" type="presOf" srcId="{EB7DE9F7-D2FC-487A-875B-3B5B0473257A}" destId="{AE766ACF-8C2C-42E4-B631-1A6D8048C465}" srcOrd="0" destOrd="0" presId="urn:microsoft.com/office/officeart/2005/8/layout/bProcess3"/>
    <dgm:cxn modelId="{160BA690-9AEF-4A2B-89EA-E2859334C571}" type="presOf" srcId="{F1D240B1-88B4-4342-A772-22049DF8E0E3}" destId="{4CD93064-2BA1-477A-850D-7B73E4F1AE23}" srcOrd="0" destOrd="0" presId="urn:microsoft.com/office/officeart/2005/8/layout/bProcess3"/>
    <dgm:cxn modelId="{06209F93-E4FB-4F77-B748-7303D8BC67F1}" type="presOf" srcId="{CE92D4E8-6B0C-4636-B94F-4ABDA58E7909}" destId="{218F88E3-93B3-4036-9CA8-442A0E95B3EC}" srcOrd="0" destOrd="0" presId="urn:microsoft.com/office/officeart/2005/8/layout/bProcess3"/>
    <dgm:cxn modelId="{AC58479A-C58A-48F5-B009-E0FA769B2300}" srcId="{8E2F6906-0FA8-492F-A899-C762837C38BA}" destId="{BC4691B7-C6A2-420C-91CF-6D7CEE51638D}" srcOrd="0" destOrd="0" parTransId="{24C7A3E5-79EF-4734-B730-FDF6C5AE783E}" sibTransId="{CE92D4E8-6B0C-4636-B94F-4ABDA58E7909}"/>
    <dgm:cxn modelId="{A421749B-50E1-413A-82AB-749DCA8EB16C}" srcId="{8E2F6906-0FA8-492F-A899-C762837C38BA}" destId="{123F24C6-4400-4E9B-B693-B0C2AA45ACB6}" srcOrd="8" destOrd="0" parTransId="{59932A19-8D63-4C0D-9211-21C0669E7162}" sibTransId="{71B73718-B59D-4326-885A-4B21F69A4102}"/>
    <dgm:cxn modelId="{F3F28EB1-7470-49E5-A5E7-8C5DD83E25A8}" type="presOf" srcId="{C1F6A61E-262C-4023-A0B9-C13D6925C202}" destId="{03FCC749-983A-4CC9-A6C5-259FFFA5AA90}" srcOrd="1" destOrd="0" presId="urn:microsoft.com/office/officeart/2005/8/layout/bProcess3"/>
    <dgm:cxn modelId="{612982B4-1188-4B8F-AC84-9A7EE5794BB5}" type="presOf" srcId="{9D76209A-4874-4930-8F6B-64631DB9BE01}" destId="{29211864-4AB4-476E-918D-53AE3EF7827F}" srcOrd="0" destOrd="0" presId="urn:microsoft.com/office/officeart/2005/8/layout/bProcess3"/>
    <dgm:cxn modelId="{20BD38B9-5FF2-4E3D-9A28-B2AEAB397E3E}" srcId="{8E2F6906-0FA8-492F-A899-C762837C38BA}" destId="{F1D240B1-88B4-4342-A772-22049DF8E0E3}" srcOrd="6" destOrd="0" parTransId="{0676C03F-3919-4C3A-AD7B-8235610D3711}" sibTransId="{E8291D9E-DA7C-4BC9-AECA-865DC497F4F9}"/>
    <dgm:cxn modelId="{B522B9C4-F85C-4405-A186-F572E4097574}" type="presOf" srcId="{81C5FFA1-1B70-4B69-818C-299D8595E660}" destId="{85E16AB9-7D4C-4188-8174-8B128F44E873}" srcOrd="0" destOrd="0" presId="urn:microsoft.com/office/officeart/2005/8/layout/bProcess3"/>
    <dgm:cxn modelId="{B87FC1CE-E02D-4ED4-9CD1-F72DF9E383EF}" type="presOf" srcId="{9D76209A-4874-4930-8F6B-64631DB9BE01}" destId="{284665FF-EF2B-460C-99E2-5E64E905B867}" srcOrd="1" destOrd="0" presId="urn:microsoft.com/office/officeart/2005/8/layout/bProcess3"/>
    <dgm:cxn modelId="{B3CC83DF-DF93-47DE-AC9A-AEA81B05D34B}" type="presOf" srcId="{123F24C6-4400-4E9B-B693-B0C2AA45ACB6}" destId="{273A3AB5-1CD1-4634-BF1D-43AC9E38B8DF}" srcOrd="0" destOrd="0" presId="urn:microsoft.com/office/officeart/2005/8/layout/bProcess3"/>
    <dgm:cxn modelId="{86B3ADDF-A3D8-4736-BFC9-6F768340B9DA}" type="presOf" srcId="{F99AC8DD-60D1-49EA-BB1A-0580DF126BC3}" destId="{641E0F45-8575-48F5-A11C-42D694ECE169}" srcOrd="1" destOrd="0" presId="urn:microsoft.com/office/officeart/2005/8/layout/bProcess3"/>
    <dgm:cxn modelId="{855446E7-FB95-4BE8-953D-969C8AADE1D5}" type="presOf" srcId="{F99AC8DD-60D1-49EA-BB1A-0580DF126BC3}" destId="{810F649B-BFCD-4093-B271-43730FCD6059}" srcOrd="0" destOrd="0" presId="urn:microsoft.com/office/officeart/2005/8/layout/bProcess3"/>
    <dgm:cxn modelId="{BA9301ED-95D3-44D4-9D46-21E548E8712D}" type="presOf" srcId="{C1F6A61E-262C-4023-A0B9-C13D6925C202}" destId="{6212C42D-1E96-4497-8E03-60C789BBBFC4}" srcOrd="0" destOrd="0" presId="urn:microsoft.com/office/officeart/2005/8/layout/bProcess3"/>
    <dgm:cxn modelId="{020B90EE-DFAF-4E47-98BC-3B26C53DB744}" type="presOf" srcId="{53FA3118-F9F8-4581-A3A7-8D3A042CA7BA}" destId="{158FB65D-273D-4584-A5C3-FB9BBD16B3A1}" srcOrd="0" destOrd="0" presId="urn:microsoft.com/office/officeart/2005/8/layout/bProcess3"/>
    <dgm:cxn modelId="{ED306FFB-FCE1-4C11-9737-97A76E40A740}" type="presOf" srcId="{2EF24B8D-4E16-449C-9A9A-C7CA9387D0EA}" destId="{E99E22DC-20D4-40AC-9EDF-EDBDDDA9DABD}" srcOrd="0" destOrd="0" presId="urn:microsoft.com/office/officeart/2005/8/layout/bProcess3"/>
    <dgm:cxn modelId="{07EAA505-4D81-441D-A5C9-363A98B1D2FB}" type="presParOf" srcId="{F8D90DA8-5A52-436F-A363-BBB67C532AED}" destId="{4419A5DB-AD8A-499A-BF60-E0D214062AA1}" srcOrd="0" destOrd="0" presId="urn:microsoft.com/office/officeart/2005/8/layout/bProcess3"/>
    <dgm:cxn modelId="{83968A74-A3C4-4D38-9ADA-E5491F54B652}" type="presParOf" srcId="{F8D90DA8-5A52-436F-A363-BBB67C532AED}" destId="{218F88E3-93B3-4036-9CA8-442A0E95B3EC}" srcOrd="1" destOrd="0" presId="urn:microsoft.com/office/officeart/2005/8/layout/bProcess3"/>
    <dgm:cxn modelId="{34062A4D-7A89-47EE-8454-6C908C74BF05}" type="presParOf" srcId="{218F88E3-93B3-4036-9CA8-442A0E95B3EC}" destId="{A73662C2-19C5-4594-95A9-9741DFE0BAB0}" srcOrd="0" destOrd="0" presId="urn:microsoft.com/office/officeart/2005/8/layout/bProcess3"/>
    <dgm:cxn modelId="{85DD7A3A-89D9-44E6-8699-EDF336894687}" type="presParOf" srcId="{F8D90DA8-5A52-436F-A363-BBB67C532AED}" destId="{85E16AB9-7D4C-4188-8174-8B128F44E873}" srcOrd="2" destOrd="0" presId="urn:microsoft.com/office/officeart/2005/8/layout/bProcess3"/>
    <dgm:cxn modelId="{EE5A7C75-DDF0-410D-9B50-93A0C573CF61}" type="presParOf" srcId="{F8D90DA8-5A52-436F-A363-BBB67C532AED}" destId="{E99E22DC-20D4-40AC-9EDF-EDBDDDA9DABD}" srcOrd="3" destOrd="0" presId="urn:microsoft.com/office/officeart/2005/8/layout/bProcess3"/>
    <dgm:cxn modelId="{4DF9038D-36A8-4706-8F08-309468ABA51D}" type="presParOf" srcId="{E99E22DC-20D4-40AC-9EDF-EDBDDDA9DABD}" destId="{0B0BD3A7-CCD5-4971-9C21-A3195F38D613}" srcOrd="0" destOrd="0" presId="urn:microsoft.com/office/officeart/2005/8/layout/bProcess3"/>
    <dgm:cxn modelId="{9874F976-D1ED-486E-9D3F-40E7FD2D7D39}" type="presParOf" srcId="{F8D90DA8-5A52-436F-A363-BBB67C532AED}" destId="{18E87F45-35C8-4398-A360-C8CC86B06738}" srcOrd="4" destOrd="0" presId="urn:microsoft.com/office/officeart/2005/8/layout/bProcess3"/>
    <dgm:cxn modelId="{8E298C2B-1F43-4EBF-A273-68E800D8FE43}" type="presParOf" srcId="{F8D90DA8-5A52-436F-A363-BBB67C532AED}" destId="{57A22773-3F81-4A95-926C-B443ACFFC8FF}" srcOrd="5" destOrd="0" presId="urn:microsoft.com/office/officeart/2005/8/layout/bProcess3"/>
    <dgm:cxn modelId="{E6EE2C58-3FEB-443A-9C1A-C3A201103888}" type="presParOf" srcId="{57A22773-3F81-4A95-926C-B443ACFFC8FF}" destId="{1C96A7DE-DC10-4578-8733-C9A83EE580F2}" srcOrd="0" destOrd="0" presId="urn:microsoft.com/office/officeart/2005/8/layout/bProcess3"/>
    <dgm:cxn modelId="{7BE6D391-AF60-48C4-A0AB-8B6DC928EC6D}" type="presParOf" srcId="{F8D90DA8-5A52-436F-A363-BBB67C532AED}" destId="{158FB65D-273D-4584-A5C3-FB9BBD16B3A1}" srcOrd="6" destOrd="0" presId="urn:microsoft.com/office/officeart/2005/8/layout/bProcess3"/>
    <dgm:cxn modelId="{BB8DAF42-491E-4B4E-8862-2C5B08B98E61}" type="presParOf" srcId="{F8D90DA8-5A52-436F-A363-BBB67C532AED}" destId="{810F649B-BFCD-4093-B271-43730FCD6059}" srcOrd="7" destOrd="0" presId="urn:microsoft.com/office/officeart/2005/8/layout/bProcess3"/>
    <dgm:cxn modelId="{1D8C736D-A93A-47C8-9B36-F8A567BEDDE6}" type="presParOf" srcId="{810F649B-BFCD-4093-B271-43730FCD6059}" destId="{641E0F45-8575-48F5-A11C-42D694ECE169}" srcOrd="0" destOrd="0" presId="urn:microsoft.com/office/officeart/2005/8/layout/bProcess3"/>
    <dgm:cxn modelId="{E5EFE8FB-4FD3-4EA1-8CB0-D489E676C00F}" type="presParOf" srcId="{F8D90DA8-5A52-436F-A363-BBB67C532AED}" destId="{C5B43FA8-2903-4782-BAD8-F3589F6E7720}" srcOrd="8" destOrd="0" presId="urn:microsoft.com/office/officeart/2005/8/layout/bProcess3"/>
    <dgm:cxn modelId="{FBBF13FA-E2C2-4032-84B7-1B3A2A63889C}" type="presParOf" srcId="{F8D90DA8-5A52-436F-A363-BBB67C532AED}" destId="{AE766ACF-8C2C-42E4-B631-1A6D8048C465}" srcOrd="9" destOrd="0" presId="urn:microsoft.com/office/officeart/2005/8/layout/bProcess3"/>
    <dgm:cxn modelId="{0B5F4934-7752-4BE0-85D1-7000E840A68C}" type="presParOf" srcId="{AE766ACF-8C2C-42E4-B631-1A6D8048C465}" destId="{EDFF716D-D38A-42A0-8B5C-A0D68BF6F6C1}" srcOrd="0" destOrd="0" presId="urn:microsoft.com/office/officeart/2005/8/layout/bProcess3"/>
    <dgm:cxn modelId="{DCEFF5AB-D17D-4D1B-B613-0FB6A60677AE}" type="presParOf" srcId="{F8D90DA8-5A52-436F-A363-BBB67C532AED}" destId="{F76C75AF-9A1A-483F-806F-EBEB9C26E5EC}" srcOrd="10" destOrd="0" presId="urn:microsoft.com/office/officeart/2005/8/layout/bProcess3"/>
    <dgm:cxn modelId="{885F9F80-337D-4509-8050-77E250E70916}" type="presParOf" srcId="{F8D90DA8-5A52-436F-A363-BBB67C532AED}" destId="{6212C42D-1E96-4497-8E03-60C789BBBFC4}" srcOrd="11" destOrd="0" presId="urn:microsoft.com/office/officeart/2005/8/layout/bProcess3"/>
    <dgm:cxn modelId="{7F26A88D-1434-4EB3-A311-80CD06EC4E6B}" type="presParOf" srcId="{6212C42D-1E96-4497-8E03-60C789BBBFC4}" destId="{03FCC749-983A-4CC9-A6C5-259FFFA5AA90}" srcOrd="0" destOrd="0" presId="urn:microsoft.com/office/officeart/2005/8/layout/bProcess3"/>
    <dgm:cxn modelId="{71380441-0D9F-45D0-A25D-A4E2781C4A27}" type="presParOf" srcId="{F8D90DA8-5A52-436F-A363-BBB67C532AED}" destId="{4CD93064-2BA1-477A-850D-7B73E4F1AE23}" srcOrd="12" destOrd="0" presId="urn:microsoft.com/office/officeart/2005/8/layout/bProcess3"/>
    <dgm:cxn modelId="{1B3C5822-5F1D-4BD5-B91C-3F9A2D756426}" type="presParOf" srcId="{F8D90DA8-5A52-436F-A363-BBB67C532AED}" destId="{BFBE205A-89A3-4676-9FFB-92C6653CFB44}" srcOrd="13" destOrd="0" presId="urn:microsoft.com/office/officeart/2005/8/layout/bProcess3"/>
    <dgm:cxn modelId="{7E10C36D-03F5-4969-A907-F638CFA3A2AC}" type="presParOf" srcId="{BFBE205A-89A3-4676-9FFB-92C6653CFB44}" destId="{6F5BEE4F-31A5-45D7-8F59-15E2A8CD607A}" srcOrd="0" destOrd="0" presId="urn:microsoft.com/office/officeart/2005/8/layout/bProcess3"/>
    <dgm:cxn modelId="{A7CF5A9A-663C-4F14-9C5F-122D8E2DCCB8}" type="presParOf" srcId="{F8D90DA8-5A52-436F-A363-BBB67C532AED}" destId="{D3EC9A58-19A2-480B-A2E1-3CB6F8950188}" srcOrd="14" destOrd="0" presId="urn:microsoft.com/office/officeart/2005/8/layout/bProcess3"/>
    <dgm:cxn modelId="{0B477572-2BEC-4949-A6F7-206DC9966E72}" type="presParOf" srcId="{F8D90DA8-5A52-436F-A363-BBB67C532AED}" destId="{29211864-4AB4-476E-918D-53AE3EF7827F}" srcOrd="15" destOrd="0" presId="urn:microsoft.com/office/officeart/2005/8/layout/bProcess3"/>
    <dgm:cxn modelId="{43DDEF87-D921-402B-A236-CA4BCE824829}" type="presParOf" srcId="{29211864-4AB4-476E-918D-53AE3EF7827F}" destId="{284665FF-EF2B-460C-99E2-5E64E905B867}" srcOrd="0" destOrd="0" presId="urn:microsoft.com/office/officeart/2005/8/layout/bProcess3"/>
    <dgm:cxn modelId="{2E1C5DCB-ABAB-41E1-875B-4FCF11968A40}" type="presParOf" srcId="{F8D90DA8-5A52-436F-A363-BBB67C532AED}" destId="{273A3AB5-1CD1-4634-BF1D-43AC9E38B8DF}" srcOrd="16"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F88E3-93B3-4036-9CA8-442A0E95B3EC}">
      <dsp:nvSpPr>
        <dsp:cNvPr id="0" name=""/>
        <dsp:cNvSpPr/>
      </dsp:nvSpPr>
      <dsp:spPr>
        <a:xfrm>
          <a:off x="1595682" y="388035"/>
          <a:ext cx="301869" cy="91440"/>
        </a:xfrm>
        <a:custGeom>
          <a:avLst/>
          <a:gdLst/>
          <a:ahLst/>
          <a:cxnLst/>
          <a:rect l="0" t="0" r="0" b="0"/>
          <a:pathLst>
            <a:path>
              <a:moveTo>
                <a:pt x="0" y="45720"/>
              </a:moveTo>
              <a:lnTo>
                <a:pt x="30186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1738305" y="432092"/>
        <a:ext cx="16623" cy="3324"/>
      </dsp:txXfrm>
    </dsp:sp>
    <dsp:sp modelId="{4419A5DB-AD8A-499A-BF60-E0D214062AA1}">
      <dsp:nvSpPr>
        <dsp:cNvPr id="0" name=""/>
        <dsp:cNvSpPr/>
      </dsp:nvSpPr>
      <dsp:spPr>
        <a:xfrm>
          <a:off x="151961" y="98"/>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Uso racional de medicamentos</a:t>
          </a:r>
        </a:p>
      </dsp:txBody>
      <dsp:txXfrm>
        <a:off x="151961" y="98"/>
        <a:ext cx="1445521" cy="867312"/>
      </dsp:txXfrm>
    </dsp:sp>
    <dsp:sp modelId="{E99E22DC-20D4-40AC-9EDF-EDBDDDA9DABD}">
      <dsp:nvSpPr>
        <dsp:cNvPr id="0" name=""/>
        <dsp:cNvSpPr/>
      </dsp:nvSpPr>
      <dsp:spPr>
        <a:xfrm>
          <a:off x="3373673" y="388035"/>
          <a:ext cx="301869" cy="91440"/>
        </a:xfrm>
        <a:custGeom>
          <a:avLst/>
          <a:gdLst/>
          <a:ahLst/>
          <a:cxnLst/>
          <a:rect l="0" t="0" r="0" b="0"/>
          <a:pathLst>
            <a:path>
              <a:moveTo>
                <a:pt x="0" y="45720"/>
              </a:moveTo>
              <a:lnTo>
                <a:pt x="30186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3516296" y="432092"/>
        <a:ext cx="16623" cy="3324"/>
      </dsp:txXfrm>
    </dsp:sp>
    <dsp:sp modelId="{85E16AB9-7D4C-4188-8174-8B128F44E873}">
      <dsp:nvSpPr>
        <dsp:cNvPr id="0" name=""/>
        <dsp:cNvSpPr/>
      </dsp:nvSpPr>
      <dsp:spPr>
        <a:xfrm>
          <a:off x="1929951" y="98"/>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Seguridad de medicación</a:t>
          </a:r>
        </a:p>
      </dsp:txBody>
      <dsp:txXfrm>
        <a:off x="1929951" y="98"/>
        <a:ext cx="1445521" cy="867312"/>
      </dsp:txXfrm>
    </dsp:sp>
    <dsp:sp modelId="{57A22773-3F81-4A95-926C-B443ACFFC8FF}">
      <dsp:nvSpPr>
        <dsp:cNvPr id="0" name=""/>
        <dsp:cNvSpPr/>
      </dsp:nvSpPr>
      <dsp:spPr>
        <a:xfrm>
          <a:off x="874721" y="865611"/>
          <a:ext cx="3555981" cy="301869"/>
        </a:xfrm>
        <a:custGeom>
          <a:avLst/>
          <a:gdLst/>
          <a:ahLst/>
          <a:cxnLst/>
          <a:rect l="0" t="0" r="0" b="0"/>
          <a:pathLst>
            <a:path>
              <a:moveTo>
                <a:pt x="3555981" y="0"/>
              </a:moveTo>
              <a:lnTo>
                <a:pt x="3555981" y="168034"/>
              </a:lnTo>
              <a:lnTo>
                <a:pt x="0" y="168034"/>
              </a:lnTo>
              <a:lnTo>
                <a:pt x="0" y="301869"/>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2563425" y="1014883"/>
        <a:ext cx="178574" cy="3324"/>
      </dsp:txXfrm>
    </dsp:sp>
    <dsp:sp modelId="{18E87F45-35C8-4398-A360-C8CC86B06738}">
      <dsp:nvSpPr>
        <dsp:cNvPr id="0" name=""/>
        <dsp:cNvSpPr/>
      </dsp:nvSpPr>
      <dsp:spPr>
        <a:xfrm>
          <a:off x="3707942" y="98"/>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Transparencia del mercado</a:t>
          </a:r>
        </a:p>
      </dsp:txBody>
      <dsp:txXfrm>
        <a:off x="3707942" y="98"/>
        <a:ext cx="1445521" cy="867312"/>
      </dsp:txXfrm>
    </dsp:sp>
    <dsp:sp modelId="{810F649B-BFCD-4093-B271-43730FCD6059}">
      <dsp:nvSpPr>
        <dsp:cNvPr id="0" name=""/>
        <dsp:cNvSpPr/>
      </dsp:nvSpPr>
      <dsp:spPr>
        <a:xfrm>
          <a:off x="1595682" y="1587817"/>
          <a:ext cx="301869" cy="91440"/>
        </a:xfrm>
        <a:custGeom>
          <a:avLst/>
          <a:gdLst/>
          <a:ahLst/>
          <a:cxnLst/>
          <a:rect l="0" t="0" r="0" b="0"/>
          <a:pathLst>
            <a:path>
              <a:moveTo>
                <a:pt x="0" y="45720"/>
              </a:moveTo>
              <a:lnTo>
                <a:pt x="30186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1738305" y="1631875"/>
        <a:ext cx="16623" cy="3324"/>
      </dsp:txXfrm>
    </dsp:sp>
    <dsp:sp modelId="{158FB65D-273D-4584-A5C3-FB9BBD16B3A1}">
      <dsp:nvSpPr>
        <dsp:cNvPr id="0" name=""/>
        <dsp:cNvSpPr/>
      </dsp:nvSpPr>
      <dsp:spPr>
        <a:xfrm>
          <a:off x="151961" y="1199881"/>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Intercambiabilidad segura</a:t>
          </a:r>
        </a:p>
      </dsp:txBody>
      <dsp:txXfrm>
        <a:off x="151961" y="1199881"/>
        <a:ext cx="1445521" cy="867312"/>
      </dsp:txXfrm>
    </dsp:sp>
    <dsp:sp modelId="{AE766ACF-8C2C-42E4-B631-1A6D8048C465}">
      <dsp:nvSpPr>
        <dsp:cNvPr id="0" name=""/>
        <dsp:cNvSpPr/>
      </dsp:nvSpPr>
      <dsp:spPr>
        <a:xfrm>
          <a:off x="3373673" y="1587817"/>
          <a:ext cx="301869" cy="91440"/>
        </a:xfrm>
        <a:custGeom>
          <a:avLst/>
          <a:gdLst/>
          <a:ahLst/>
          <a:cxnLst/>
          <a:rect l="0" t="0" r="0" b="0"/>
          <a:pathLst>
            <a:path>
              <a:moveTo>
                <a:pt x="0" y="45720"/>
              </a:moveTo>
              <a:lnTo>
                <a:pt x="30186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3516296" y="1631875"/>
        <a:ext cx="16623" cy="3324"/>
      </dsp:txXfrm>
    </dsp:sp>
    <dsp:sp modelId="{C5B43FA8-2903-4782-BAD8-F3589F6E7720}">
      <dsp:nvSpPr>
        <dsp:cNvPr id="0" name=""/>
        <dsp:cNvSpPr/>
      </dsp:nvSpPr>
      <dsp:spPr>
        <a:xfrm>
          <a:off x="1929951" y="1199881"/>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Política de genéricos</a:t>
          </a:r>
        </a:p>
      </dsp:txBody>
      <dsp:txXfrm>
        <a:off x="1929951" y="1199881"/>
        <a:ext cx="1445521" cy="867312"/>
      </dsp:txXfrm>
    </dsp:sp>
    <dsp:sp modelId="{6212C42D-1E96-4497-8E03-60C789BBBFC4}">
      <dsp:nvSpPr>
        <dsp:cNvPr id="0" name=""/>
        <dsp:cNvSpPr/>
      </dsp:nvSpPr>
      <dsp:spPr>
        <a:xfrm>
          <a:off x="874721" y="2065393"/>
          <a:ext cx="3555981" cy="301869"/>
        </a:xfrm>
        <a:custGeom>
          <a:avLst/>
          <a:gdLst/>
          <a:ahLst/>
          <a:cxnLst/>
          <a:rect l="0" t="0" r="0" b="0"/>
          <a:pathLst>
            <a:path>
              <a:moveTo>
                <a:pt x="3555981" y="0"/>
              </a:moveTo>
              <a:lnTo>
                <a:pt x="3555981" y="168034"/>
              </a:lnTo>
              <a:lnTo>
                <a:pt x="0" y="168034"/>
              </a:lnTo>
              <a:lnTo>
                <a:pt x="0" y="301869"/>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2563425" y="2214666"/>
        <a:ext cx="178574" cy="3324"/>
      </dsp:txXfrm>
    </dsp:sp>
    <dsp:sp modelId="{F76C75AF-9A1A-483F-806F-EBEB9C26E5EC}">
      <dsp:nvSpPr>
        <dsp:cNvPr id="0" name=""/>
        <dsp:cNvSpPr/>
      </dsp:nvSpPr>
      <dsp:spPr>
        <a:xfrm>
          <a:off x="3707942" y="1199881"/>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Mitigar asimetría de información</a:t>
          </a:r>
        </a:p>
      </dsp:txBody>
      <dsp:txXfrm>
        <a:off x="3707942" y="1199881"/>
        <a:ext cx="1445521" cy="867312"/>
      </dsp:txXfrm>
    </dsp:sp>
    <dsp:sp modelId="{BFBE205A-89A3-4676-9FFB-92C6653CFB44}">
      <dsp:nvSpPr>
        <dsp:cNvPr id="0" name=""/>
        <dsp:cNvSpPr/>
      </dsp:nvSpPr>
      <dsp:spPr>
        <a:xfrm>
          <a:off x="1595682" y="2787599"/>
          <a:ext cx="301869" cy="91440"/>
        </a:xfrm>
        <a:custGeom>
          <a:avLst/>
          <a:gdLst/>
          <a:ahLst/>
          <a:cxnLst/>
          <a:rect l="0" t="0" r="0" b="0"/>
          <a:pathLst>
            <a:path>
              <a:moveTo>
                <a:pt x="0" y="45720"/>
              </a:moveTo>
              <a:lnTo>
                <a:pt x="30186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1738305" y="2831657"/>
        <a:ext cx="16623" cy="3324"/>
      </dsp:txXfrm>
    </dsp:sp>
    <dsp:sp modelId="{4CD93064-2BA1-477A-850D-7B73E4F1AE23}">
      <dsp:nvSpPr>
        <dsp:cNvPr id="0" name=""/>
        <dsp:cNvSpPr/>
      </dsp:nvSpPr>
      <dsp:spPr>
        <a:xfrm>
          <a:off x="151961" y="2399663"/>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Eliminar barreras administrativas</a:t>
          </a:r>
        </a:p>
      </dsp:txBody>
      <dsp:txXfrm>
        <a:off x="151961" y="2399663"/>
        <a:ext cx="1445521" cy="867312"/>
      </dsp:txXfrm>
    </dsp:sp>
    <dsp:sp modelId="{29211864-4AB4-476E-918D-53AE3EF7827F}">
      <dsp:nvSpPr>
        <dsp:cNvPr id="0" name=""/>
        <dsp:cNvSpPr/>
      </dsp:nvSpPr>
      <dsp:spPr>
        <a:xfrm>
          <a:off x="3373673" y="2787599"/>
          <a:ext cx="301869" cy="91440"/>
        </a:xfrm>
        <a:custGeom>
          <a:avLst/>
          <a:gdLst/>
          <a:ahLst/>
          <a:cxnLst/>
          <a:rect l="0" t="0" r="0" b="0"/>
          <a:pathLst>
            <a:path>
              <a:moveTo>
                <a:pt x="0" y="45720"/>
              </a:moveTo>
              <a:lnTo>
                <a:pt x="30186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3516296" y="2831657"/>
        <a:ext cx="16623" cy="3324"/>
      </dsp:txXfrm>
    </dsp:sp>
    <dsp:sp modelId="{D3EC9A58-19A2-480B-A2E1-3CB6F8950188}">
      <dsp:nvSpPr>
        <dsp:cNvPr id="0" name=""/>
        <dsp:cNvSpPr/>
      </dsp:nvSpPr>
      <dsp:spPr>
        <a:xfrm>
          <a:off x="1929951" y="2399663"/>
          <a:ext cx="1445521" cy="867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Información para el diseño  y evaluación de políticas públicas</a:t>
          </a:r>
        </a:p>
      </dsp:txBody>
      <dsp:txXfrm>
        <a:off x="1929951" y="2399663"/>
        <a:ext cx="1445521" cy="867312"/>
      </dsp:txXfrm>
    </dsp:sp>
    <dsp:sp modelId="{273A3AB5-1CD1-4634-BF1D-43AC9E38B8DF}">
      <dsp:nvSpPr>
        <dsp:cNvPr id="0" name=""/>
        <dsp:cNvSpPr/>
      </dsp:nvSpPr>
      <dsp:spPr>
        <a:xfrm>
          <a:off x="3707942" y="2399663"/>
          <a:ext cx="1445521" cy="8673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s-ES" sz="1100" kern="1200" dirty="0"/>
            <a:t>Mayor acceso a medicamentos</a:t>
          </a:r>
        </a:p>
      </dsp:txBody>
      <dsp:txXfrm>
        <a:off x="3707942" y="2399663"/>
        <a:ext cx="1445521" cy="86731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5A50-285C-4CE9-B728-AB0D8813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2394</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Martones Reyes</dc:creator>
  <cp:lastModifiedBy>Rafael</cp:lastModifiedBy>
  <cp:revision>2</cp:revision>
  <cp:lastPrinted>2017-01-11T19:00:00Z</cp:lastPrinted>
  <dcterms:created xsi:type="dcterms:W3CDTF">2017-09-05T16:00:00Z</dcterms:created>
  <dcterms:modified xsi:type="dcterms:W3CDTF">2017-09-05T16:00:00Z</dcterms:modified>
</cp:coreProperties>
</file>