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0877" w:rsidRPr="000B2C45" w:rsidRDefault="00FB0877" w:rsidP="00FB0877">
      <w:pPr>
        <w:jc w:val="center"/>
        <w:rPr>
          <w:rFonts w:asciiTheme="majorHAnsi" w:hAnsiTheme="majorHAnsi" w:cstheme="minorHAnsi"/>
          <w:b/>
          <w:sz w:val="20"/>
          <w:szCs w:val="20"/>
          <w:lang w:val="es-MX"/>
        </w:rPr>
      </w:pPr>
      <w:r w:rsidRPr="000B2C45">
        <w:rPr>
          <w:rFonts w:asciiTheme="majorHAnsi" w:hAnsiTheme="majorHAnsi" w:cstheme="minorHAnsi"/>
          <w:b/>
          <w:sz w:val="20"/>
          <w:szCs w:val="20"/>
          <w:lang w:val="es-MX"/>
        </w:rPr>
        <w:t>SESION ORDINARIA</w:t>
      </w:r>
    </w:p>
    <w:p w:rsidR="00FB0877" w:rsidRPr="00D45FAB" w:rsidRDefault="00FB0877" w:rsidP="00FB0877">
      <w:pPr>
        <w:jc w:val="center"/>
        <w:rPr>
          <w:rFonts w:asciiTheme="majorHAnsi" w:hAnsiTheme="majorHAnsi" w:cstheme="minorHAnsi"/>
          <w:b/>
          <w:sz w:val="20"/>
          <w:szCs w:val="20"/>
        </w:rPr>
      </w:pPr>
      <w:r>
        <w:rPr>
          <w:rFonts w:asciiTheme="majorHAnsi" w:hAnsiTheme="majorHAnsi" w:cstheme="minorHAnsi"/>
          <w:b/>
          <w:sz w:val="20"/>
          <w:szCs w:val="20"/>
          <w:lang w:val="es-MX"/>
        </w:rPr>
        <w:t>“Proyecto de Ley que</w:t>
      </w:r>
      <w:r w:rsidRPr="000B2C45">
        <w:rPr>
          <w:rFonts w:asciiTheme="majorHAnsi" w:hAnsiTheme="majorHAnsi" w:cstheme="minorHAnsi"/>
          <w:b/>
          <w:sz w:val="20"/>
          <w:szCs w:val="20"/>
          <w:lang w:val="es-MX"/>
        </w:rPr>
        <w:t xml:space="preserve"> </w:t>
      </w:r>
      <w:r>
        <w:rPr>
          <w:rFonts w:asciiTheme="majorHAnsi" w:hAnsiTheme="majorHAnsi" w:cstheme="minorHAnsi"/>
          <w:b/>
          <w:sz w:val="20"/>
          <w:szCs w:val="20"/>
          <w:lang w:val="es-MX"/>
        </w:rPr>
        <w:t>Otorga B</w:t>
      </w:r>
      <w:r w:rsidRPr="00FB0877">
        <w:rPr>
          <w:rFonts w:asciiTheme="majorHAnsi" w:hAnsiTheme="majorHAnsi" w:cstheme="minorHAnsi"/>
          <w:b/>
          <w:sz w:val="20"/>
          <w:szCs w:val="20"/>
          <w:lang w:val="es-MX"/>
        </w:rPr>
        <w:t xml:space="preserve">eneficios de </w:t>
      </w:r>
      <w:r>
        <w:rPr>
          <w:rFonts w:asciiTheme="majorHAnsi" w:hAnsiTheme="majorHAnsi" w:cstheme="minorHAnsi"/>
          <w:b/>
          <w:sz w:val="20"/>
          <w:szCs w:val="20"/>
          <w:lang w:val="es-MX"/>
        </w:rPr>
        <w:t>I</w:t>
      </w:r>
      <w:r w:rsidRPr="00FB0877">
        <w:rPr>
          <w:rFonts w:asciiTheme="majorHAnsi" w:hAnsiTheme="majorHAnsi" w:cstheme="minorHAnsi"/>
          <w:b/>
          <w:sz w:val="20"/>
          <w:szCs w:val="20"/>
          <w:lang w:val="es-MX"/>
        </w:rPr>
        <w:t xml:space="preserve">ncentivo al </w:t>
      </w:r>
      <w:r>
        <w:rPr>
          <w:rFonts w:asciiTheme="majorHAnsi" w:hAnsiTheme="majorHAnsi" w:cstheme="minorHAnsi"/>
          <w:b/>
          <w:sz w:val="20"/>
          <w:szCs w:val="20"/>
          <w:lang w:val="es-MX"/>
        </w:rPr>
        <w:t>R</w:t>
      </w:r>
      <w:r w:rsidRPr="00FB0877">
        <w:rPr>
          <w:rFonts w:asciiTheme="majorHAnsi" w:hAnsiTheme="majorHAnsi" w:cstheme="minorHAnsi"/>
          <w:b/>
          <w:sz w:val="20"/>
          <w:szCs w:val="20"/>
          <w:lang w:val="es-MX"/>
        </w:rPr>
        <w:t xml:space="preserve">etiro para los </w:t>
      </w:r>
      <w:r>
        <w:rPr>
          <w:rFonts w:asciiTheme="majorHAnsi" w:hAnsiTheme="majorHAnsi" w:cstheme="minorHAnsi"/>
          <w:b/>
          <w:sz w:val="20"/>
          <w:szCs w:val="20"/>
          <w:lang w:val="es-MX"/>
        </w:rPr>
        <w:t>F</w:t>
      </w:r>
      <w:r w:rsidRPr="00FB0877">
        <w:rPr>
          <w:rFonts w:asciiTheme="majorHAnsi" w:hAnsiTheme="majorHAnsi" w:cstheme="minorHAnsi"/>
          <w:b/>
          <w:sz w:val="20"/>
          <w:szCs w:val="20"/>
          <w:lang w:val="es-MX"/>
        </w:rPr>
        <w:t xml:space="preserve">uncionarios </w:t>
      </w:r>
      <w:r>
        <w:rPr>
          <w:rFonts w:asciiTheme="majorHAnsi" w:hAnsiTheme="majorHAnsi" w:cstheme="minorHAnsi"/>
          <w:b/>
          <w:sz w:val="20"/>
          <w:szCs w:val="20"/>
          <w:lang w:val="es-MX"/>
        </w:rPr>
        <w:t>M</w:t>
      </w:r>
      <w:r w:rsidRPr="00FB0877">
        <w:rPr>
          <w:rFonts w:asciiTheme="majorHAnsi" w:hAnsiTheme="majorHAnsi" w:cstheme="minorHAnsi"/>
          <w:b/>
          <w:sz w:val="20"/>
          <w:szCs w:val="20"/>
          <w:lang w:val="es-MX"/>
        </w:rPr>
        <w:t>unicipales que indica</w:t>
      </w:r>
      <w:r>
        <w:rPr>
          <w:rFonts w:asciiTheme="majorHAnsi" w:hAnsiTheme="majorHAnsi" w:cstheme="minorHAnsi"/>
          <w:b/>
          <w:sz w:val="20"/>
          <w:szCs w:val="20"/>
          <w:lang w:val="es-MX"/>
        </w:rPr>
        <w:t>. Boletín N°</w:t>
      </w:r>
      <w:r w:rsidRPr="00D45FAB">
        <w:t xml:space="preserve"> </w:t>
      </w:r>
      <w:r w:rsidRPr="00FB0877">
        <w:rPr>
          <w:rFonts w:asciiTheme="majorHAnsi" w:hAnsiTheme="majorHAnsi" w:cstheme="minorHAnsi"/>
          <w:b/>
          <w:sz w:val="20"/>
          <w:szCs w:val="20"/>
          <w:lang w:val="es-MX"/>
        </w:rPr>
        <w:t>11570-06</w:t>
      </w:r>
      <w:r>
        <w:rPr>
          <w:rFonts w:asciiTheme="majorHAnsi" w:hAnsiTheme="majorHAnsi" w:cstheme="minorHAnsi"/>
          <w:b/>
          <w:sz w:val="20"/>
          <w:szCs w:val="20"/>
          <w:lang w:val="es-MX"/>
        </w:rPr>
        <w:t>.</w:t>
      </w:r>
    </w:p>
    <w:p w:rsidR="00FB0877" w:rsidRPr="00874930" w:rsidRDefault="00FB0877" w:rsidP="00FB0877">
      <w:pPr>
        <w:jc w:val="both"/>
        <w:rPr>
          <w:rFonts w:asciiTheme="majorHAnsi" w:hAnsiTheme="majorHAnsi" w:cstheme="minorHAnsi"/>
          <w:sz w:val="20"/>
          <w:szCs w:val="20"/>
          <w:lang w:val="es-ES"/>
        </w:rPr>
      </w:pPr>
      <w:r w:rsidRPr="000B2C45">
        <w:rPr>
          <w:rFonts w:asciiTheme="majorHAnsi" w:hAnsiTheme="majorHAnsi" w:cstheme="minorHAnsi"/>
          <w:sz w:val="20"/>
          <w:szCs w:val="20"/>
          <w:lang w:val="es-ES"/>
        </w:rPr>
        <w:tab/>
      </w:r>
    </w:p>
    <w:p w:rsidR="00EA3BC1" w:rsidRDefault="00FB0877" w:rsidP="00EA3BC1">
      <w:pPr>
        <w:ind w:firstLine="708"/>
        <w:jc w:val="both"/>
        <w:rPr>
          <w:rFonts w:asciiTheme="majorHAnsi" w:hAnsiTheme="majorHAnsi" w:cstheme="minorHAnsi"/>
          <w:sz w:val="20"/>
          <w:szCs w:val="20"/>
          <w:lang w:val="es-MX"/>
        </w:rPr>
      </w:pPr>
      <w:r w:rsidRPr="00210A1C">
        <w:rPr>
          <w:rFonts w:asciiTheme="majorHAnsi" w:hAnsiTheme="majorHAnsi" w:cstheme="minorHAnsi"/>
          <w:b/>
          <w:sz w:val="20"/>
          <w:szCs w:val="20"/>
          <w:lang w:val="es-MX"/>
        </w:rPr>
        <w:t>Sr. Presidente</w:t>
      </w:r>
      <w:r w:rsidRPr="009D1E45">
        <w:rPr>
          <w:rFonts w:asciiTheme="majorHAnsi" w:hAnsiTheme="majorHAnsi" w:cstheme="minorHAnsi"/>
          <w:sz w:val="20"/>
          <w:szCs w:val="20"/>
          <w:lang w:val="es-MX"/>
        </w:rPr>
        <w:t xml:space="preserve">: </w:t>
      </w:r>
      <w:r w:rsidR="00F54CEB">
        <w:rPr>
          <w:rFonts w:asciiTheme="majorHAnsi" w:hAnsiTheme="majorHAnsi" w:cstheme="minorHAnsi"/>
          <w:sz w:val="20"/>
          <w:szCs w:val="20"/>
          <w:lang w:val="es-MX"/>
        </w:rPr>
        <w:t>Esta iniciativa del Presidente de la Rep</w:t>
      </w:r>
      <w:r w:rsidR="001A3127">
        <w:rPr>
          <w:rFonts w:asciiTheme="majorHAnsi" w:hAnsiTheme="majorHAnsi" w:cstheme="minorHAnsi"/>
          <w:sz w:val="20"/>
          <w:szCs w:val="20"/>
          <w:lang w:val="es-MX"/>
        </w:rPr>
        <w:t xml:space="preserve">ública que se encuentra en 2° Trámite Constitucional en el Senado, </w:t>
      </w:r>
      <w:r w:rsidR="000E07CF">
        <w:rPr>
          <w:rFonts w:asciiTheme="majorHAnsi" w:hAnsiTheme="majorHAnsi" w:cstheme="minorHAnsi"/>
          <w:sz w:val="20"/>
          <w:szCs w:val="20"/>
          <w:lang w:val="es-MX"/>
        </w:rPr>
        <w:t>le asigna una relevante significación a la labor que desempeñan habitualmente los funcionarios municipales.</w:t>
      </w:r>
      <w:r w:rsidR="00B168FB">
        <w:rPr>
          <w:rFonts w:asciiTheme="majorHAnsi" w:hAnsiTheme="majorHAnsi" w:cstheme="minorHAnsi"/>
          <w:sz w:val="20"/>
          <w:szCs w:val="20"/>
          <w:lang w:val="es-MX"/>
        </w:rPr>
        <w:t xml:space="preserve"> </w:t>
      </w:r>
      <w:r w:rsidR="00B168FB" w:rsidRPr="00B168FB">
        <w:rPr>
          <w:rFonts w:asciiTheme="majorHAnsi" w:hAnsiTheme="majorHAnsi" w:cstheme="minorHAnsi"/>
          <w:sz w:val="20"/>
          <w:szCs w:val="20"/>
          <w:lang w:val="es-MX"/>
        </w:rPr>
        <w:t xml:space="preserve">Sin excepción, todo el país reconoce el rol fundamental de </w:t>
      </w:r>
      <w:r w:rsidR="00B168FB">
        <w:rPr>
          <w:rFonts w:asciiTheme="majorHAnsi" w:hAnsiTheme="majorHAnsi" w:cstheme="minorHAnsi"/>
          <w:sz w:val="20"/>
          <w:szCs w:val="20"/>
          <w:lang w:val="es-MX"/>
        </w:rPr>
        <w:t>su</w:t>
      </w:r>
      <w:r w:rsidR="00B168FB" w:rsidRPr="00B168FB">
        <w:rPr>
          <w:rFonts w:asciiTheme="majorHAnsi" w:hAnsiTheme="majorHAnsi" w:cstheme="minorHAnsi"/>
          <w:sz w:val="20"/>
          <w:szCs w:val="20"/>
          <w:lang w:val="es-MX"/>
        </w:rPr>
        <w:t xml:space="preserve"> trabajo, reconociéndosenos como un vínculo concreto</w:t>
      </w:r>
      <w:r w:rsidR="00B168FB">
        <w:rPr>
          <w:rFonts w:asciiTheme="majorHAnsi" w:hAnsiTheme="majorHAnsi" w:cstheme="minorHAnsi"/>
          <w:sz w:val="20"/>
          <w:szCs w:val="20"/>
          <w:lang w:val="es-MX"/>
        </w:rPr>
        <w:t xml:space="preserve"> entre el Estado y la sociedad.</w:t>
      </w:r>
    </w:p>
    <w:p w:rsidR="00EA1B66" w:rsidRDefault="002A1E7F" w:rsidP="00EA3BC1">
      <w:pPr>
        <w:ind w:firstLine="708"/>
        <w:jc w:val="both"/>
        <w:rPr>
          <w:rFonts w:asciiTheme="majorHAnsi" w:hAnsiTheme="majorHAnsi" w:cstheme="minorHAnsi"/>
          <w:sz w:val="20"/>
          <w:szCs w:val="20"/>
          <w:lang w:val="es-MX"/>
        </w:rPr>
      </w:pPr>
      <w:r>
        <w:rPr>
          <w:rFonts w:asciiTheme="majorHAnsi" w:hAnsiTheme="majorHAnsi" w:cstheme="minorHAnsi"/>
          <w:sz w:val="20"/>
          <w:szCs w:val="20"/>
          <w:lang w:val="es-MX"/>
        </w:rPr>
        <w:t xml:space="preserve">Cuando legislamos asuntos tan relevantes como las condiciones de retiro de algunos sectores, en general es óptimo tener a la vista algunos antecedentes que nos ilustran sobre el por qué legislamos sobre estas materias. </w:t>
      </w:r>
    </w:p>
    <w:p w:rsidR="00B07DDA" w:rsidRDefault="00B07DDA" w:rsidP="00EA3BC1">
      <w:pPr>
        <w:ind w:firstLine="708"/>
        <w:jc w:val="both"/>
        <w:rPr>
          <w:rFonts w:asciiTheme="majorHAnsi" w:hAnsiTheme="majorHAnsi" w:cstheme="minorHAnsi"/>
          <w:sz w:val="20"/>
          <w:szCs w:val="20"/>
          <w:lang w:val="es-MX"/>
        </w:rPr>
      </w:pPr>
      <w:r w:rsidRPr="00B07DDA">
        <w:rPr>
          <w:rFonts w:asciiTheme="majorHAnsi" w:hAnsiTheme="majorHAnsi" w:cstheme="minorHAnsi"/>
          <w:sz w:val="20"/>
          <w:szCs w:val="20"/>
          <w:lang w:val="es-MX"/>
        </w:rPr>
        <w:t>En las últimas décadas se ha producido en los países desarrollados una significativa caída de las edades de retiro y de las tasas de actividad de los hombres maduros. Simultáneamente se está produciendo un aumento de la longevidad y mejora de las condiciones de salud de los adultos mayores</w:t>
      </w:r>
      <w:r>
        <w:rPr>
          <w:rStyle w:val="Refdenotaalpie"/>
          <w:rFonts w:asciiTheme="majorHAnsi" w:hAnsiTheme="majorHAnsi" w:cstheme="minorHAnsi"/>
          <w:sz w:val="20"/>
          <w:szCs w:val="20"/>
          <w:lang w:val="es-MX"/>
        </w:rPr>
        <w:footnoteReference w:id="1"/>
      </w:r>
      <w:r w:rsidR="00B76638">
        <w:rPr>
          <w:rFonts w:asciiTheme="majorHAnsi" w:hAnsiTheme="majorHAnsi" w:cstheme="minorHAnsi"/>
          <w:sz w:val="20"/>
          <w:szCs w:val="20"/>
          <w:lang w:val="es-MX"/>
        </w:rPr>
        <w:t xml:space="preserve">. </w:t>
      </w:r>
      <w:r w:rsidR="00B76638" w:rsidRPr="00B76638">
        <w:rPr>
          <w:rFonts w:asciiTheme="majorHAnsi" w:hAnsiTheme="majorHAnsi" w:cstheme="minorHAnsi"/>
          <w:sz w:val="20"/>
          <w:szCs w:val="20"/>
          <w:lang w:val="es-MX"/>
        </w:rPr>
        <w:t>Estas tendencias preocupan por su impacto en las finanzas de l</w:t>
      </w:r>
      <w:r w:rsidR="00895CE8">
        <w:rPr>
          <w:rFonts w:asciiTheme="majorHAnsi" w:hAnsiTheme="majorHAnsi" w:cstheme="minorHAnsi"/>
          <w:sz w:val="20"/>
          <w:szCs w:val="20"/>
          <w:lang w:val="es-MX"/>
        </w:rPr>
        <w:t>os sistemas de seguridad social.</w:t>
      </w:r>
    </w:p>
    <w:p w:rsidR="002A1E7F" w:rsidRPr="00B168FB" w:rsidRDefault="00EA1B66" w:rsidP="00EA3BC1">
      <w:pPr>
        <w:ind w:firstLine="708"/>
        <w:jc w:val="both"/>
        <w:rPr>
          <w:rFonts w:asciiTheme="majorHAnsi" w:hAnsiTheme="majorHAnsi" w:cstheme="minorHAnsi"/>
          <w:sz w:val="20"/>
          <w:szCs w:val="20"/>
        </w:rPr>
      </w:pPr>
      <w:r>
        <w:rPr>
          <w:rFonts w:asciiTheme="majorHAnsi" w:hAnsiTheme="majorHAnsi" w:cstheme="minorHAnsi"/>
          <w:sz w:val="20"/>
          <w:szCs w:val="20"/>
          <w:lang w:val="es-MX"/>
        </w:rPr>
        <w:t>En l</w:t>
      </w:r>
      <w:r w:rsidR="009C33B6" w:rsidRPr="009C33B6">
        <w:rPr>
          <w:rFonts w:asciiTheme="majorHAnsi" w:hAnsiTheme="majorHAnsi" w:cstheme="minorHAnsi"/>
          <w:sz w:val="20"/>
          <w:szCs w:val="20"/>
          <w:lang w:val="es-MX"/>
        </w:rPr>
        <w:t>a mayor parte de los países de América Latina se observa una caída de la tasa de actividad de los hombres maduros, pero hay algunas excepciones</w:t>
      </w:r>
      <w:r w:rsidR="009C33B6">
        <w:rPr>
          <w:rFonts w:asciiTheme="majorHAnsi" w:hAnsiTheme="majorHAnsi" w:cstheme="minorHAnsi"/>
          <w:sz w:val="20"/>
          <w:szCs w:val="20"/>
          <w:lang w:val="es-MX"/>
        </w:rPr>
        <w:t xml:space="preserve">. </w:t>
      </w:r>
      <w:r w:rsidR="003335FC">
        <w:rPr>
          <w:rFonts w:asciiTheme="majorHAnsi" w:hAnsiTheme="majorHAnsi" w:cstheme="minorHAnsi"/>
          <w:sz w:val="20"/>
          <w:szCs w:val="20"/>
          <w:lang w:val="es-MX"/>
        </w:rPr>
        <w:t>U</w:t>
      </w:r>
      <w:r w:rsidR="003335FC" w:rsidRPr="003335FC">
        <w:rPr>
          <w:rFonts w:asciiTheme="majorHAnsi" w:hAnsiTheme="majorHAnsi" w:cstheme="minorHAnsi"/>
          <w:sz w:val="20"/>
          <w:szCs w:val="20"/>
          <w:lang w:val="es-MX"/>
        </w:rPr>
        <w:t>sando datos de OIT, muestran que entre 1960 y 2000 la tasa de actividad de los hombres de entre 55 y 59 años cayó en Bolivia, Brasil, Costa Rica, Ecuador, México, Paraguay, Perú y Venezuela. Chile presenta una caída hasta la década del ochenta y un aumento posterior</w:t>
      </w:r>
      <w:r w:rsidR="00D775CF">
        <w:rPr>
          <w:rStyle w:val="Refdenotaalpie"/>
          <w:rFonts w:asciiTheme="majorHAnsi" w:hAnsiTheme="majorHAnsi" w:cstheme="minorHAnsi"/>
          <w:sz w:val="20"/>
          <w:szCs w:val="20"/>
          <w:lang w:val="es-MX"/>
        </w:rPr>
        <w:footnoteReference w:id="2"/>
      </w:r>
      <w:r>
        <w:rPr>
          <w:rFonts w:asciiTheme="majorHAnsi" w:hAnsiTheme="majorHAnsi" w:cstheme="minorHAnsi"/>
          <w:sz w:val="20"/>
          <w:szCs w:val="20"/>
          <w:lang w:val="es-MX"/>
        </w:rPr>
        <w:t xml:space="preserve"> </w:t>
      </w:r>
      <w:r w:rsidRPr="00EA1B66">
        <w:rPr>
          <w:rFonts w:asciiTheme="majorHAnsi" w:hAnsiTheme="majorHAnsi" w:cstheme="minorHAnsi"/>
          <w:sz w:val="20"/>
          <w:szCs w:val="20"/>
          <w:lang w:val="es-MX"/>
        </w:rPr>
        <w:t>y sólo Argentina y Uruguay presentan aumentos claros en las tasas de actividad de los hombres de entre 55 y 59 años a lo largo de todo este período</w:t>
      </w:r>
      <w:r>
        <w:rPr>
          <w:rFonts w:asciiTheme="majorHAnsi" w:hAnsiTheme="majorHAnsi" w:cstheme="minorHAnsi"/>
          <w:sz w:val="20"/>
          <w:szCs w:val="20"/>
          <w:lang w:val="es-MX"/>
        </w:rPr>
        <w:t>.</w:t>
      </w:r>
    </w:p>
    <w:p w:rsidR="00D0268D" w:rsidRDefault="00D0268D" w:rsidP="002F1550">
      <w:pPr>
        <w:jc w:val="both"/>
        <w:rPr>
          <w:rFonts w:asciiTheme="majorHAnsi" w:hAnsiTheme="majorHAnsi" w:cstheme="minorHAnsi"/>
          <w:sz w:val="20"/>
          <w:szCs w:val="20"/>
          <w:lang w:val="es-ES"/>
        </w:rPr>
      </w:pPr>
      <w:r w:rsidRPr="0077724C">
        <w:rPr>
          <w:rFonts w:asciiTheme="majorHAnsi" w:hAnsiTheme="majorHAnsi" w:cstheme="minorHAnsi"/>
          <w:sz w:val="20"/>
          <w:szCs w:val="20"/>
          <w:lang w:val="es-ES"/>
        </w:rPr>
        <w:t>La literatura ofrece básicamente dos explicaciones de la caída de las tasas de actividad. Se argumenta, por un lado, que la reducción de la tasa de actividad de los adultos mayores y el retiro más temprano son parte de un proceso de aumento del consumo de ocio que se produce como consecuencia del aumento de la riqueza</w:t>
      </w:r>
      <w:r>
        <w:rPr>
          <w:rStyle w:val="Refdenotaalpie"/>
          <w:rFonts w:asciiTheme="majorHAnsi" w:hAnsiTheme="majorHAnsi" w:cstheme="minorHAnsi"/>
          <w:sz w:val="20"/>
          <w:szCs w:val="20"/>
          <w:lang w:val="es-ES"/>
        </w:rPr>
        <w:footnoteReference w:id="3"/>
      </w:r>
      <w:r>
        <w:rPr>
          <w:rFonts w:asciiTheme="majorHAnsi" w:hAnsiTheme="majorHAnsi" w:cstheme="minorHAnsi"/>
          <w:sz w:val="20"/>
          <w:szCs w:val="20"/>
          <w:lang w:val="es-ES"/>
        </w:rPr>
        <w:t xml:space="preserve">. </w:t>
      </w:r>
      <w:r w:rsidRPr="00BC6A62">
        <w:rPr>
          <w:rFonts w:asciiTheme="majorHAnsi" w:hAnsiTheme="majorHAnsi" w:cstheme="minorHAnsi"/>
          <w:sz w:val="20"/>
          <w:szCs w:val="20"/>
          <w:u w:val="single"/>
          <w:lang w:val="es-ES"/>
        </w:rPr>
        <w:t>Otra explicación es que son los sistemas de seguridad social los que están induciendo el retiro más temprano</w:t>
      </w:r>
      <w:r>
        <w:rPr>
          <w:rStyle w:val="Refdenotaalpie"/>
          <w:rFonts w:asciiTheme="majorHAnsi" w:hAnsiTheme="majorHAnsi" w:cstheme="minorHAnsi"/>
          <w:sz w:val="20"/>
          <w:szCs w:val="20"/>
          <w:lang w:val="es-ES"/>
        </w:rPr>
        <w:footnoteReference w:id="4"/>
      </w:r>
      <w:r>
        <w:rPr>
          <w:rFonts w:asciiTheme="majorHAnsi" w:hAnsiTheme="majorHAnsi" w:cstheme="minorHAnsi"/>
          <w:sz w:val="20"/>
          <w:szCs w:val="20"/>
          <w:lang w:val="es-ES"/>
        </w:rPr>
        <w:t xml:space="preserve">. </w:t>
      </w:r>
      <w:r w:rsidRPr="00BC6A62">
        <w:rPr>
          <w:rFonts w:asciiTheme="majorHAnsi" w:hAnsiTheme="majorHAnsi" w:cstheme="minorHAnsi"/>
          <w:sz w:val="20"/>
          <w:szCs w:val="20"/>
          <w:lang w:val="es-ES"/>
        </w:rPr>
        <w:t>En esta segunda línea, se destaca que se está produciendo una caída de las edades a las que los trabajadores están reclamando sus jubilaciones y pensiones, una notable expansión de la cobertura de la seguridad social y, en varios países, se han reducido las edades legales de acceso a las jubilaciones y pensiones</w:t>
      </w:r>
      <w:r>
        <w:rPr>
          <w:rStyle w:val="Refdenotaalpie"/>
          <w:rFonts w:asciiTheme="majorHAnsi" w:hAnsiTheme="majorHAnsi" w:cstheme="minorHAnsi"/>
          <w:sz w:val="20"/>
          <w:szCs w:val="20"/>
          <w:lang w:val="es-ES"/>
        </w:rPr>
        <w:footnoteReference w:id="5"/>
      </w:r>
      <w:r>
        <w:rPr>
          <w:rFonts w:asciiTheme="majorHAnsi" w:hAnsiTheme="majorHAnsi" w:cstheme="minorHAnsi"/>
          <w:sz w:val="20"/>
          <w:szCs w:val="20"/>
          <w:lang w:val="es-ES"/>
        </w:rPr>
        <w:t>.</w:t>
      </w:r>
    </w:p>
    <w:p w:rsidR="00FB0877" w:rsidRPr="002F1550" w:rsidRDefault="00FB0877" w:rsidP="002F1550">
      <w:pPr>
        <w:jc w:val="both"/>
        <w:rPr>
          <w:rFonts w:asciiTheme="majorHAnsi" w:hAnsiTheme="majorHAnsi" w:cstheme="minorHAnsi"/>
          <w:sz w:val="20"/>
          <w:szCs w:val="20"/>
        </w:rPr>
      </w:pPr>
      <w:r>
        <w:rPr>
          <w:rFonts w:asciiTheme="majorHAnsi" w:hAnsiTheme="majorHAnsi" w:cstheme="minorHAnsi"/>
          <w:b/>
          <w:sz w:val="20"/>
          <w:szCs w:val="20"/>
          <w:lang w:val="es-MX"/>
        </w:rPr>
        <w:t xml:space="preserve">Introducción (diagnóstico): </w:t>
      </w:r>
      <w:r w:rsidR="00D7326D">
        <w:rPr>
          <w:rFonts w:asciiTheme="majorHAnsi" w:hAnsiTheme="majorHAnsi" w:cstheme="minorHAnsi"/>
          <w:sz w:val="20"/>
          <w:szCs w:val="20"/>
          <w:lang w:val="es-MX"/>
        </w:rPr>
        <w:t xml:space="preserve">Esta iniciativa legislativa se sustenta en un Protocolo de Acuerdo del año 2014, suscrito entre el Gobierno, la CUT y organizaciones gremiales del sector público (25 de </w:t>
      </w:r>
      <w:r w:rsidR="00D7326D">
        <w:rPr>
          <w:rFonts w:asciiTheme="majorHAnsi" w:hAnsiTheme="majorHAnsi" w:cstheme="minorHAnsi"/>
          <w:sz w:val="20"/>
          <w:szCs w:val="20"/>
          <w:lang w:val="es-MX"/>
        </w:rPr>
        <w:lastRenderedPageBreak/>
        <w:t>noviembre de 2014).</w:t>
      </w:r>
      <w:r w:rsidR="002411AC">
        <w:rPr>
          <w:rFonts w:asciiTheme="majorHAnsi" w:hAnsiTheme="majorHAnsi" w:cstheme="minorHAnsi"/>
          <w:sz w:val="20"/>
          <w:szCs w:val="20"/>
          <w:lang w:val="es-MX"/>
        </w:rPr>
        <w:t xml:space="preserve"> Posteriormente hubo un Acuerdo en el año 2017, suscrito entre el Gobierno y la Confederación Nacional de Funcionarios Municipales, ASEMUCH. (</w:t>
      </w:r>
      <w:r w:rsidR="002411AC" w:rsidRPr="002F1550">
        <w:rPr>
          <w:rFonts w:asciiTheme="majorHAnsi" w:hAnsiTheme="majorHAnsi" w:cstheme="minorHAnsi"/>
          <w:sz w:val="20"/>
          <w:szCs w:val="20"/>
        </w:rPr>
        <w:t xml:space="preserve">13 de </w:t>
      </w:r>
      <w:r w:rsidR="002411AC" w:rsidRPr="002411AC">
        <w:rPr>
          <w:rFonts w:asciiTheme="majorHAnsi" w:hAnsiTheme="majorHAnsi" w:cstheme="minorHAnsi"/>
          <w:sz w:val="20"/>
          <w:szCs w:val="20"/>
        </w:rPr>
        <w:t>noviembre</w:t>
      </w:r>
      <w:r w:rsidR="002411AC" w:rsidRPr="002F1550">
        <w:rPr>
          <w:rFonts w:asciiTheme="majorHAnsi" w:hAnsiTheme="majorHAnsi" w:cstheme="minorHAnsi"/>
          <w:sz w:val="20"/>
          <w:szCs w:val="20"/>
        </w:rPr>
        <w:t xml:space="preserve"> de 2017</w:t>
      </w:r>
    </w:p>
    <w:p w:rsidR="00FB0877" w:rsidRDefault="002A1E7F" w:rsidP="002F1550">
      <w:pPr>
        <w:jc w:val="both"/>
        <w:rPr>
          <w:rFonts w:asciiTheme="majorHAnsi" w:hAnsiTheme="majorHAnsi" w:cstheme="minorHAnsi"/>
          <w:sz w:val="20"/>
          <w:szCs w:val="20"/>
        </w:rPr>
      </w:pPr>
      <w:r>
        <w:rPr>
          <w:rFonts w:asciiTheme="majorHAnsi" w:hAnsiTheme="majorHAnsi" w:cstheme="minorHAnsi"/>
          <w:b/>
          <w:sz w:val="20"/>
          <w:szCs w:val="20"/>
        </w:rPr>
        <w:t>Características</w:t>
      </w:r>
      <w:r w:rsidR="002F1550">
        <w:rPr>
          <w:rFonts w:asciiTheme="majorHAnsi" w:hAnsiTheme="majorHAnsi" w:cstheme="minorHAnsi"/>
          <w:b/>
          <w:sz w:val="20"/>
          <w:szCs w:val="20"/>
        </w:rPr>
        <w:t xml:space="preserve"> y a</w:t>
      </w:r>
      <w:r w:rsidR="00574D84">
        <w:rPr>
          <w:rFonts w:asciiTheme="majorHAnsi" w:hAnsiTheme="majorHAnsi" w:cstheme="minorHAnsi"/>
          <w:b/>
          <w:sz w:val="20"/>
          <w:szCs w:val="20"/>
        </w:rPr>
        <w:t>spectos técnicos relevantes</w:t>
      </w:r>
      <w:r w:rsidR="00FB0877">
        <w:rPr>
          <w:rFonts w:asciiTheme="majorHAnsi" w:hAnsiTheme="majorHAnsi" w:cstheme="minorHAnsi"/>
          <w:sz w:val="20"/>
          <w:szCs w:val="20"/>
        </w:rPr>
        <w:t xml:space="preserve">: </w:t>
      </w:r>
    </w:p>
    <w:p w:rsidR="00C42C81" w:rsidRDefault="0049154F" w:rsidP="00C42C81">
      <w:pPr>
        <w:jc w:val="both"/>
        <w:rPr>
          <w:rFonts w:asciiTheme="majorHAnsi" w:hAnsiTheme="majorHAnsi" w:cstheme="minorHAnsi"/>
          <w:sz w:val="20"/>
          <w:szCs w:val="20"/>
          <w:lang w:val="es-ES"/>
        </w:rPr>
      </w:pPr>
      <w:r>
        <w:rPr>
          <w:rFonts w:asciiTheme="majorHAnsi" w:hAnsiTheme="majorHAnsi" w:cstheme="minorHAnsi"/>
          <w:sz w:val="20"/>
          <w:szCs w:val="20"/>
          <w:lang w:val="es-ES"/>
        </w:rPr>
        <w:t>1)</w:t>
      </w:r>
      <w:r w:rsidR="00C42C81">
        <w:rPr>
          <w:rFonts w:asciiTheme="majorHAnsi" w:hAnsiTheme="majorHAnsi" w:cstheme="minorHAnsi"/>
          <w:sz w:val="20"/>
          <w:szCs w:val="20"/>
          <w:lang w:val="es-ES"/>
        </w:rPr>
        <w:t xml:space="preserve"> </w:t>
      </w:r>
      <w:r w:rsidR="00C42C81" w:rsidRPr="00C42C81">
        <w:rPr>
          <w:rFonts w:asciiTheme="majorHAnsi" w:hAnsiTheme="majorHAnsi" w:cstheme="minorHAnsi"/>
          <w:sz w:val="20"/>
          <w:szCs w:val="20"/>
          <w:lang w:val="es-ES"/>
        </w:rPr>
        <w:t>Los Beneficios del Plan de Retiro son los siguientes:</w:t>
      </w:r>
      <w:r w:rsidR="007C3293">
        <w:rPr>
          <w:rFonts w:asciiTheme="majorHAnsi" w:hAnsiTheme="majorHAnsi" w:cstheme="minorHAnsi"/>
          <w:sz w:val="20"/>
          <w:szCs w:val="20"/>
          <w:lang w:val="es-ES"/>
        </w:rPr>
        <w:t xml:space="preserve"> </w:t>
      </w:r>
      <w:r w:rsidR="00C42C81" w:rsidRPr="00C42C81">
        <w:rPr>
          <w:rFonts w:asciiTheme="majorHAnsi" w:hAnsiTheme="majorHAnsi" w:cstheme="minorHAnsi"/>
          <w:sz w:val="20"/>
          <w:szCs w:val="20"/>
          <w:lang w:val="es-ES"/>
        </w:rPr>
        <w:t>Bonificación por retiro voluntario (art.1)</w:t>
      </w:r>
      <w:r w:rsidR="007C3293">
        <w:rPr>
          <w:rFonts w:asciiTheme="majorHAnsi" w:hAnsiTheme="majorHAnsi" w:cstheme="minorHAnsi"/>
          <w:sz w:val="20"/>
          <w:szCs w:val="20"/>
          <w:lang w:val="es-ES"/>
        </w:rPr>
        <w:t xml:space="preserve">; </w:t>
      </w:r>
      <w:r w:rsidR="00C42C81" w:rsidRPr="00C42C81">
        <w:rPr>
          <w:rFonts w:asciiTheme="majorHAnsi" w:hAnsiTheme="majorHAnsi" w:cstheme="minorHAnsi"/>
          <w:sz w:val="20"/>
          <w:szCs w:val="20"/>
          <w:lang w:val="es-ES"/>
        </w:rPr>
        <w:t>Bonificación por retiro complementaria (facultativa- art. 1 inciso tercero)</w:t>
      </w:r>
      <w:r w:rsidR="007C3293">
        <w:rPr>
          <w:rFonts w:asciiTheme="majorHAnsi" w:hAnsiTheme="majorHAnsi" w:cstheme="minorHAnsi"/>
          <w:sz w:val="20"/>
          <w:szCs w:val="20"/>
          <w:lang w:val="es-ES"/>
        </w:rPr>
        <w:t xml:space="preserve">; </w:t>
      </w:r>
      <w:r w:rsidR="00C42C81" w:rsidRPr="00C42C81">
        <w:rPr>
          <w:rFonts w:asciiTheme="majorHAnsi" w:hAnsiTheme="majorHAnsi" w:cstheme="minorHAnsi"/>
          <w:sz w:val="20"/>
          <w:szCs w:val="20"/>
          <w:lang w:val="es-ES"/>
        </w:rPr>
        <w:t>Bonificación Adicional (art.8)</w:t>
      </w:r>
      <w:r w:rsidR="007C3293">
        <w:rPr>
          <w:rFonts w:asciiTheme="majorHAnsi" w:hAnsiTheme="majorHAnsi" w:cstheme="minorHAnsi"/>
          <w:sz w:val="20"/>
          <w:szCs w:val="20"/>
          <w:lang w:val="es-ES"/>
        </w:rPr>
        <w:t xml:space="preserve">; </w:t>
      </w:r>
      <w:r w:rsidR="00C42C81" w:rsidRPr="00C42C81">
        <w:rPr>
          <w:rFonts w:asciiTheme="majorHAnsi" w:hAnsiTheme="majorHAnsi" w:cstheme="minorHAnsi"/>
          <w:sz w:val="20"/>
          <w:szCs w:val="20"/>
          <w:lang w:val="es-ES"/>
        </w:rPr>
        <w:t>Bono por Antigüedad (art.10)</w:t>
      </w:r>
      <w:r w:rsidR="007C3293">
        <w:rPr>
          <w:rFonts w:asciiTheme="majorHAnsi" w:hAnsiTheme="majorHAnsi" w:cstheme="minorHAnsi"/>
          <w:sz w:val="20"/>
          <w:szCs w:val="20"/>
          <w:lang w:val="es-ES"/>
        </w:rPr>
        <w:t xml:space="preserve">; </w:t>
      </w:r>
      <w:r w:rsidR="00C42C81" w:rsidRPr="00C42C81">
        <w:rPr>
          <w:rFonts w:asciiTheme="majorHAnsi" w:hAnsiTheme="majorHAnsi" w:cstheme="minorHAnsi"/>
          <w:sz w:val="20"/>
          <w:szCs w:val="20"/>
          <w:lang w:val="es-ES"/>
        </w:rPr>
        <w:t>B</w:t>
      </w:r>
      <w:r w:rsidR="00C42C81">
        <w:rPr>
          <w:rFonts w:asciiTheme="majorHAnsi" w:hAnsiTheme="majorHAnsi" w:cstheme="minorHAnsi"/>
          <w:sz w:val="20"/>
          <w:szCs w:val="20"/>
          <w:lang w:val="es-ES"/>
        </w:rPr>
        <w:t>ono por Trabajo Pesado (art.11)</w:t>
      </w:r>
      <w:r w:rsidR="007C3293">
        <w:rPr>
          <w:rFonts w:asciiTheme="majorHAnsi" w:hAnsiTheme="majorHAnsi" w:cstheme="minorHAnsi"/>
          <w:sz w:val="20"/>
          <w:szCs w:val="20"/>
          <w:lang w:val="es-ES"/>
        </w:rPr>
        <w:t xml:space="preserve">; </w:t>
      </w:r>
      <w:r w:rsidR="00C42C81" w:rsidRPr="00C42C81">
        <w:rPr>
          <w:rFonts w:asciiTheme="majorHAnsi" w:hAnsiTheme="majorHAnsi" w:cstheme="minorHAnsi"/>
          <w:sz w:val="20"/>
          <w:szCs w:val="20"/>
          <w:lang w:val="es-ES"/>
        </w:rPr>
        <w:t>Plazos especiales para postular al Bono Post Laboral – Ley N°20.305. (</w:t>
      </w:r>
      <w:proofErr w:type="gramStart"/>
      <w:r w:rsidR="00C42C81" w:rsidRPr="00C42C81">
        <w:rPr>
          <w:rFonts w:asciiTheme="majorHAnsi" w:hAnsiTheme="majorHAnsi" w:cstheme="minorHAnsi"/>
          <w:sz w:val="20"/>
          <w:szCs w:val="20"/>
          <w:lang w:val="es-ES"/>
        </w:rPr>
        <w:t>art</w:t>
      </w:r>
      <w:proofErr w:type="gramEnd"/>
      <w:r w:rsidR="00C42C81" w:rsidRPr="00C42C81">
        <w:rPr>
          <w:rFonts w:asciiTheme="majorHAnsi" w:hAnsiTheme="majorHAnsi" w:cstheme="minorHAnsi"/>
          <w:sz w:val="20"/>
          <w:szCs w:val="20"/>
          <w:lang w:val="es-ES"/>
        </w:rPr>
        <w:t>. 15)</w:t>
      </w:r>
      <w:r>
        <w:rPr>
          <w:rFonts w:asciiTheme="majorHAnsi" w:hAnsiTheme="majorHAnsi" w:cstheme="minorHAnsi"/>
          <w:sz w:val="20"/>
          <w:szCs w:val="20"/>
          <w:lang w:val="es-ES"/>
        </w:rPr>
        <w:t xml:space="preserve"> </w:t>
      </w:r>
    </w:p>
    <w:p w:rsidR="002F1550" w:rsidRPr="002F1550" w:rsidRDefault="00C42C81" w:rsidP="002F1550">
      <w:pPr>
        <w:jc w:val="both"/>
        <w:rPr>
          <w:rFonts w:asciiTheme="majorHAnsi" w:hAnsiTheme="majorHAnsi" w:cstheme="minorHAnsi"/>
          <w:sz w:val="20"/>
          <w:szCs w:val="20"/>
          <w:lang w:val="es-ES"/>
        </w:rPr>
      </w:pPr>
      <w:r>
        <w:rPr>
          <w:rFonts w:asciiTheme="majorHAnsi" w:hAnsiTheme="majorHAnsi" w:cstheme="minorHAnsi"/>
          <w:sz w:val="20"/>
          <w:szCs w:val="20"/>
          <w:lang w:val="es-ES"/>
        </w:rPr>
        <w:t xml:space="preserve">2) </w:t>
      </w:r>
      <w:r w:rsidR="0049154F">
        <w:rPr>
          <w:rFonts w:asciiTheme="majorHAnsi" w:hAnsiTheme="majorHAnsi" w:cstheme="minorHAnsi"/>
          <w:sz w:val="20"/>
          <w:szCs w:val="20"/>
          <w:lang w:val="es-ES"/>
        </w:rPr>
        <w:t>Monto</w:t>
      </w:r>
      <w:r w:rsidR="002F1550" w:rsidRPr="002F1550">
        <w:rPr>
          <w:rFonts w:asciiTheme="majorHAnsi" w:hAnsiTheme="majorHAnsi" w:cstheme="minorHAnsi"/>
          <w:sz w:val="20"/>
          <w:szCs w:val="20"/>
          <w:lang w:val="es-ES"/>
        </w:rPr>
        <w:t>: Un mes de remuneración por cada año de servicio o fracción superior a 6 meses prestados por el funcionario en la administración municipal, con un máximo de 6 meses.</w:t>
      </w:r>
    </w:p>
    <w:p w:rsidR="002F1550" w:rsidRPr="002F1550" w:rsidRDefault="002F1550" w:rsidP="002F1550">
      <w:pPr>
        <w:jc w:val="both"/>
        <w:rPr>
          <w:rFonts w:asciiTheme="majorHAnsi" w:hAnsiTheme="majorHAnsi" w:cstheme="minorHAnsi"/>
          <w:sz w:val="20"/>
          <w:szCs w:val="20"/>
          <w:lang w:val="es-ES"/>
        </w:rPr>
      </w:pPr>
      <w:r w:rsidRPr="002F1550">
        <w:rPr>
          <w:rFonts w:asciiTheme="majorHAnsi" w:hAnsiTheme="majorHAnsi" w:cstheme="minorHAnsi"/>
          <w:sz w:val="20"/>
          <w:szCs w:val="20"/>
          <w:lang w:val="es-ES"/>
        </w:rPr>
        <w:t>El Alcalde, previo acuerdo del Concejo Municipal, podrá otorgar una bonificación por retiro complementaria la que en conjunto con la anterior no podrá sobrepasar los años de servicio prestados en la administración municipal, ni ser superior a 11 meses de bonificación.</w:t>
      </w:r>
    </w:p>
    <w:p w:rsidR="002F1550" w:rsidRPr="002F1550" w:rsidRDefault="002F1550" w:rsidP="002F1550">
      <w:pPr>
        <w:jc w:val="both"/>
        <w:rPr>
          <w:rFonts w:asciiTheme="majorHAnsi" w:hAnsiTheme="majorHAnsi" w:cstheme="minorHAnsi"/>
          <w:sz w:val="20"/>
          <w:szCs w:val="20"/>
          <w:lang w:val="es-ES"/>
        </w:rPr>
      </w:pPr>
      <w:r w:rsidRPr="002F1550">
        <w:rPr>
          <w:rFonts w:asciiTheme="majorHAnsi" w:hAnsiTheme="majorHAnsi" w:cstheme="minorHAnsi"/>
          <w:sz w:val="20"/>
          <w:szCs w:val="20"/>
          <w:lang w:val="es-ES"/>
        </w:rPr>
        <w:t>Se reconocerán los períodos discontinuos, siempre que ellos sean superiores a un año, o al menos, uno de ellos sea superior a 5 años.</w:t>
      </w:r>
    </w:p>
    <w:p w:rsidR="002F1550" w:rsidRPr="002F1550" w:rsidRDefault="002F1550" w:rsidP="002F1550">
      <w:pPr>
        <w:jc w:val="both"/>
        <w:rPr>
          <w:rFonts w:asciiTheme="majorHAnsi" w:hAnsiTheme="majorHAnsi" w:cstheme="minorHAnsi"/>
          <w:sz w:val="20"/>
          <w:szCs w:val="20"/>
          <w:lang w:val="es-ES"/>
        </w:rPr>
      </w:pPr>
      <w:r w:rsidRPr="002F1550">
        <w:rPr>
          <w:rFonts w:asciiTheme="majorHAnsi" w:hAnsiTheme="majorHAnsi" w:cstheme="minorHAnsi"/>
          <w:sz w:val="20"/>
          <w:szCs w:val="20"/>
          <w:lang w:val="es-ES"/>
        </w:rPr>
        <w:t xml:space="preserve">Base de cálculo: Promedio de las remuneraciones mensuales de los últimos 12 meses inmediatamente anteriores al cese de funciones, </w:t>
      </w:r>
      <w:proofErr w:type="gramStart"/>
      <w:r w:rsidRPr="002F1550">
        <w:rPr>
          <w:rFonts w:asciiTheme="majorHAnsi" w:hAnsiTheme="majorHAnsi" w:cstheme="minorHAnsi"/>
          <w:sz w:val="20"/>
          <w:szCs w:val="20"/>
          <w:lang w:val="es-ES"/>
        </w:rPr>
        <w:t>actualizados</w:t>
      </w:r>
      <w:proofErr w:type="gramEnd"/>
      <w:r w:rsidRPr="002F1550">
        <w:rPr>
          <w:rFonts w:asciiTheme="majorHAnsi" w:hAnsiTheme="majorHAnsi" w:cstheme="minorHAnsi"/>
          <w:sz w:val="20"/>
          <w:szCs w:val="20"/>
          <w:lang w:val="es-ES"/>
        </w:rPr>
        <w:t xml:space="preserve"> según IPC determinado por el INE.</w:t>
      </w:r>
    </w:p>
    <w:p w:rsidR="002F1550" w:rsidRPr="002F1550" w:rsidRDefault="00C42C81" w:rsidP="002F1550">
      <w:pPr>
        <w:jc w:val="both"/>
        <w:rPr>
          <w:rFonts w:asciiTheme="majorHAnsi" w:hAnsiTheme="majorHAnsi" w:cstheme="minorHAnsi"/>
          <w:sz w:val="20"/>
          <w:szCs w:val="20"/>
          <w:lang w:val="es-ES"/>
        </w:rPr>
      </w:pPr>
      <w:r>
        <w:rPr>
          <w:rFonts w:asciiTheme="majorHAnsi" w:hAnsiTheme="majorHAnsi" w:cstheme="minorHAnsi"/>
          <w:sz w:val="20"/>
          <w:szCs w:val="20"/>
          <w:lang w:val="es-ES"/>
        </w:rPr>
        <w:t>3</w:t>
      </w:r>
      <w:r w:rsidR="002F1550" w:rsidRPr="002F1550">
        <w:rPr>
          <w:rFonts w:asciiTheme="majorHAnsi" w:hAnsiTheme="majorHAnsi" w:cstheme="minorHAnsi"/>
          <w:sz w:val="20"/>
          <w:szCs w:val="20"/>
          <w:lang w:val="es-ES"/>
        </w:rPr>
        <w:t>) Financiamiento: cargo municipal. Las municipalidades podrán solicitar anticipos con cargo al Fondo Común Municipal para destinarlos al pago de esta bonificación (artículo 18)</w:t>
      </w:r>
    </w:p>
    <w:p w:rsidR="00FB0877" w:rsidRDefault="00C42C81" w:rsidP="002F1550">
      <w:pPr>
        <w:jc w:val="both"/>
        <w:rPr>
          <w:rFonts w:asciiTheme="majorHAnsi" w:hAnsiTheme="majorHAnsi" w:cstheme="minorHAnsi"/>
          <w:sz w:val="20"/>
          <w:szCs w:val="20"/>
          <w:lang w:val="es-ES"/>
        </w:rPr>
      </w:pPr>
      <w:r>
        <w:rPr>
          <w:rFonts w:asciiTheme="majorHAnsi" w:hAnsiTheme="majorHAnsi" w:cstheme="minorHAnsi"/>
          <w:sz w:val="20"/>
          <w:szCs w:val="20"/>
          <w:lang w:val="es-ES"/>
        </w:rPr>
        <w:t>4</w:t>
      </w:r>
      <w:r w:rsidR="002F1550">
        <w:rPr>
          <w:rFonts w:asciiTheme="majorHAnsi" w:hAnsiTheme="majorHAnsi" w:cstheme="minorHAnsi"/>
          <w:sz w:val="20"/>
          <w:szCs w:val="20"/>
          <w:lang w:val="es-ES"/>
        </w:rPr>
        <w:t>) Características</w:t>
      </w:r>
      <w:r w:rsidR="002F1550" w:rsidRPr="002F1550">
        <w:rPr>
          <w:rFonts w:asciiTheme="majorHAnsi" w:hAnsiTheme="majorHAnsi" w:cstheme="minorHAnsi"/>
          <w:sz w:val="20"/>
          <w:szCs w:val="20"/>
          <w:lang w:val="es-ES"/>
        </w:rPr>
        <w:t>: las edades para impetrar el beneficio pueden rebajarse por la realización de trabajos pesados (artículo 16). No constituye renta y no será imponible ni tributable.</w:t>
      </w:r>
    </w:p>
    <w:p w:rsidR="00954EDE" w:rsidRDefault="00C42C81" w:rsidP="002F1550">
      <w:pPr>
        <w:jc w:val="both"/>
        <w:rPr>
          <w:rFonts w:asciiTheme="majorHAnsi" w:hAnsiTheme="majorHAnsi" w:cstheme="minorHAnsi"/>
          <w:sz w:val="20"/>
          <w:szCs w:val="20"/>
          <w:lang w:val="es-ES"/>
        </w:rPr>
      </w:pPr>
      <w:r>
        <w:rPr>
          <w:rFonts w:asciiTheme="majorHAnsi" w:hAnsiTheme="majorHAnsi" w:cstheme="minorHAnsi"/>
          <w:sz w:val="20"/>
          <w:szCs w:val="20"/>
          <w:lang w:val="es-ES"/>
        </w:rPr>
        <w:t>5</w:t>
      </w:r>
      <w:r w:rsidR="003E779B">
        <w:rPr>
          <w:rFonts w:asciiTheme="majorHAnsi" w:hAnsiTheme="majorHAnsi" w:cstheme="minorHAnsi"/>
          <w:sz w:val="20"/>
          <w:szCs w:val="20"/>
          <w:lang w:val="es-ES"/>
        </w:rPr>
        <w:t>) Beneficiarios</w:t>
      </w:r>
    </w:p>
    <w:p w:rsidR="00710F64" w:rsidRDefault="00954EDE" w:rsidP="002F1550">
      <w:pPr>
        <w:jc w:val="both"/>
        <w:rPr>
          <w:rFonts w:asciiTheme="majorHAnsi" w:hAnsiTheme="majorHAnsi" w:cstheme="minorHAnsi"/>
          <w:sz w:val="20"/>
          <w:szCs w:val="20"/>
          <w:lang w:val="es-ES"/>
        </w:rPr>
      </w:pPr>
      <w:r>
        <w:rPr>
          <w:rFonts w:asciiTheme="majorHAnsi" w:hAnsiTheme="majorHAnsi" w:cstheme="minorHAnsi"/>
          <w:sz w:val="20"/>
          <w:szCs w:val="20"/>
          <w:lang w:val="es-ES"/>
        </w:rPr>
        <w:t xml:space="preserve">a) </w:t>
      </w:r>
      <w:r w:rsidRPr="00954EDE">
        <w:rPr>
          <w:rFonts w:asciiTheme="majorHAnsi" w:hAnsiTheme="majorHAnsi" w:cstheme="minorHAnsi"/>
          <w:sz w:val="20"/>
          <w:szCs w:val="20"/>
          <w:lang w:val="es-ES"/>
        </w:rPr>
        <w:t>Funcionarios y funcionarias municipales</w:t>
      </w:r>
      <w:r>
        <w:rPr>
          <w:rFonts w:asciiTheme="majorHAnsi" w:hAnsiTheme="majorHAnsi" w:cstheme="minorHAnsi"/>
          <w:sz w:val="20"/>
          <w:szCs w:val="20"/>
          <w:lang w:val="es-ES"/>
        </w:rPr>
        <w:t xml:space="preserve"> </w:t>
      </w:r>
      <w:r w:rsidRPr="00954EDE">
        <w:rPr>
          <w:rFonts w:asciiTheme="majorHAnsi" w:hAnsiTheme="majorHAnsi" w:cstheme="minorHAnsi"/>
          <w:sz w:val="20"/>
          <w:szCs w:val="20"/>
          <w:lang w:val="es-ES"/>
        </w:rPr>
        <w:t>que entre el 1 de julio de 2014 y el 31 de diciembre de 2024, hayan cumplido 60 años de edad si son mujeres o 65 años de edad si son hombres (artículo 1).</w:t>
      </w:r>
    </w:p>
    <w:p w:rsidR="00954EDE" w:rsidRPr="00954EDE" w:rsidRDefault="00C42C81" w:rsidP="002F1550">
      <w:pPr>
        <w:jc w:val="both"/>
        <w:rPr>
          <w:rFonts w:asciiTheme="majorHAnsi" w:hAnsiTheme="majorHAnsi" w:cstheme="minorHAnsi"/>
          <w:sz w:val="20"/>
          <w:szCs w:val="20"/>
        </w:rPr>
      </w:pPr>
      <w:r>
        <w:rPr>
          <w:rFonts w:asciiTheme="majorHAnsi" w:hAnsiTheme="majorHAnsi" w:cstheme="minorHAnsi"/>
          <w:sz w:val="20"/>
          <w:szCs w:val="20"/>
          <w:lang w:val="es-ES"/>
        </w:rPr>
        <w:t>b</w:t>
      </w:r>
      <w:r w:rsidR="00954EDE">
        <w:rPr>
          <w:rFonts w:asciiTheme="majorHAnsi" w:hAnsiTheme="majorHAnsi" w:cstheme="minorHAnsi"/>
          <w:sz w:val="20"/>
          <w:szCs w:val="20"/>
          <w:lang w:val="es-ES"/>
        </w:rPr>
        <w:t xml:space="preserve">) </w:t>
      </w:r>
      <w:r w:rsidR="00954EDE" w:rsidRPr="00954EDE">
        <w:rPr>
          <w:rFonts w:asciiTheme="majorHAnsi" w:hAnsiTheme="majorHAnsi" w:cstheme="minorHAnsi"/>
          <w:sz w:val="20"/>
          <w:szCs w:val="20"/>
          <w:lang w:val="es-ES"/>
        </w:rPr>
        <w:t>Funcionarios y funcionarias municipales</w:t>
      </w:r>
      <w:r w:rsidR="00954EDE">
        <w:rPr>
          <w:rFonts w:asciiTheme="majorHAnsi" w:hAnsiTheme="majorHAnsi" w:cstheme="minorHAnsi"/>
          <w:sz w:val="20"/>
          <w:szCs w:val="20"/>
          <w:lang w:val="es-ES"/>
        </w:rPr>
        <w:t xml:space="preserve"> </w:t>
      </w:r>
      <w:r w:rsidR="00954EDE" w:rsidRPr="00954EDE">
        <w:rPr>
          <w:rFonts w:asciiTheme="majorHAnsi" w:hAnsiTheme="majorHAnsi" w:cstheme="minorHAnsi"/>
          <w:sz w:val="20"/>
          <w:szCs w:val="20"/>
          <w:lang w:val="es-ES"/>
        </w:rPr>
        <w:t>que hayan obtenido u obtengan pensión de invalidez  del D.L. N° 3500, de 1980, entre la publicación de esta ley y el 31 de diciembre de 2024 (artículo 2).</w:t>
      </w:r>
    </w:p>
    <w:p w:rsidR="002F1550" w:rsidRDefault="002F1550" w:rsidP="00083B26">
      <w:pPr>
        <w:rPr>
          <w:rFonts w:asciiTheme="majorHAnsi" w:hAnsiTheme="majorHAnsi" w:cstheme="minorHAnsi"/>
          <w:b/>
          <w:sz w:val="20"/>
          <w:szCs w:val="20"/>
          <w:lang w:val="es-ES"/>
        </w:rPr>
      </w:pPr>
    </w:p>
    <w:p w:rsidR="00D0268D" w:rsidRDefault="00493BFA" w:rsidP="00083B26">
      <w:pPr>
        <w:jc w:val="both"/>
        <w:rPr>
          <w:rFonts w:asciiTheme="majorHAnsi" w:hAnsiTheme="majorHAnsi" w:cstheme="minorHAnsi"/>
          <w:sz w:val="20"/>
          <w:szCs w:val="20"/>
          <w:lang w:val="es-ES"/>
        </w:rPr>
      </w:pPr>
      <w:r>
        <w:rPr>
          <w:rFonts w:asciiTheme="majorHAnsi" w:hAnsiTheme="majorHAnsi" w:cstheme="minorHAnsi"/>
          <w:b/>
          <w:sz w:val="20"/>
          <w:szCs w:val="20"/>
          <w:lang w:val="es-ES"/>
        </w:rPr>
        <w:t xml:space="preserve">Conclusión: </w:t>
      </w:r>
      <w:r>
        <w:rPr>
          <w:rFonts w:asciiTheme="majorHAnsi" w:hAnsiTheme="majorHAnsi" w:cstheme="minorHAnsi"/>
          <w:sz w:val="20"/>
          <w:szCs w:val="20"/>
          <w:lang w:val="es-ES"/>
        </w:rPr>
        <w:t>P</w:t>
      </w:r>
      <w:r w:rsidR="00083B26">
        <w:rPr>
          <w:rFonts w:asciiTheme="majorHAnsi" w:hAnsiTheme="majorHAnsi" w:cstheme="minorHAnsi"/>
          <w:sz w:val="20"/>
          <w:szCs w:val="20"/>
          <w:lang w:val="es-ES"/>
        </w:rPr>
        <w:t xml:space="preserve">or </w:t>
      </w:r>
      <w:r>
        <w:rPr>
          <w:rFonts w:asciiTheme="majorHAnsi" w:hAnsiTheme="majorHAnsi" w:cstheme="minorHAnsi"/>
          <w:sz w:val="20"/>
          <w:szCs w:val="20"/>
          <w:lang w:val="es-ES"/>
        </w:rPr>
        <w:t>ú</w:t>
      </w:r>
      <w:r w:rsidR="00083B26">
        <w:rPr>
          <w:rFonts w:asciiTheme="majorHAnsi" w:hAnsiTheme="majorHAnsi" w:cstheme="minorHAnsi"/>
          <w:sz w:val="20"/>
          <w:szCs w:val="20"/>
          <w:lang w:val="es-ES"/>
        </w:rPr>
        <w:t>ltimo se</w:t>
      </w:r>
      <w:r>
        <w:rPr>
          <w:rFonts w:asciiTheme="majorHAnsi" w:hAnsiTheme="majorHAnsi" w:cstheme="minorHAnsi"/>
          <w:sz w:val="20"/>
          <w:szCs w:val="20"/>
          <w:lang w:val="es-ES"/>
        </w:rPr>
        <w:t>ñ</w:t>
      </w:r>
      <w:r w:rsidR="00083B26">
        <w:rPr>
          <w:rFonts w:asciiTheme="majorHAnsi" w:hAnsiTheme="majorHAnsi" w:cstheme="minorHAnsi"/>
          <w:sz w:val="20"/>
          <w:szCs w:val="20"/>
          <w:lang w:val="es-ES"/>
        </w:rPr>
        <w:t xml:space="preserve">or Presidente, </w:t>
      </w:r>
      <w:r w:rsidR="0036194C">
        <w:rPr>
          <w:rFonts w:asciiTheme="majorHAnsi" w:hAnsiTheme="majorHAnsi" w:cstheme="minorHAnsi"/>
          <w:sz w:val="20"/>
          <w:szCs w:val="20"/>
          <w:lang w:val="es-ES"/>
        </w:rPr>
        <w:t>p</w:t>
      </w:r>
      <w:r w:rsidR="00D0268D">
        <w:rPr>
          <w:rFonts w:asciiTheme="majorHAnsi" w:hAnsiTheme="majorHAnsi" w:cstheme="minorHAnsi"/>
          <w:sz w:val="20"/>
          <w:szCs w:val="20"/>
          <w:lang w:val="es-ES"/>
        </w:rPr>
        <w:t>rontamente, el 16 de septiembre se celebra el día del Funcionario Municipal</w:t>
      </w:r>
      <w:r w:rsidR="0036194C">
        <w:rPr>
          <w:rFonts w:asciiTheme="majorHAnsi" w:hAnsiTheme="majorHAnsi" w:cstheme="minorHAnsi"/>
          <w:sz w:val="20"/>
          <w:szCs w:val="20"/>
          <w:lang w:val="es-ES"/>
        </w:rPr>
        <w:t xml:space="preserve">, ello </w:t>
      </w:r>
      <w:r w:rsidR="0036194C" w:rsidRPr="0036194C">
        <w:rPr>
          <w:rFonts w:asciiTheme="majorHAnsi" w:hAnsiTheme="majorHAnsi" w:cstheme="minorHAnsi"/>
          <w:sz w:val="20"/>
          <w:szCs w:val="20"/>
          <w:lang w:val="es-ES"/>
        </w:rPr>
        <w:t>como reconocimiento a la labor del servidor público Municipal por su vocación de servicio y la contribución permanente e histórica de los trabajadores y trabajadoras Municipales hacia la comunidad local</w:t>
      </w:r>
    </w:p>
    <w:p w:rsidR="00BC6A62" w:rsidRPr="00083B26" w:rsidRDefault="00BC6A62" w:rsidP="00083B26">
      <w:pPr>
        <w:jc w:val="both"/>
        <w:rPr>
          <w:rFonts w:asciiTheme="majorHAnsi" w:hAnsiTheme="majorHAnsi" w:cstheme="minorHAnsi"/>
          <w:sz w:val="20"/>
          <w:szCs w:val="20"/>
        </w:rPr>
      </w:pPr>
      <w:r>
        <w:rPr>
          <w:rFonts w:asciiTheme="majorHAnsi" w:hAnsiTheme="majorHAnsi" w:cstheme="minorHAnsi"/>
          <w:sz w:val="20"/>
          <w:szCs w:val="20"/>
          <w:lang w:val="es-ES"/>
        </w:rPr>
        <w:t>Es en este sentido señor Presidente</w:t>
      </w:r>
      <w:r w:rsidR="0036194C">
        <w:rPr>
          <w:rFonts w:asciiTheme="majorHAnsi" w:hAnsiTheme="majorHAnsi" w:cstheme="minorHAnsi"/>
          <w:sz w:val="20"/>
          <w:szCs w:val="20"/>
          <w:lang w:val="es-ES"/>
        </w:rPr>
        <w:t>, que valorando el esfuerzo del Gobierno en considerar esta posibilidad de incentivo al retiro, y a la noble labor de estos trabajadores,</w:t>
      </w:r>
      <w:r>
        <w:rPr>
          <w:rFonts w:asciiTheme="majorHAnsi" w:hAnsiTheme="majorHAnsi" w:cstheme="minorHAnsi"/>
          <w:sz w:val="20"/>
          <w:szCs w:val="20"/>
          <w:lang w:val="es-ES"/>
        </w:rPr>
        <w:t xml:space="preserve"> concurro con mi voto favorable a esta iniciativa en beneficio de los funcionarios municipales y su mérito laboral.</w:t>
      </w:r>
    </w:p>
    <w:p w:rsidR="002F1550" w:rsidRPr="000B2C45" w:rsidRDefault="002F1550" w:rsidP="00FB0877">
      <w:pPr>
        <w:ind w:left="1080" w:firstLine="330"/>
        <w:jc w:val="center"/>
        <w:rPr>
          <w:rFonts w:asciiTheme="majorHAnsi" w:hAnsiTheme="majorHAnsi" w:cstheme="minorHAnsi"/>
          <w:sz w:val="20"/>
          <w:szCs w:val="20"/>
          <w:lang w:val="es-ES"/>
        </w:rPr>
      </w:pPr>
    </w:p>
    <w:p w:rsidR="003836C1" w:rsidRPr="00D73EDD" w:rsidRDefault="00FB0877" w:rsidP="00D73EDD">
      <w:pPr>
        <w:jc w:val="both"/>
        <w:rPr>
          <w:rFonts w:asciiTheme="majorHAnsi" w:hAnsiTheme="majorHAnsi" w:cstheme="minorHAnsi"/>
          <w:b/>
          <w:sz w:val="20"/>
          <w:szCs w:val="20"/>
          <w:lang w:val="es-ES"/>
        </w:rPr>
      </w:pPr>
      <w:r w:rsidRPr="000B2C45">
        <w:rPr>
          <w:rFonts w:asciiTheme="majorHAnsi" w:hAnsiTheme="majorHAnsi" w:cstheme="minorHAnsi"/>
          <w:b/>
          <w:sz w:val="20"/>
          <w:szCs w:val="20"/>
          <w:lang w:val="es-ES"/>
        </w:rPr>
        <w:t>HE DICHO SEÑOR PRESIDENTE, GRACIAS.</w:t>
      </w:r>
    </w:p>
    <w:sectPr w:rsidR="003836C1" w:rsidRPr="00D73EDD" w:rsidSect="005B68ED">
      <w:headerReference w:type="default" r:id="rId8"/>
      <w:footerReference w:type="default" r:id="rId9"/>
      <w:pgSz w:w="12240" w:h="15840" w:code="1"/>
      <w:pgMar w:top="1417" w:right="1701" w:bottom="1417" w:left="1701" w:header="708"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0877" w:rsidRDefault="00FB0877" w:rsidP="00FB0877">
      <w:pPr>
        <w:spacing w:after="0" w:line="240" w:lineRule="auto"/>
      </w:pPr>
      <w:r>
        <w:separator/>
      </w:r>
    </w:p>
  </w:endnote>
  <w:endnote w:type="continuationSeparator" w:id="0">
    <w:p w:rsidR="00FB0877" w:rsidRDefault="00FB0877" w:rsidP="00FB0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625313"/>
      <w:docPartObj>
        <w:docPartGallery w:val="Page Numbers (Bottom of Page)"/>
        <w:docPartUnique/>
      </w:docPartObj>
    </w:sdtPr>
    <w:sdtEndPr/>
    <w:sdtContent>
      <w:sdt>
        <w:sdtPr>
          <w:id w:val="860082579"/>
          <w:docPartObj>
            <w:docPartGallery w:val="Page Numbers (Top of Page)"/>
            <w:docPartUnique/>
          </w:docPartObj>
        </w:sdtPr>
        <w:sdtEndPr/>
        <w:sdtContent>
          <w:p w:rsidR="00430BA2" w:rsidRDefault="00A30B72" w:rsidP="00430BA2">
            <w:pPr>
              <w:pStyle w:val="Piedepgina"/>
              <w:rPr>
                <w:b/>
                <w:bCs/>
                <w:sz w:val="24"/>
                <w:szCs w:val="24"/>
              </w:rPr>
            </w:pPr>
            <w:r>
              <w:rPr>
                <w:sz w:val="16"/>
                <w:szCs w:val="16"/>
              </w:rPr>
              <w:t xml:space="preserve">Valeria Ramírez J. Abogado. </w:t>
            </w:r>
            <w:hyperlink r:id="rId1" w:history="1">
              <w:r w:rsidRPr="00022124">
                <w:rPr>
                  <w:rStyle w:val="Hipervnculo"/>
                  <w:sz w:val="16"/>
                  <w:szCs w:val="16"/>
                </w:rPr>
                <w:t>vramirez@senado.cl</w:t>
              </w:r>
            </w:hyperlink>
            <w:r>
              <w:rPr>
                <w:sz w:val="16"/>
                <w:szCs w:val="16"/>
              </w:rPr>
              <w:t xml:space="preserve"> </w:t>
            </w:r>
            <w:r>
              <w:rPr>
                <w:sz w:val="16"/>
                <w:szCs w:val="16"/>
              </w:rPr>
              <w:tab/>
            </w:r>
            <w:r>
              <w:rPr>
                <w:sz w:val="16"/>
                <w:szCs w:val="16"/>
              </w:rPr>
              <w:tab/>
              <w:t xml:space="preserve">                                                                                                        </w:t>
            </w:r>
            <w:r>
              <w:t xml:space="preserve"> </w:t>
            </w:r>
            <w:r>
              <w:rPr>
                <w:b/>
                <w:bCs/>
                <w:sz w:val="24"/>
                <w:szCs w:val="24"/>
              </w:rPr>
              <w:fldChar w:fldCharType="begin"/>
            </w:r>
            <w:r>
              <w:rPr>
                <w:b/>
                <w:bCs/>
              </w:rPr>
              <w:instrText>PAGE</w:instrText>
            </w:r>
            <w:r>
              <w:rPr>
                <w:b/>
                <w:bCs/>
                <w:sz w:val="24"/>
                <w:szCs w:val="24"/>
              </w:rPr>
              <w:fldChar w:fldCharType="separate"/>
            </w:r>
            <w:r w:rsidR="00D73EDD">
              <w:rPr>
                <w:b/>
                <w:bCs/>
                <w:noProof/>
              </w:rPr>
              <w:t>1</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73EDD">
              <w:rPr>
                <w:b/>
                <w:bCs/>
                <w:noProof/>
              </w:rPr>
              <w:t>2</w:t>
            </w:r>
            <w:r>
              <w:rPr>
                <w:b/>
                <w:bCs/>
                <w:sz w:val="24"/>
                <w:szCs w:val="24"/>
              </w:rPr>
              <w:fldChar w:fldCharType="end"/>
            </w:r>
          </w:p>
          <w:p w:rsidR="00D45FAB" w:rsidRDefault="00D73EDD" w:rsidP="00430BA2">
            <w:pPr>
              <w:pStyle w:val="Piedepgina"/>
            </w:pPr>
          </w:p>
          <w:p w:rsidR="00430BA2" w:rsidRDefault="00A30B72" w:rsidP="00430BA2">
            <w:pPr>
              <w:pStyle w:val="Piedepgina"/>
            </w:pPr>
            <w:r>
              <w:rPr>
                <w:sz w:val="16"/>
                <w:szCs w:val="16"/>
              </w:rPr>
              <w:t xml:space="preserve">    </w:t>
            </w:r>
          </w:p>
        </w:sdtContent>
      </w:sdt>
    </w:sdtContent>
  </w:sdt>
  <w:p w:rsidR="00D6112F" w:rsidRDefault="00D73E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0877" w:rsidRDefault="00FB0877" w:rsidP="00FB0877">
      <w:pPr>
        <w:spacing w:after="0" w:line="240" w:lineRule="auto"/>
      </w:pPr>
      <w:r>
        <w:separator/>
      </w:r>
    </w:p>
  </w:footnote>
  <w:footnote w:type="continuationSeparator" w:id="0">
    <w:p w:rsidR="00FB0877" w:rsidRDefault="00FB0877" w:rsidP="00FB0877">
      <w:pPr>
        <w:spacing w:after="0" w:line="240" w:lineRule="auto"/>
      </w:pPr>
      <w:r>
        <w:continuationSeparator/>
      </w:r>
    </w:p>
  </w:footnote>
  <w:footnote w:id="1">
    <w:p w:rsidR="00B07DDA" w:rsidRDefault="00B07DDA">
      <w:pPr>
        <w:pStyle w:val="Textonotapie"/>
      </w:pPr>
      <w:r>
        <w:rPr>
          <w:rStyle w:val="Refdenotaalpie"/>
        </w:rPr>
        <w:footnoteRef/>
      </w:r>
      <w:r>
        <w:t xml:space="preserve"> </w:t>
      </w:r>
      <w:r w:rsidRPr="00B07DDA">
        <w:t>Gruber y Wise 1999, 2004; Coile y Gruber 2001</w:t>
      </w:r>
    </w:p>
  </w:footnote>
  <w:footnote w:id="2">
    <w:p w:rsidR="00D775CF" w:rsidRDefault="00D775CF">
      <w:pPr>
        <w:pStyle w:val="Textonotapie"/>
      </w:pPr>
      <w:r>
        <w:rPr>
          <w:rStyle w:val="Refdenotaalpie"/>
        </w:rPr>
        <w:footnoteRef/>
      </w:r>
      <w:r>
        <w:t xml:space="preserve"> </w:t>
      </w:r>
      <w:r w:rsidRPr="00D775CF">
        <w:t>James y Cox-Edwards (2005) atribuyen el cambio de tendencia que se observa en Chile en la tasa de actividad de los adultos mayores a la reforma de la seguridad social iniciada en 1981.</w:t>
      </w:r>
    </w:p>
    <w:p w:rsidR="00D775CF" w:rsidRDefault="00D775CF">
      <w:pPr>
        <w:pStyle w:val="Textonotapie"/>
      </w:pPr>
    </w:p>
  </w:footnote>
  <w:footnote w:id="3">
    <w:p w:rsidR="00D0268D" w:rsidRDefault="00D0268D" w:rsidP="00D0268D">
      <w:pPr>
        <w:pStyle w:val="Textonotapie"/>
      </w:pPr>
      <w:r>
        <w:rPr>
          <w:rStyle w:val="Refdenotaalpie"/>
        </w:rPr>
        <w:footnoteRef/>
      </w:r>
      <w:r>
        <w:t xml:space="preserve"> B</w:t>
      </w:r>
      <w:r w:rsidRPr="0077724C">
        <w:t>urtless y Quinn, 2000</w:t>
      </w:r>
    </w:p>
  </w:footnote>
  <w:footnote w:id="4">
    <w:p w:rsidR="00D0268D" w:rsidRDefault="00D0268D" w:rsidP="00D0268D">
      <w:pPr>
        <w:pStyle w:val="Textonotapie"/>
      </w:pPr>
      <w:r>
        <w:rPr>
          <w:rStyle w:val="Refdenotaalpie"/>
        </w:rPr>
        <w:footnoteRef/>
      </w:r>
      <w:r>
        <w:t xml:space="preserve"> </w:t>
      </w:r>
      <w:r w:rsidRPr="00BC6A62">
        <w:t>Gruber y Wise 1999, 2004; Burtless y Quinn, 2000</w:t>
      </w:r>
    </w:p>
  </w:footnote>
  <w:footnote w:id="5">
    <w:p w:rsidR="00D0268D" w:rsidRDefault="00D0268D" w:rsidP="00D0268D">
      <w:pPr>
        <w:pStyle w:val="Textonotapie"/>
      </w:pPr>
      <w:r>
        <w:rPr>
          <w:rStyle w:val="Refdenotaalpie"/>
        </w:rPr>
        <w:footnoteRef/>
      </w:r>
      <w:r>
        <w:t xml:space="preserve"> </w:t>
      </w:r>
      <w:r w:rsidRPr="00BC6A62">
        <w:t>Börsch-Supan y Schnabel, 1999; Diamond y Gruber, 1999; Blanchet</w:t>
      </w:r>
      <w:bookmarkStart w:id="0" w:name="_GoBack"/>
      <w:bookmarkEnd w:id="0"/>
      <w:r w:rsidRPr="00BC6A62">
        <w:t xml:space="preserve"> y Pelé, 1999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0BA2" w:rsidRDefault="00A30B72" w:rsidP="00430BA2">
    <w:pPr>
      <w:pStyle w:val="Encabezado"/>
      <w:pBdr>
        <w:bottom w:val="single" w:sz="4" w:space="1" w:color="auto"/>
      </w:pBdr>
      <w:jc w:val="right"/>
      <w:rPr>
        <w:rFonts w:ascii="Trebuchet MS" w:hAnsi="Trebuchet MS"/>
        <w:b/>
        <w:sz w:val="18"/>
        <w:szCs w:val="18"/>
      </w:rPr>
    </w:pPr>
    <w:r>
      <w:rPr>
        <w:rFonts w:ascii="Trebuchet MS" w:hAnsi="Trebuchet MS"/>
        <w:b/>
        <w:sz w:val="18"/>
        <w:szCs w:val="18"/>
      </w:rPr>
      <w:t>Senado, Congreso Nacional de Chile</w:t>
    </w:r>
  </w:p>
  <w:p w:rsidR="00430BA2" w:rsidRDefault="00A30B72"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Valparaíso, 11 de septiembre de 2018</w:t>
    </w:r>
  </w:p>
  <w:p w:rsidR="00A07AE8" w:rsidRPr="00A66B73" w:rsidRDefault="00A30B72" w:rsidP="00430BA2">
    <w:pPr>
      <w:pStyle w:val="Encabezado"/>
      <w:pBdr>
        <w:bottom w:val="single" w:sz="4" w:space="1" w:color="auto"/>
      </w:pBdr>
      <w:jc w:val="right"/>
      <w:rPr>
        <w:rFonts w:ascii="Trebuchet MS" w:hAnsi="Trebuchet MS"/>
        <w:sz w:val="18"/>
        <w:szCs w:val="18"/>
      </w:rPr>
    </w:pPr>
    <w:r>
      <w:rPr>
        <w:rFonts w:ascii="Trebuchet MS" w:hAnsi="Trebuchet MS"/>
        <w:sz w:val="18"/>
        <w:szCs w:val="18"/>
      </w:rPr>
      <w:t>H. Senadora Carmen Gloria Aravena</w:t>
    </w:r>
  </w:p>
  <w:p w:rsidR="00D6112F" w:rsidRDefault="00D73EDD">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877"/>
    <w:rsid w:val="00083B26"/>
    <w:rsid w:val="000E07CF"/>
    <w:rsid w:val="00165A7C"/>
    <w:rsid w:val="001A3127"/>
    <w:rsid w:val="002411AC"/>
    <w:rsid w:val="002A1E7F"/>
    <w:rsid w:val="002F1550"/>
    <w:rsid w:val="003335FC"/>
    <w:rsid w:val="0036194C"/>
    <w:rsid w:val="003E779B"/>
    <w:rsid w:val="0049154F"/>
    <w:rsid w:val="00493BFA"/>
    <w:rsid w:val="00574D84"/>
    <w:rsid w:val="006567D8"/>
    <w:rsid w:val="00710F64"/>
    <w:rsid w:val="0077724C"/>
    <w:rsid w:val="007C3293"/>
    <w:rsid w:val="00895CE8"/>
    <w:rsid w:val="00927A41"/>
    <w:rsid w:val="00954EDE"/>
    <w:rsid w:val="009C33B6"/>
    <w:rsid w:val="009D05D4"/>
    <w:rsid w:val="00A30B72"/>
    <w:rsid w:val="00B07DDA"/>
    <w:rsid w:val="00B168FB"/>
    <w:rsid w:val="00B76638"/>
    <w:rsid w:val="00BC6A62"/>
    <w:rsid w:val="00C42C81"/>
    <w:rsid w:val="00C53CA6"/>
    <w:rsid w:val="00D0268D"/>
    <w:rsid w:val="00D7326D"/>
    <w:rsid w:val="00D73EDD"/>
    <w:rsid w:val="00D775CF"/>
    <w:rsid w:val="00EA1B66"/>
    <w:rsid w:val="00EA3BC1"/>
    <w:rsid w:val="00F54CEB"/>
    <w:rsid w:val="00FB087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77"/>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8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0877"/>
    <w:rPr>
      <w:rFonts w:eastAsiaTheme="minorEastAsia"/>
      <w:lang w:eastAsia="es-CL"/>
    </w:rPr>
  </w:style>
  <w:style w:type="paragraph" w:styleId="Piedepgina">
    <w:name w:val="footer"/>
    <w:basedOn w:val="Normal"/>
    <w:link w:val="PiedepginaCar"/>
    <w:uiPriority w:val="99"/>
    <w:unhideWhenUsed/>
    <w:rsid w:val="00FB08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0877"/>
    <w:rPr>
      <w:rFonts w:eastAsiaTheme="minorEastAsia"/>
      <w:lang w:eastAsia="es-CL"/>
    </w:rPr>
  </w:style>
  <w:style w:type="character" w:styleId="Hipervnculo">
    <w:name w:val="Hyperlink"/>
    <w:basedOn w:val="Fuentedeprrafopredeter"/>
    <w:uiPriority w:val="99"/>
    <w:unhideWhenUsed/>
    <w:rsid w:val="00FB0877"/>
    <w:rPr>
      <w:color w:val="0000FF" w:themeColor="hyperlink"/>
      <w:u w:val="single"/>
    </w:rPr>
  </w:style>
  <w:style w:type="paragraph" w:styleId="Textonotapie">
    <w:name w:val="footnote text"/>
    <w:basedOn w:val="Normal"/>
    <w:link w:val="TextonotapieCar"/>
    <w:uiPriority w:val="99"/>
    <w:semiHidden/>
    <w:unhideWhenUsed/>
    <w:rsid w:val="00FB08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0877"/>
    <w:rPr>
      <w:rFonts w:eastAsiaTheme="minorEastAsia"/>
      <w:sz w:val="20"/>
      <w:szCs w:val="20"/>
      <w:lang w:eastAsia="es-CL"/>
    </w:rPr>
  </w:style>
  <w:style w:type="character" w:styleId="Refdenotaalpie">
    <w:name w:val="footnote reference"/>
    <w:basedOn w:val="Fuentedeprrafopredeter"/>
    <w:uiPriority w:val="99"/>
    <w:semiHidden/>
    <w:unhideWhenUsed/>
    <w:rsid w:val="00FB087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877"/>
    <w:rPr>
      <w:rFonts w:eastAsiaTheme="minorEastAsia"/>
      <w:lang w:eastAsia="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B08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B0877"/>
    <w:rPr>
      <w:rFonts w:eastAsiaTheme="minorEastAsia"/>
      <w:lang w:eastAsia="es-CL"/>
    </w:rPr>
  </w:style>
  <w:style w:type="paragraph" w:styleId="Piedepgina">
    <w:name w:val="footer"/>
    <w:basedOn w:val="Normal"/>
    <w:link w:val="PiedepginaCar"/>
    <w:uiPriority w:val="99"/>
    <w:unhideWhenUsed/>
    <w:rsid w:val="00FB08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B0877"/>
    <w:rPr>
      <w:rFonts w:eastAsiaTheme="minorEastAsia"/>
      <w:lang w:eastAsia="es-CL"/>
    </w:rPr>
  </w:style>
  <w:style w:type="character" w:styleId="Hipervnculo">
    <w:name w:val="Hyperlink"/>
    <w:basedOn w:val="Fuentedeprrafopredeter"/>
    <w:uiPriority w:val="99"/>
    <w:unhideWhenUsed/>
    <w:rsid w:val="00FB0877"/>
    <w:rPr>
      <w:color w:val="0000FF" w:themeColor="hyperlink"/>
      <w:u w:val="single"/>
    </w:rPr>
  </w:style>
  <w:style w:type="paragraph" w:styleId="Textonotapie">
    <w:name w:val="footnote text"/>
    <w:basedOn w:val="Normal"/>
    <w:link w:val="TextonotapieCar"/>
    <w:uiPriority w:val="99"/>
    <w:semiHidden/>
    <w:unhideWhenUsed/>
    <w:rsid w:val="00FB0877"/>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FB0877"/>
    <w:rPr>
      <w:rFonts w:eastAsiaTheme="minorEastAsia"/>
      <w:sz w:val="20"/>
      <w:szCs w:val="20"/>
      <w:lang w:eastAsia="es-CL"/>
    </w:rPr>
  </w:style>
  <w:style w:type="character" w:styleId="Refdenotaalpie">
    <w:name w:val="footnote reference"/>
    <w:basedOn w:val="Fuentedeprrafopredeter"/>
    <w:uiPriority w:val="99"/>
    <w:semiHidden/>
    <w:unhideWhenUsed/>
    <w:rsid w:val="00FB087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5475614">
      <w:bodyDiv w:val="1"/>
      <w:marLeft w:val="0"/>
      <w:marRight w:val="0"/>
      <w:marTop w:val="0"/>
      <w:marBottom w:val="0"/>
      <w:divBdr>
        <w:top w:val="none" w:sz="0" w:space="0" w:color="auto"/>
        <w:left w:val="none" w:sz="0" w:space="0" w:color="auto"/>
        <w:bottom w:val="none" w:sz="0" w:space="0" w:color="auto"/>
        <w:right w:val="none" w:sz="0" w:space="0" w:color="auto"/>
      </w:divBdr>
      <w:divsChild>
        <w:div w:id="331028775">
          <w:marLeft w:val="547"/>
          <w:marRight w:val="0"/>
          <w:marTop w:val="115"/>
          <w:marBottom w:val="0"/>
          <w:divBdr>
            <w:top w:val="none" w:sz="0" w:space="0" w:color="auto"/>
            <w:left w:val="none" w:sz="0" w:space="0" w:color="auto"/>
            <w:bottom w:val="none" w:sz="0" w:space="0" w:color="auto"/>
            <w:right w:val="none" w:sz="0" w:space="0" w:color="auto"/>
          </w:divBdr>
        </w:div>
        <w:div w:id="797912568">
          <w:marLeft w:val="1526"/>
          <w:marRight w:val="0"/>
          <w:marTop w:val="115"/>
          <w:marBottom w:val="0"/>
          <w:divBdr>
            <w:top w:val="none" w:sz="0" w:space="0" w:color="auto"/>
            <w:left w:val="none" w:sz="0" w:space="0" w:color="auto"/>
            <w:bottom w:val="none" w:sz="0" w:space="0" w:color="auto"/>
            <w:right w:val="none" w:sz="0" w:space="0" w:color="auto"/>
          </w:divBdr>
        </w:div>
        <w:div w:id="1032851140">
          <w:marLeft w:val="1526"/>
          <w:marRight w:val="0"/>
          <w:marTop w:val="115"/>
          <w:marBottom w:val="0"/>
          <w:divBdr>
            <w:top w:val="none" w:sz="0" w:space="0" w:color="auto"/>
            <w:left w:val="none" w:sz="0" w:space="0" w:color="auto"/>
            <w:bottom w:val="none" w:sz="0" w:space="0" w:color="auto"/>
            <w:right w:val="none" w:sz="0" w:space="0" w:color="auto"/>
          </w:divBdr>
        </w:div>
        <w:div w:id="1087189894">
          <w:marLeft w:val="1526"/>
          <w:marRight w:val="0"/>
          <w:marTop w:val="115"/>
          <w:marBottom w:val="0"/>
          <w:divBdr>
            <w:top w:val="none" w:sz="0" w:space="0" w:color="auto"/>
            <w:left w:val="none" w:sz="0" w:space="0" w:color="auto"/>
            <w:bottom w:val="none" w:sz="0" w:space="0" w:color="auto"/>
            <w:right w:val="none" w:sz="0" w:space="0" w:color="auto"/>
          </w:divBdr>
        </w:div>
        <w:div w:id="1169248591">
          <w:marLeft w:val="1526"/>
          <w:marRight w:val="0"/>
          <w:marTop w:val="115"/>
          <w:marBottom w:val="0"/>
          <w:divBdr>
            <w:top w:val="none" w:sz="0" w:space="0" w:color="auto"/>
            <w:left w:val="none" w:sz="0" w:space="0" w:color="auto"/>
            <w:bottom w:val="none" w:sz="0" w:space="0" w:color="auto"/>
            <w:right w:val="none" w:sz="0" w:space="0" w:color="auto"/>
          </w:divBdr>
        </w:div>
        <w:div w:id="245966044">
          <w:marLeft w:val="1526"/>
          <w:marRight w:val="0"/>
          <w:marTop w:val="115"/>
          <w:marBottom w:val="0"/>
          <w:divBdr>
            <w:top w:val="none" w:sz="0" w:space="0" w:color="auto"/>
            <w:left w:val="none" w:sz="0" w:space="0" w:color="auto"/>
            <w:bottom w:val="none" w:sz="0" w:space="0" w:color="auto"/>
            <w:right w:val="none" w:sz="0" w:space="0" w:color="auto"/>
          </w:divBdr>
        </w:div>
        <w:div w:id="1979648995">
          <w:marLeft w:val="1526"/>
          <w:marRight w:val="0"/>
          <w:marTop w:val="115"/>
          <w:marBottom w:val="0"/>
          <w:divBdr>
            <w:top w:val="none" w:sz="0" w:space="0" w:color="auto"/>
            <w:left w:val="none" w:sz="0" w:space="0" w:color="auto"/>
            <w:bottom w:val="none" w:sz="0" w:space="0" w:color="auto"/>
            <w:right w:val="none" w:sz="0" w:space="0" w:color="auto"/>
          </w:divBdr>
        </w:div>
      </w:divsChild>
    </w:div>
    <w:div w:id="508065908">
      <w:bodyDiv w:val="1"/>
      <w:marLeft w:val="0"/>
      <w:marRight w:val="0"/>
      <w:marTop w:val="0"/>
      <w:marBottom w:val="0"/>
      <w:divBdr>
        <w:top w:val="none" w:sz="0" w:space="0" w:color="auto"/>
        <w:left w:val="none" w:sz="0" w:space="0" w:color="auto"/>
        <w:bottom w:val="none" w:sz="0" w:space="0" w:color="auto"/>
        <w:right w:val="none" w:sz="0" w:space="0" w:color="auto"/>
      </w:divBdr>
      <w:divsChild>
        <w:div w:id="1995528122">
          <w:marLeft w:val="562"/>
          <w:marRight w:val="0"/>
          <w:marTop w:val="115"/>
          <w:marBottom w:val="120"/>
          <w:divBdr>
            <w:top w:val="none" w:sz="0" w:space="0" w:color="auto"/>
            <w:left w:val="none" w:sz="0" w:space="0" w:color="auto"/>
            <w:bottom w:val="none" w:sz="0" w:space="0" w:color="auto"/>
            <w:right w:val="none" w:sz="0" w:space="0" w:color="auto"/>
          </w:divBdr>
        </w:div>
      </w:divsChild>
    </w:div>
    <w:div w:id="592015516">
      <w:bodyDiv w:val="1"/>
      <w:marLeft w:val="0"/>
      <w:marRight w:val="0"/>
      <w:marTop w:val="0"/>
      <w:marBottom w:val="0"/>
      <w:divBdr>
        <w:top w:val="none" w:sz="0" w:space="0" w:color="auto"/>
        <w:left w:val="none" w:sz="0" w:space="0" w:color="auto"/>
        <w:bottom w:val="none" w:sz="0" w:space="0" w:color="auto"/>
        <w:right w:val="none" w:sz="0" w:space="0" w:color="auto"/>
      </w:divBdr>
    </w:div>
    <w:div w:id="875391015">
      <w:bodyDiv w:val="1"/>
      <w:marLeft w:val="0"/>
      <w:marRight w:val="0"/>
      <w:marTop w:val="0"/>
      <w:marBottom w:val="0"/>
      <w:divBdr>
        <w:top w:val="none" w:sz="0" w:space="0" w:color="auto"/>
        <w:left w:val="none" w:sz="0" w:space="0" w:color="auto"/>
        <w:bottom w:val="none" w:sz="0" w:space="0" w:color="auto"/>
        <w:right w:val="none" w:sz="0" w:space="0" w:color="auto"/>
      </w:divBdr>
      <w:divsChild>
        <w:div w:id="1070734913">
          <w:marLeft w:val="562"/>
          <w:marRight w:val="0"/>
          <w:marTop w:val="115"/>
          <w:marBottom w:val="120"/>
          <w:divBdr>
            <w:top w:val="none" w:sz="0" w:space="0" w:color="auto"/>
            <w:left w:val="none" w:sz="0" w:space="0" w:color="auto"/>
            <w:bottom w:val="none" w:sz="0" w:space="0" w:color="auto"/>
            <w:right w:val="none" w:sz="0" w:space="0" w:color="auto"/>
          </w:divBdr>
        </w:div>
      </w:divsChild>
    </w:div>
    <w:div w:id="1164509776">
      <w:bodyDiv w:val="1"/>
      <w:marLeft w:val="0"/>
      <w:marRight w:val="0"/>
      <w:marTop w:val="0"/>
      <w:marBottom w:val="0"/>
      <w:divBdr>
        <w:top w:val="none" w:sz="0" w:space="0" w:color="auto"/>
        <w:left w:val="none" w:sz="0" w:space="0" w:color="auto"/>
        <w:bottom w:val="none" w:sz="0" w:space="0" w:color="auto"/>
        <w:right w:val="none" w:sz="0" w:space="0" w:color="auto"/>
      </w:divBdr>
    </w:div>
    <w:div w:id="1671591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vramirez@senado.c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C82C6-4131-42C3-B11A-76E97F508D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833</Words>
  <Characters>4583</Characters>
  <Application>Microsoft Office Word</Application>
  <DocSecurity>0</DocSecurity>
  <Lines>38</Lines>
  <Paragraphs>10</Paragraphs>
  <ScaleCrop>false</ScaleCrop>
  <Company/>
  <LinksUpToDate>false</LinksUpToDate>
  <CharactersWithSpaces>5406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Valeria</dc:creator>
  <cp:lastModifiedBy>Valeria</cp:lastModifiedBy>
  <cp:revision>35</cp:revision>
  <dcterms:created xsi:type="dcterms:W3CDTF">2018-09-11T05:35:00Z</dcterms:created>
  <dcterms:modified xsi:type="dcterms:W3CDTF">2018-09-11T06:32:00Z</dcterms:modified>
</cp:coreProperties>
</file>