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D02" w:rsidRPr="00317B46" w:rsidRDefault="00FF6D02" w:rsidP="00FF6D02">
      <w:pPr>
        <w:rPr>
          <w:rFonts w:cs="Arial"/>
          <w:b/>
          <w:sz w:val="24"/>
          <w:szCs w:val="24"/>
        </w:rPr>
      </w:pPr>
      <w:r w:rsidRPr="00BB72C9">
        <w:rPr>
          <w:rFonts w:cs="Arial"/>
          <w:b/>
          <w:sz w:val="24"/>
          <w:szCs w:val="24"/>
          <w:highlight w:val="darkGray"/>
        </w:rPr>
        <w:t>Propuesta de Intervención proyectos de ley plantas desalinizadoras</w:t>
      </w:r>
      <w:r w:rsidR="00BB72C9" w:rsidRPr="00BB72C9">
        <w:rPr>
          <w:rFonts w:cs="Arial"/>
          <w:b/>
          <w:sz w:val="24"/>
          <w:szCs w:val="24"/>
          <w:highlight w:val="darkGray"/>
        </w:rPr>
        <w:t xml:space="preserve">: </w:t>
      </w:r>
      <w:r w:rsidRPr="00BB72C9">
        <w:rPr>
          <w:rFonts w:cs="Arial"/>
          <w:b/>
          <w:sz w:val="24"/>
          <w:szCs w:val="24"/>
          <w:highlight w:val="darkGray"/>
        </w:rPr>
        <w:t>Boletín 9862-33.</w:t>
      </w:r>
    </w:p>
    <w:p w:rsidR="00FF6D02" w:rsidRPr="00317B46" w:rsidRDefault="00FF6D02" w:rsidP="00FF6D02">
      <w:pPr>
        <w:rPr>
          <w:rFonts w:cs="Arial"/>
          <w:b/>
          <w:sz w:val="24"/>
          <w:szCs w:val="24"/>
        </w:rPr>
      </w:pPr>
    </w:p>
    <w:p w:rsidR="00BB72C9" w:rsidRDefault="00FF6D02" w:rsidP="00BB72C9">
      <w:pPr>
        <w:spacing w:line="360" w:lineRule="auto"/>
        <w:rPr>
          <w:rFonts w:cs="Arial"/>
          <w:b/>
          <w:sz w:val="24"/>
          <w:szCs w:val="24"/>
        </w:rPr>
      </w:pPr>
      <w:r w:rsidRPr="00317B46">
        <w:rPr>
          <w:rFonts w:cs="Arial"/>
          <w:b/>
          <w:sz w:val="24"/>
          <w:szCs w:val="24"/>
        </w:rPr>
        <w:tab/>
      </w:r>
    </w:p>
    <w:p w:rsidR="00BB72C9" w:rsidRDefault="00BB72C9" w:rsidP="00BB72C9">
      <w:r>
        <w:t xml:space="preserve">De: César Quiroga Soria, Asesor legislativo, Senador </w:t>
      </w:r>
      <w:proofErr w:type="spellStart"/>
      <w:r>
        <w:t>Durana</w:t>
      </w:r>
      <w:proofErr w:type="spellEnd"/>
    </w:p>
    <w:p w:rsidR="00BB72C9" w:rsidRDefault="00BB72C9" w:rsidP="00BB72C9"/>
    <w:p w:rsidR="00BB72C9" w:rsidRDefault="00BB72C9" w:rsidP="00BB72C9">
      <w:r>
        <w:t xml:space="preserve">A:   José Miguel </w:t>
      </w:r>
      <w:proofErr w:type="spellStart"/>
      <w:r>
        <w:t>Durana</w:t>
      </w:r>
      <w:proofErr w:type="spellEnd"/>
      <w:r>
        <w:t xml:space="preserve"> </w:t>
      </w:r>
      <w:proofErr w:type="spellStart"/>
      <w:r>
        <w:t>Semir</w:t>
      </w:r>
      <w:proofErr w:type="spellEnd"/>
      <w:r>
        <w:t>, Senador Región XV, Arica y Parinacota</w:t>
      </w:r>
    </w:p>
    <w:p w:rsidR="00BB72C9" w:rsidRDefault="00BB72C9" w:rsidP="00BB72C9"/>
    <w:p w:rsidR="00BB72C9" w:rsidRDefault="00BB72C9" w:rsidP="00BB72C9">
      <w:r>
        <w:t>Materia: Proyecto de Ley Plantas desalinizadoras, Boletín No. 9862-33</w:t>
      </w:r>
    </w:p>
    <w:p w:rsidR="00BB72C9" w:rsidRDefault="00BB72C9" w:rsidP="00BB72C9"/>
    <w:p w:rsidR="00BB72C9" w:rsidRDefault="00BB72C9" w:rsidP="00BB72C9">
      <w:pPr>
        <w:pBdr>
          <w:bottom w:val="single" w:sz="6" w:space="1" w:color="auto"/>
        </w:pBdr>
      </w:pPr>
      <w:r>
        <w:t xml:space="preserve">Fecha: 25 de </w:t>
      </w:r>
      <w:proofErr w:type="gramStart"/>
      <w:r>
        <w:t>Septiembre</w:t>
      </w:r>
      <w:proofErr w:type="gramEnd"/>
      <w:r>
        <w:t xml:space="preserve"> de 2018</w:t>
      </w:r>
    </w:p>
    <w:p w:rsidR="00BB72C9" w:rsidRDefault="00BB72C9" w:rsidP="00BB72C9">
      <w:pPr>
        <w:spacing w:line="360" w:lineRule="auto"/>
        <w:rPr>
          <w:rFonts w:cs="Arial"/>
          <w:b/>
          <w:sz w:val="24"/>
          <w:szCs w:val="24"/>
        </w:rPr>
      </w:pPr>
    </w:p>
    <w:p w:rsidR="00BB72C9" w:rsidRDefault="00BB72C9" w:rsidP="00BB72C9">
      <w:pPr>
        <w:spacing w:line="360" w:lineRule="auto"/>
        <w:rPr>
          <w:rFonts w:cs="Arial"/>
          <w:sz w:val="24"/>
          <w:szCs w:val="24"/>
        </w:rPr>
      </w:pPr>
      <w:r>
        <w:rPr>
          <w:rFonts w:cs="Arial"/>
          <w:sz w:val="24"/>
          <w:szCs w:val="24"/>
        </w:rPr>
        <w:t>De m</w:t>
      </w:r>
      <w:r w:rsidR="00FA5CD9">
        <w:rPr>
          <w:rFonts w:cs="Arial"/>
          <w:sz w:val="24"/>
          <w:szCs w:val="24"/>
        </w:rPr>
        <w:t>i consideración:</w:t>
      </w:r>
    </w:p>
    <w:p w:rsidR="00FA5CD9" w:rsidRDefault="00FA5CD9" w:rsidP="00BB72C9">
      <w:pPr>
        <w:spacing w:line="360" w:lineRule="auto"/>
        <w:rPr>
          <w:rFonts w:cs="Arial"/>
          <w:sz w:val="24"/>
          <w:szCs w:val="24"/>
        </w:rPr>
      </w:pPr>
      <w:r>
        <w:rPr>
          <w:rFonts w:cs="Arial"/>
          <w:sz w:val="24"/>
          <w:szCs w:val="24"/>
        </w:rPr>
        <w:tab/>
        <w:t>Por intermedio de la presente, remito a Ud. un proyecto de intervención relativo al proyecto de ley de la referencia.</w:t>
      </w:r>
    </w:p>
    <w:p w:rsidR="00FF6D02" w:rsidRPr="00317B46" w:rsidRDefault="00FA5CD9" w:rsidP="00BB72C9">
      <w:pPr>
        <w:spacing w:line="360" w:lineRule="auto"/>
        <w:rPr>
          <w:rFonts w:cs="Arial"/>
          <w:b/>
          <w:sz w:val="24"/>
          <w:szCs w:val="24"/>
        </w:rPr>
      </w:pPr>
      <w:r>
        <w:rPr>
          <w:rFonts w:cs="Arial"/>
          <w:sz w:val="24"/>
          <w:szCs w:val="24"/>
        </w:rPr>
        <w:tab/>
      </w:r>
      <w:r w:rsidR="00FF6D02" w:rsidRPr="00BB72C9">
        <w:rPr>
          <w:rFonts w:cs="Arial"/>
          <w:sz w:val="24"/>
          <w:szCs w:val="24"/>
        </w:rPr>
        <w:t>Este proyecto de ley tiene por objeto facultar al Estado para desarrollar actividades empresariales tendientes a fomentar y desarrollar plantas desalinizadoras</w:t>
      </w:r>
      <w:r w:rsidR="00CD497D" w:rsidRPr="00BB72C9">
        <w:rPr>
          <w:rFonts w:cs="Arial"/>
          <w:sz w:val="24"/>
          <w:szCs w:val="24"/>
        </w:rPr>
        <w:t>,</w:t>
      </w:r>
      <w:r w:rsidR="00FF6D02" w:rsidRPr="00BB72C9">
        <w:rPr>
          <w:rFonts w:cs="Arial"/>
          <w:sz w:val="24"/>
          <w:szCs w:val="24"/>
        </w:rPr>
        <w:t xml:space="preserve"> así como la explotación de </w:t>
      </w:r>
      <w:proofErr w:type="gramStart"/>
      <w:r w:rsidR="00FF6D02" w:rsidRPr="00BB72C9">
        <w:rPr>
          <w:rFonts w:cs="Arial"/>
          <w:sz w:val="24"/>
          <w:szCs w:val="24"/>
        </w:rPr>
        <w:t>las mismas</w:t>
      </w:r>
      <w:proofErr w:type="gramEnd"/>
      <w:r w:rsidR="00FF6D02" w:rsidRPr="00BB72C9">
        <w:rPr>
          <w:rFonts w:cs="Arial"/>
          <w:sz w:val="24"/>
          <w:szCs w:val="24"/>
        </w:rPr>
        <w:t>, bajo la jurisdicción del Ministerio de Obras Públicas.</w:t>
      </w:r>
    </w:p>
    <w:p w:rsidR="00FF6D02" w:rsidRPr="00317B46" w:rsidRDefault="00FF6D02" w:rsidP="00BB72C9">
      <w:pPr>
        <w:spacing w:line="360" w:lineRule="auto"/>
        <w:rPr>
          <w:rFonts w:cs="Arial"/>
          <w:b/>
          <w:sz w:val="24"/>
          <w:szCs w:val="24"/>
        </w:rPr>
      </w:pPr>
      <w:bookmarkStart w:id="0" w:name="_GoBack"/>
      <w:bookmarkEnd w:id="0"/>
    </w:p>
    <w:p w:rsidR="004E2D18" w:rsidRDefault="004E2D18" w:rsidP="00BB72C9">
      <w:pPr>
        <w:spacing w:line="360" w:lineRule="auto"/>
        <w:rPr>
          <w:rFonts w:cs="Arial"/>
          <w:b/>
          <w:sz w:val="24"/>
          <w:szCs w:val="24"/>
        </w:rPr>
      </w:pPr>
    </w:p>
    <w:p w:rsidR="004E2D18" w:rsidRPr="00B10514" w:rsidRDefault="004E2D18" w:rsidP="00FF6D02">
      <w:pPr>
        <w:rPr>
          <w:rFonts w:cs="Arial"/>
          <w:b/>
          <w:sz w:val="24"/>
          <w:szCs w:val="24"/>
        </w:rPr>
      </w:pPr>
      <w:r>
        <w:rPr>
          <w:rFonts w:cs="Arial"/>
          <w:b/>
          <w:sz w:val="24"/>
          <w:szCs w:val="24"/>
        </w:rPr>
        <w:t>PROYECTO DE INTERVENCION:</w:t>
      </w:r>
    </w:p>
    <w:p w:rsidR="00FF6D02" w:rsidRDefault="00FF6D02" w:rsidP="00FF6D02">
      <w:pPr>
        <w:rPr>
          <w:rFonts w:cs="Arial"/>
          <w:sz w:val="24"/>
          <w:szCs w:val="24"/>
        </w:rPr>
      </w:pPr>
    </w:p>
    <w:p w:rsidR="00FF6D02" w:rsidRDefault="00097DC9" w:rsidP="00097DC9">
      <w:pPr>
        <w:spacing w:line="360" w:lineRule="auto"/>
        <w:rPr>
          <w:rFonts w:cs="Arial"/>
          <w:sz w:val="24"/>
          <w:szCs w:val="24"/>
        </w:rPr>
      </w:pPr>
      <w:r>
        <w:rPr>
          <w:rFonts w:cs="Arial"/>
          <w:sz w:val="24"/>
          <w:szCs w:val="24"/>
        </w:rPr>
        <w:tab/>
      </w:r>
      <w:r w:rsidR="00B87693">
        <w:rPr>
          <w:rFonts w:cs="Arial"/>
          <w:sz w:val="24"/>
          <w:szCs w:val="24"/>
        </w:rPr>
        <w:t>Esta iniciativa legal</w:t>
      </w:r>
      <w:r w:rsidR="00DE4681">
        <w:rPr>
          <w:rFonts w:cs="Arial"/>
          <w:sz w:val="24"/>
          <w:szCs w:val="24"/>
        </w:rPr>
        <w:t xml:space="preserve"> </w:t>
      </w:r>
      <w:r w:rsidR="00B87693">
        <w:rPr>
          <w:rFonts w:cs="Arial"/>
          <w:sz w:val="24"/>
          <w:szCs w:val="24"/>
        </w:rPr>
        <w:t xml:space="preserve">abarca una materia que es de vital importancia para la Región de Arica y Parinacota, que ve, con angustia, la progresiva merma de sus recursos </w:t>
      </w:r>
      <w:proofErr w:type="gramStart"/>
      <w:r w:rsidR="00B87693">
        <w:rPr>
          <w:rFonts w:cs="Arial"/>
          <w:sz w:val="24"/>
          <w:szCs w:val="24"/>
        </w:rPr>
        <w:t>hídricos</w:t>
      </w:r>
      <w:proofErr w:type="gramEnd"/>
      <w:r w:rsidR="00B87693">
        <w:rPr>
          <w:rFonts w:cs="Arial"/>
          <w:sz w:val="24"/>
          <w:szCs w:val="24"/>
        </w:rPr>
        <w:t xml:space="preserve"> así como la lamentable inacción y omisión en la que incurrió el Gobierno Regional de Arica y Parinacota en la gestión de la Presidenta Bachelet</w:t>
      </w:r>
      <w:r w:rsidR="007C28FE">
        <w:rPr>
          <w:rFonts w:cs="Arial"/>
          <w:sz w:val="24"/>
          <w:szCs w:val="24"/>
        </w:rPr>
        <w:t>,</w:t>
      </w:r>
      <w:r w:rsidR="00B87693">
        <w:rPr>
          <w:rFonts w:cs="Arial"/>
          <w:sz w:val="24"/>
          <w:szCs w:val="24"/>
        </w:rPr>
        <w:t xml:space="preserve"> dilatando urgentes soluciones</w:t>
      </w:r>
      <w:r w:rsidR="00CD497D">
        <w:rPr>
          <w:rFonts w:cs="Arial"/>
          <w:sz w:val="24"/>
          <w:szCs w:val="24"/>
        </w:rPr>
        <w:t>.</w:t>
      </w:r>
    </w:p>
    <w:p w:rsidR="00CD497D" w:rsidRDefault="00CD497D" w:rsidP="00097DC9">
      <w:pPr>
        <w:spacing w:line="360" w:lineRule="auto"/>
        <w:rPr>
          <w:rFonts w:cs="Arial"/>
          <w:sz w:val="24"/>
          <w:szCs w:val="24"/>
        </w:rPr>
      </w:pPr>
    </w:p>
    <w:p w:rsidR="00097DC9" w:rsidRDefault="00097DC9" w:rsidP="00097DC9">
      <w:pPr>
        <w:spacing w:line="360" w:lineRule="auto"/>
        <w:rPr>
          <w:rFonts w:cs="Arial"/>
          <w:sz w:val="24"/>
          <w:szCs w:val="24"/>
        </w:rPr>
      </w:pPr>
      <w:r>
        <w:rPr>
          <w:rFonts w:cs="Arial"/>
          <w:sz w:val="24"/>
          <w:szCs w:val="24"/>
        </w:rPr>
        <w:tab/>
      </w:r>
      <w:r w:rsidR="00CD497D">
        <w:rPr>
          <w:rFonts w:cs="Arial"/>
          <w:sz w:val="24"/>
          <w:szCs w:val="24"/>
        </w:rPr>
        <w:t>La escase</w:t>
      </w:r>
      <w:r w:rsidR="00317B46">
        <w:rPr>
          <w:rFonts w:cs="Arial"/>
          <w:sz w:val="24"/>
          <w:szCs w:val="24"/>
        </w:rPr>
        <w:t>z</w:t>
      </w:r>
      <w:r w:rsidR="00CD497D">
        <w:rPr>
          <w:rFonts w:cs="Arial"/>
          <w:sz w:val="24"/>
          <w:szCs w:val="24"/>
        </w:rPr>
        <w:t xml:space="preserve"> de recursos h</w:t>
      </w:r>
      <w:r w:rsidR="00317B46">
        <w:rPr>
          <w:rFonts w:cs="Arial"/>
          <w:sz w:val="24"/>
          <w:szCs w:val="24"/>
        </w:rPr>
        <w:t>i</w:t>
      </w:r>
      <w:r w:rsidR="00CD497D">
        <w:rPr>
          <w:rFonts w:cs="Arial"/>
          <w:sz w:val="24"/>
          <w:szCs w:val="24"/>
        </w:rPr>
        <w:t>dricos, constituye uno de los</w:t>
      </w:r>
      <w:r w:rsidR="007C28FE">
        <w:rPr>
          <w:rFonts w:cs="Arial"/>
          <w:sz w:val="24"/>
          <w:szCs w:val="24"/>
        </w:rPr>
        <w:t xml:space="preserve"> principales</w:t>
      </w:r>
      <w:r w:rsidR="00CD497D">
        <w:rPr>
          <w:rFonts w:cs="Arial"/>
          <w:sz w:val="24"/>
          <w:szCs w:val="24"/>
        </w:rPr>
        <w:t xml:space="preserve"> factores que frena el desarrollo de la Décimo Quinta Región</w:t>
      </w:r>
      <w:r w:rsidR="007C28FE">
        <w:rPr>
          <w:rFonts w:cs="Arial"/>
          <w:sz w:val="24"/>
          <w:szCs w:val="24"/>
        </w:rPr>
        <w:t>,</w:t>
      </w:r>
      <w:r w:rsidR="00CD497D">
        <w:rPr>
          <w:rFonts w:cs="Arial"/>
          <w:sz w:val="24"/>
          <w:szCs w:val="24"/>
        </w:rPr>
        <w:t xml:space="preserve"> afectando a su producción agrícola, minera y actividad turística. </w:t>
      </w:r>
    </w:p>
    <w:p w:rsidR="00097DC9" w:rsidRDefault="00097DC9" w:rsidP="00097DC9">
      <w:pPr>
        <w:spacing w:line="360" w:lineRule="auto"/>
        <w:rPr>
          <w:rFonts w:eastAsiaTheme="minorHAnsi" w:cs="Arial"/>
          <w:sz w:val="24"/>
          <w:szCs w:val="24"/>
          <w:lang w:eastAsia="en-US"/>
        </w:rPr>
      </w:pPr>
    </w:p>
    <w:p w:rsidR="005B420D" w:rsidRPr="00097DC9" w:rsidRDefault="00097DC9" w:rsidP="00097DC9">
      <w:pPr>
        <w:spacing w:line="360" w:lineRule="auto"/>
        <w:rPr>
          <w:rFonts w:cs="Arial"/>
          <w:sz w:val="24"/>
          <w:szCs w:val="24"/>
        </w:rPr>
      </w:pPr>
      <w:r>
        <w:rPr>
          <w:rFonts w:eastAsiaTheme="minorHAnsi" w:cs="Arial"/>
          <w:sz w:val="24"/>
          <w:szCs w:val="24"/>
          <w:lang w:eastAsia="en-US"/>
        </w:rPr>
        <w:tab/>
      </w:r>
      <w:r w:rsidR="005B420D">
        <w:rPr>
          <w:rFonts w:eastAsiaTheme="minorHAnsi" w:cs="Arial"/>
          <w:sz w:val="24"/>
          <w:szCs w:val="24"/>
          <w:lang w:eastAsia="en-US"/>
        </w:rPr>
        <w:t xml:space="preserve">Dentro de los efectos colaterales y externalidades que debe sufrir la Región de Arica y Parinacota por el cumplimiento de los Tratados Internacionales </w:t>
      </w:r>
      <w:r w:rsidR="00317B46">
        <w:rPr>
          <w:rFonts w:eastAsiaTheme="minorHAnsi" w:cs="Arial"/>
          <w:sz w:val="24"/>
          <w:szCs w:val="24"/>
          <w:lang w:eastAsia="en-US"/>
        </w:rPr>
        <w:t xml:space="preserve">suscritos por el Estado, </w:t>
      </w:r>
      <w:r w:rsidR="005B420D">
        <w:rPr>
          <w:rFonts w:eastAsiaTheme="minorHAnsi" w:cs="Arial"/>
          <w:sz w:val="24"/>
          <w:szCs w:val="24"/>
          <w:lang w:eastAsia="en-US"/>
        </w:rPr>
        <w:t>de 1904 con Bolivia y 1929 con el Perú</w:t>
      </w:r>
      <w:r w:rsidR="00317B46">
        <w:rPr>
          <w:rFonts w:eastAsiaTheme="minorHAnsi" w:cs="Arial"/>
          <w:sz w:val="24"/>
          <w:szCs w:val="24"/>
          <w:lang w:eastAsia="en-US"/>
        </w:rPr>
        <w:t xml:space="preserve">, </w:t>
      </w:r>
      <w:r w:rsidR="005B420D">
        <w:rPr>
          <w:rFonts w:eastAsiaTheme="minorHAnsi" w:cs="Arial"/>
          <w:sz w:val="24"/>
          <w:szCs w:val="24"/>
          <w:lang w:eastAsia="en-US"/>
        </w:rPr>
        <w:t xml:space="preserve">se encuentra el verdadero cercenamiento que ha sufrido la Región XV de sus recursos hídricos, toda vez que nuestro país cedió en favor del Perú, todos </w:t>
      </w:r>
      <w:r w:rsidR="00A869D2">
        <w:rPr>
          <w:rFonts w:eastAsiaTheme="minorHAnsi" w:cs="Arial"/>
          <w:sz w:val="24"/>
          <w:szCs w:val="24"/>
          <w:lang w:eastAsia="en-US"/>
        </w:rPr>
        <w:t>los</w:t>
      </w:r>
      <w:r w:rsidR="005B420D">
        <w:rPr>
          <w:rFonts w:eastAsiaTheme="minorHAnsi" w:cs="Arial"/>
          <w:sz w:val="24"/>
          <w:szCs w:val="24"/>
          <w:lang w:eastAsia="en-US"/>
        </w:rPr>
        <w:t xml:space="preserve"> </w:t>
      </w:r>
      <w:r w:rsidR="005B420D">
        <w:rPr>
          <w:rFonts w:eastAsiaTheme="minorHAnsi" w:cs="Arial"/>
          <w:sz w:val="24"/>
          <w:szCs w:val="24"/>
          <w:lang w:eastAsia="en-US"/>
        </w:rPr>
        <w:lastRenderedPageBreak/>
        <w:t xml:space="preserve">derechos sobre los canales del </w:t>
      </w:r>
      <w:proofErr w:type="spellStart"/>
      <w:r w:rsidR="005B420D">
        <w:rPr>
          <w:rFonts w:eastAsiaTheme="minorHAnsi" w:cs="Arial"/>
          <w:sz w:val="24"/>
          <w:szCs w:val="24"/>
          <w:lang w:eastAsia="en-US"/>
        </w:rPr>
        <w:t>Uchusuma</w:t>
      </w:r>
      <w:proofErr w:type="spellEnd"/>
      <w:r w:rsidR="005B420D">
        <w:rPr>
          <w:rFonts w:eastAsiaTheme="minorHAnsi" w:cs="Arial"/>
          <w:sz w:val="24"/>
          <w:szCs w:val="24"/>
          <w:lang w:eastAsia="en-US"/>
        </w:rPr>
        <w:t xml:space="preserve"> y del Mauri, llamado también Azucarero, </w:t>
      </w:r>
      <w:r w:rsidR="00586E6F">
        <w:rPr>
          <w:rFonts w:eastAsiaTheme="minorHAnsi" w:cs="Arial"/>
          <w:sz w:val="24"/>
          <w:szCs w:val="24"/>
          <w:lang w:eastAsia="en-US"/>
        </w:rPr>
        <w:t xml:space="preserve">constituyendo, asimismo, el más amplio derecho de servidumbre a perpetuidad en favor del Perú, comprendiendo el derecho peruano de ampliar los canales </w:t>
      </w:r>
      <w:r w:rsidR="00530787">
        <w:rPr>
          <w:rFonts w:eastAsiaTheme="minorHAnsi" w:cs="Arial"/>
          <w:sz w:val="24"/>
          <w:szCs w:val="24"/>
          <w:lang w:eastAsia="en-US"/>
        </w:rPr>
        <w:t>que existían en dicha época</w:t>
      </w:r>
      <w:r w:rsidR="00586E6F">
        <w:rPr>
          <w:rFonts w:eastAsiaTheme="minorHAnsi" w:cs="Arial"/>
          <w:sz w:val="24"/>
          <w:szCs w:val="24"/>
          <w:lang w:eastAsia="en-US"/>
        </w:rPr>
        <w:t xml:space="preserve">, modificar el curso de ellos y recoger todas las aguas captables en su trayecto por territorio de Chile, salvo las que caen al río Lluta y las azufreras del </w:t>
      </w:r>
      <w:proofErr w:type="spellStart"/>
      <w:r w:rsidR="00586E6F">
        <w:rPr>
          <w:rFonts w:eastAsiaTheme="minorHAnsi" w:cs="Arial"/>
          <w:sz w:val="24"/>
          <w:szCs w:val="24"/>
          <w:lang w:eastAsia="en-US"/>
        </w:rPr>
        <w:t>Tacora</w:t>
      </w:r>
      <w:proofErr w:type="spellEnd"/>
      <w:r w:rsidR="00586E6F">
        <w:rPr>
          <w:rFonts w:eastAsiaTheme="minorHAnsi" w:cs="Arial"/>
          <w:sz w:val="24"/>
          <w:szCs w:val="24"/>
          <w:lang w:eastAsia="en-US"/>
        </w:rPr>
        <w:t>.</w:t>
      </w:r>
    </w:p>
    <w:p w:rsidR="0048423F" w:rsidRDefault="00530787" w:rsidP="00097DC9">
      <w:pPr>
        <w:spacing w:line="360" w:lineRule="auto"/>
        <w:rPr>
          <w:rFonts w:cs="Arial"/>
          <w:sz w:val="24"/>
          <w:szCs w:val="24"/>
        </w:rPr>
      </w:pPr>
      <w:r>
        <w:rPr>
          <w:rFonts w:cs="Arial"/>
          <w:sz w:val="24"/>
          <w:szCs w:val="24"/>
        </w:rPr>
        <w:tab/>
      </w:r>
    </w:p>
    <w:p w:rsidR="003C4575" w:rsidRDefault="0048423F" w:rsidP="00097DC9">
      <w:pPr>
        <w:spacing w:line="360" w:lineRule="auto"/>
        <w:rPr>
          <w:rFonts w:cs="Arial"/>
          <w:sz w:val="24"/>
          <w:szCs w:val="24"/>
        </w:rPr>
      </w:pPr>
      <w:r>
        <w:rPr>
          <w:rFonts w:cs="Arial"/>
          <w:sz w:val="24"/>
          <w:szCs w:val="24"/>
        </w:rPr>
        <w:tab/>
      </w:r>
      <w:r w:rsidR="00586E6F">
        <w:rPr>
          <w:rFonts w:cs="Arial"/>
          <w:sz w:val="24"/>
          <w:szCs w:val="24"/>
        </w:rPr>
        <w:t>Hoy, la Región de Arica y Parinacota tiene un</w:t>
      </w:r>
      <w:r w:rsidR="003C4575">
        <w:rPr>
          <w:rFonts w:cs="Arial"/>
          <w:sz w:val="24"/>
          <w:szCs w:val="24"/>
        </w:rPr>
        <w:t>a disponibilidad superficial de agua para nuevas reclamaciones en todas las cuencas de la Región agotada</w:t>
      </w:r>
      <w:r w:rsidR="00ED7094">
        <w:rPr>
          <w:rFonts w:cs="Arial"/>
          <w:sz w:val="24"/>
          <w:szCs w:val="24"/>
        </w:rPr>
        <w:t xml:space="preserve"> y ha llegado el tiempo</w:t>
      </w:r>
      <w:r w:rsidR="00C4034C">
        <w:rPr>
          <w:rFonts w:cs="Arial"/>
          <w:sz w:val="24"/>
          <w:szCs w:val="24"/>
        </w:rPr>
        <w:t xml:space="preserve"> que</w:t>
      </w:r>
      <w:r w:rsidR="00A869D2">
        <w:rPr>
          <w:rFonts w:cs="Arial"/>
          <w:sz w:val="24"/>
          <w:szCs w:val="24"/>
        </w:rPr>
        <w:t>,</w:t>
      </w:r>
      <w:r w:rsidR="00C4034C">
        <w:rPr>
          <w:rFonts w:cs="Arial"/>
          <w:sz w:val="24"/>
          <w:szCs w:val="24"/>
        </w:rPr>
        <w:t xml:space="preserve"> la </w:t>
      </w:r>
      <w:r w:rsidR="00A869D2">
        <w:rPr>
          <w:rFonts w:cs="Arial"/>
          <w:sz w:val="24"/>
          <w:szCs w:val="24"/>
        </w:rPr>
        <w:t xml:space="preserve">Décimo Quinta </w:t>
      </w:r>
      <w:r w:rsidR="00C4034C">
        <w:rPr>
          <w:rFonts w:cs="Arial"/>
          <w:sz w:val="24"/>
          <w:szCs w:val="24"/>
        </w:rPr>
        <w:t>Región</w:t>
      </w:r>
      <w:r w:rsidR="00A869D2">
        <w:rPr>
          <w:rFonts w:cs="Arial"/>
          <w:sz w:val="24"/>
          <w:szCs w:val="24"/>
        </w:rPr>
        <w:t>,</w:t>
      </w:r>
      <w:r w:rsidR="00C4034C">
        <w:rPr>
          <w:rFonts w:cs="Arial"/>
          <w:sz w:val="24"/>
          <w:szCs w:val="24"/>
        </w:rPr>
        <w:t xml:space="preserve"> sea restituida en sus potencialidades, entre ellas</w:t>
      </w:r>
      <w:r w:rsidR="002C62F7">
        <w:rPr>
          <w:rFonts w:cs="Arial"/>
          <w:sz w:val="24"/>
          <w:szCs w:val="24"/>
        </w:rPr>
        <w:t>,</w:t>
      </w:r>
      <w:r w:rsidR="00C4034C">
        <w:rPr>
          <w:rFonts w:cs="Arial"/>
          <w:sz w:val="24"/>
          <w:szCs w:val="24"/>
        </w:rPr>
        <w:t xml:space="preserve"> </w:t>
      </w:r>
      <w:r w:rsidR="00317B46">
        <w:rPr>
          <w:rFonts w:cs="Arial"/>
          <w:sz w:val="24"/>
          <w:szCs w:val="24"/>
        </w:rPr>
        <w:t>la pérdida de</w:t>
      </w:r>
      <w:r w:rsidR="00C4034C">
        <w:rPr>
          <w:rFonts w:cs="Arial"/>
          <w:sz w:val="24"/>
          <w:szCs w:val="24"/>
        </w:rPr>
        <w:t xml:space="preserve"> sus recursos hídricos.</w:t>
      </w:r>
    </w:p>
    <w:p w:rsidR="00530787" w:rsidRDefault="00530787" w:rsidP="00530787">
      <w:pPr>
        <w:spacing w:line="360" w:lineRule="auto"/>
        <w:rPr>
          <w:rFonts w:cs="Arial"/>
          <w:sz w:val="24"/>
          <w:szCs w:val="24"/>
        </w:rPr>
      </w:pPr>
      <w:r>
        <w:rPr>
          <w:rFonts w:cs="Arial"/>
          <w:sz w:val="24"/>
          <w:szCs w:val="24"/>
        </w:rPr>
        <w:tab/>
      </w:r>
      <w:r w:rsidR="002C62F7">
        <w:rPr>
          <w:rFonts w:cs="Arial"/>
          <w:sz w:val="24"/>
          <w:szCs w:val="24"/>
        </w:rPr>
        <w:t>Hace un mes</w:t>
      </w:r>
      <w:r w:rsidR="00A869D2">
        <w:rPr>
          <w:rFonts w:cs="Arial"/>
          <w:sz w:val="24"/>
          <w:szCs w:val="24"/>
        </w:rPr>
        <w:t>,</w:t>
      </w:r>
      <w:r w:rsidR="002C62F7">
        <w:rPr>
          <w:rFonts w:cs="Arial"/>
          <w:sz w:val="24"/>
          <w:szCs w:val="24"/>
        </w:rPr>
        <w:t xml:space="preserve"> denuncié la sobre explotación</w:t>
      </w:r>
      <w:r w:rsidR="00A869D2">
        <w:rPr>
          <w:rFonts w:cs="Arial"/>
          <w:sz w:val="24"/>
          <w:szCs w:val="24"/>
        </w:rPr>
        <w:t>,</w:t>
      </w:r>
      <w:r w:rsidR="002C62F7">
        <w:rPr>
          <w:rFonts w:cs="Arial"/>
          <w:sz w:val="24"/>
          <w:szCs w:val="24"/>
        </w:rPr>
        <w:t xml:space="preserve"> por parte del Perú</w:t>
      </w:r>
      <w:r w:rsidR="00A869D2">
        <w:rPr>
          <w:rFonts w:cs="Arial"/>
          <w:sz w:val="24"/>
          <w:szCs w:val="24"/>
        </w:rPr>
        <w:t>,</w:t>
      </w:r>
      <w:r w:rsidR="002C62F7">
        <w:rPr>
          <w:rFonts w:cs="Arial"/>
          <w:sz w:val="24"/>
          <w:szCs w:val="24"/>
        </w:rPr>
        <w:t xml:space="preserve"> de los recursos hídricos que se encuentran en territorio peruano,</w:t>
      </w:r>
      <w:r>
        <w:rPr>
          <w:rFonts w:cs="Arial"/>
          <w:sz w:val="24"/>
          <w:szCs w:val="24"/>
        </w:rPr>
        <w:t xml:space="preserve"> en la frontera con nuestro país,</w:t>
      </w:r>
      <w:r w:rsidR="002C62F7">
        <w:rPr>
          <w:rFonts w:cs="Arial"/>
          <w:sz w:val="24"/>
          <w:szCs w:val="24"/>
        </w:rPr>
        <w:t xml:space="preserve"> a través cientos de pozos clandestinos y no regulados, lo cual afecta seriamente a la Cuenca </w:t>
      </w:r>
      <w:r>
        <w:rPr>
          <w:rFonts w:cs="Arial"/>
          <w:sz w:val="24"/>
          <w:szCs w:val="24"/>
        </w:rPr>
        <w:t xml:space="preserve">Concordia, perjudicando las labores agrícolas de </w:t>
      </w:r>
      <w:r w:rsidR="00A869D2">
        <w:rPr>
          <w:rFonts w:cs="Arial"/>
          <w:sz w:val="24"/>
          <w:szCs w:val="24"/>
        </w:rPr>
        <w:t xml:space="preserve">extensas </w:t>
      </w:r>
      <w:r>
        <w:rPr>
          <w:rFonts w:cs="Arial"/>
          <w:sz w:val="24"/>
          <w:szCs w:val="24"/>
        </w:rPr>
        <w:t>zona</w:t>
      </w:r>
      <w:r w:rsidR="00A869D2">
        <w:rPr>
          <w:rFonts w:cs="Arial"/>
          <w:sz w:val="24"/>
          <w:szCs w:val="24"/>
        </w:rPr>
        <w:t>s</w:t>
      </w:r>
      <w:r>
        <w:rPr>
          <w:rFonts w:cs="Arial"/>
          <w:sz w:val="24"/>
          <w:szCs w:val="24"/>
        </w:rPr>
        <w:t xml:space="preserve"> de nuestro territorio nacional.</w:t>
      </w:r>
    </w:p>
    <w:p w:rsidR="00530787" w:rsidRDefault="00530787" w:rsidP="00530787">
      <w:pPr>
        <w:spacing w:line="360" w:lineRule="auto"/>
        <w:rPr>
          <w:rFonts w:eastAsiaTheme="minorHAnsi" w:cs="Arial"/>
          <w:sz w:val="24"/>
          <w:szCs w:val="24"/>
          <w:lang w:eastAsia="en-US"/>
        </w:rPr>
      </w:pPr>
    </w:p>
    <w:p w:rsidR="00097DC9" w:rsidRPr="00530787" w:rsidRDefault="00530787" w:rsidP="00530787">
      <w:pPr>
        <w:spacing w:line="360" w:lineRule="auto"/>
        <w:rPr>
          <w:rFonts w:cs="Arial"/>
          <w:sz w:val="24"/>
          <w:szCs w:val="24"/>
        </w:rPr>
      </w:pPr>
      <w:r>
        <w:rPr>
          <w:rFonts w:eastAsiaTheme="minorHAnsi" w:cs="Arial"/>
          <w:sz w:val="24"/>
          <w:szCs w:val="24"/>
          <w:lang w:eastAsia="en-US"/>
        </w:rPr>
        <w:tab/>
        <w:t>Por otra parte, h</w:t>
      </w:r>
      <w:r w:rsidR="00097DC9">
        <w:rPr>
          <w:rFonts w:eastAsiaTheme="minorHAnsi" w:cs="Arial"/>
          <w:sz w:val="24"/>
          <w:szCs w:val="24"/>
          <w:lang w:eastAsia="en-US"/>
        </w:rPr>
        <w:t>ace unas semanas</w:t>
      </w:r>
      <w:r w:rsidR="00317B46">
        <w:rPr>
          <w:rFonts w:eastAsiaTheme="minorHAnsi" w:cs="Arial"/>
          <w:sz w:val="24"/>
          <w:szCs w:val="24"/>
          <w:lang w:eastAsia="en-US"/>
        </w:rPr>
        <w:t>,</w:t>
      </w:r>
      <w:r w:rsidR="00097DC9">
        <w:rPr>
          <w:rFonts w:eastAsiaTheme="minorHAnsi" w:cs="Arial"/>
          <w:sz w:val="24"/>
          <w:szCs w:val="24"/>
          <w:lang w:eastAsia="en-US"/>
        </w:rPr>
        <w:t xml:space="preserve"> solicité oficiar a través de la </w:t>
      </w:r>
      <w:r w:rsidR="00317B46">
        <w:rPr>
          <w:rFonts w:eastAsiaTheme="minorHAnsi" w:cs="Arial"/>
          <w:sz w:val="24"/>
          <w:szCs w:val="24"/>
          <w:lang w:eastAsia="en-US"/>
        </w:rPr>
        <w:t>P</w:t>
      </w:r>
      <w:r w:rsidR="00097DC9">
        <w:rPr>
          <w:rFonts w:eastAsiaTheme="minorHAnsi" w:cs="Arial"/>
          <w:sz w:val="24"/>
          <w:szCs w:val="24"/>
          <w:lang w:eastAsia="en-US"/>
        </w:rPr>
        <w:t xml:space="preserve">residencia de esta Cámara al Ministerio de Obras Públicas </w:t>
      </w:r>
      <w:r w:rsidR="002C62F7">
        <w:rPr>
          <w:rFonts w:eastAsiaTheme="minorHAnsi" w:cs="Arial"/>
          <w:sz w:val="24"/>
          <w:szCs w:val="24"/>
          <w:lang w:eastAsia="en-US"/>
        </w:rPr>
        <w:t xml:space="preserve">a los efectos de que informe sobre las razones por las cuales, la </w:t>
      </w:r>
      <w:r w:rsidR="002C62F7" w:rsidRPr="00097DC9">
        <w:rPr>
          <w:rFonts w:eastAsiaTheme="minorHAnsi" w:cs="Arial"/>
          <w:sz w:val="24"/>
          <w:szCs w:val="24"/>
          <w:lang w:eastAsia="en-US"/>
        </w:rPr>
        <w:t>Planta Desaladora de Agua de Mar con una capacidad de 200 litros por segundo y que implicaba una inversión inicial de 30 millones de dólares</w:t>
      </w:r>
      <w:r w:rsidR="002C62F7">
        <w:rPr>
          <w:rFonts w:eastAsiaTheme="minorHAnsi" w:cs="Arial"/>
          <w:sz w:val="24"/>
          <w:szCs w:val="24"/>
          <w:lang w:eastAsia="en-US"/>
        </w:rPr>
        <w:t xml:space="preserve"> y </w:t>
      </w:r>
      <w:proofErr w:type="gramStart"/>
      <w:r w:rsidR="002C62F7">
        <w:rPr>
          <w:rFonts w:eastAsiaTheme="minorHAnsi" w:cs="Arial"/>
          <w:sz w:val="24"/>
          <w:szCs w:val="24"/>
          <w:lang w:eastAsia="en-US"/>
        </w:rPr>
        <w:t>que</w:t>
      </w:r>
      <w:proofErr w:type="gramEnd"/>
      <w:r w:rsidR="002C62F7">
        <w:rPr>
          <w:rFonts w:eastAsiaTheme="minorHAnsi" w:cs="Arial"/>
          <w:sz w:val="24"/>
          <w:szCs w:val="24"/>
          <w:lang w:eastAsia="en-US"/>
        </w:rPr>
        <w:t xml:space="preserve"> en el 2016</w:t>
      </w:r>
      <w:r w:rsidR="00317B46">
        <w:rPr>
          <w:rFonts w:eastAsiaTheme="minorHAnsi" w:cs="Arial"/>
          <w:sz w:val="24"/>
          <w:szCs w:val="24"/>
          <w:lang w:eastAsia="en-US"/>
        </w:rPr>
        <w:t>,</w:t>
      </w:r>
      <w:r w:rsidR="002C62F7">
        <w:rPr>
          <w:rFonts w:eastAsiaTheme="minorHAnsi" w:cs="Arial"/>
          <w:sz w:val="24"/>
          <w:szCs w:val="24"/>
          <w:lang w:eastAsia="en-US"/>
        </w:rPr>
        <w:t xml:space="preserve"> se anunciaba sería concluida este año, </w:t>
      </w:r>
      <w:r w:rsidR="00317B46">
        <w:rPr>
          <w:rFonts w:eastAsiaTheme="minorHAnsi" w:cs="Arial"/>
          <w:sz w:val="24"/>
          <w:szCs w:val="24"/>
          <w:lang w:eastAsia="en-US"/>
        </w:rPr>
        <w:t>se encuentra con inexplicables demoras.</w:t>
      </w:r>
    </w:p>
    <w:p w:rsidR="00530787" w:rsidRDefault="00530787" w:rsidP="00097DC9">
      <w:pPr>
        <w:spacing w:line="360" w:lineRule="auto"/>
        <w:rPr>
          <w:rFonts w:cs="Arial"/>
          <w:sz w:val="24"/>
          <w:szCs w:val="24"/>
        </w:rPr>
      </w:pPr>
      <w:r>
        <w:rPr>
          <w:rFonts w:cs="Arial"/>
          <w:sz w:val="24"/>
          <w:szCs w:val="24"/>
        </w:rPr>
        <w:tab/>
      </w:r>
    </w:p>
    <w:p w:rsidR="00CD497D" w:rsidRDefault="00530787" w:rsidP="00097DC9">
      <w:pPr>
        <w:spacing w:line="360" w:lineRule="auto"/>
        <w:rPr>
          <w:rFonts w:cs="Arial"/>
          <w:sz w:val="24"/>
          <w:szCs w:val="24"/>
        </w:rPr>
      </w:pPr>
      <w:r>
        <w:rPr>
          <w:rFonts w:cs="Arial"/>
          <w:sz w:val="24"/>
          <w:szCs w:val="24"/>
        </w:rPr>
        <w:tab/>
      </w:r>
      <w:r w:rsidR="00CD497D">
        <w:rPr>
          <w:rFonts w:cs="Arial"/>
          <w:sz w:val="24"/>
          <w:szCs w:val="24"/>
        </w:rPr>
        <w:t xml:space="preserve">En este </w:t>
      </w:r>
      <w:r w:rsidR="00C4034C">
        <w:rPr>
          <w:rFonts w:cs="Arial"/>
          <w:sz w:val="24"/>
          <w:szCs w:val="24"/>
        </w:rPr>
        <w:t xml:space="preserve">mismo </w:t>
      </w:r>
      <w:r w:rsidR="00CD497D">
        <w:rPr>
          <w:rFonts w:cs="Arial"/>
          <w:sz w:val="24"/>
          <w:szCs w:val="24"/>
        </w:rPr>
        <w:t>contexto, el acuífero de Azapa</w:t>
      </w:r>
      <w:r w:rsidR="007C28FE">
        <w:rPr>
          <w:rFonts w:cs="Arial"/>
          <w:sz w:val="24"/>
          <w:szCs w:val="24"/>
        </w:rPr>
        <w:t>, que constituye la mayor fuente de abastecimiento de agua potable de la ciudad de Arica</w:t>
      </w:r>
      <w:r w:rsidR="00C57338">
        <w:rPr>
          <w:rFonts w:cs="Arial"/>
          <w:sz w:val="24"/>
          <w:szCs w:val="24"/>
        </w:rPr>
        <w:t>,</w:t>
      </w:r>
      <w:r w:rsidR="00CD497D">
        <w:rPr>
          <w:rFonts w:cs="Arial"/>
          <w:sz w:val="24"/>
          <w:szCs w:val="24"/>
        </w:rPr>
        <w:t xml:space="preserve"> </w:t>
      </w:r>
      <w:r w:rsidR="00C574DC">
        <w:rPr>
          <w:rFonts w:cs="Arial"/>
          <w:sz w:val="24"/>
          <w:szCs w:val="24"/>
        </w:rPr>
        <w:t>está negativamente afectado</w:t>
      </w:r>
      <w:r w:rsidR="00C57338">
        <w:rPr>
          <w:rFonts w:cs="Arial"/>
          <w:sz w:val="24"/>
          <w:szCs w:val="24"/>
        </w:rPr>
        <w:t>,</w:t>
      </w:r>
      <w:r w:rsidR="003C4575">
        <w:rPr>
          <w:rFonts w:cs="Arial"/>
          <w:sz w:val="24"/>
          <w:szCs w:val="24"/>
        </w:rPr>
        <w:t xml:space="preserve"> en la calidad de sus aguas y en la disminución de sus caudales, producto de </w:t>
      </w:r>
      <w:r w:rsidR="00C574DC">
        <w:rPr>
          <w:rFonts w:cs="Arial"/>
          <w:sz w:val="24"/>
          <w:szCs w:val="24"/>
        </w:rPr>
        <w:t>su</w:t>
      </w:r>
      <w:r w:rsidR="003C4575">
        <w:rPr>
          <w:rFonts w:cs="Arial"/>
          <w:sz w:val="24"/>
          <w:szCs w:val="24"/>
        </w:rPr>
        <w:t xml:space="preserve"> sobreexplotación.</w:t>
      </w:r>
      <w:r w:rsidR="00C574DC">
        <w:rPr>
          <w:rFonts w:cs="Arial"/>
          <w:sz w:val="24"/>
          <w:szCs w:val="24"/>
        </w:rPr>
        <w:t xml:space="preserve"> </w:t>
      </w:r>
    </w:p>
    <w:p w:rsidR="00530787" w:rsidRDefault="00530787" w:rsidP="00097DC9">
      <w:pPr>
        <w:spacing w:line="360" w:lineRule="auto"/>
        <w:rPr>
          <w:rFonts w:cs="Arial"/>
          <w:sz w:val="24"/>
          <w:szCs w:val="24"/>
        </w:rPr>
      </w:pPr>
    </w:p>
    <w:p w:rsidR="00530787" w:rsidRDefault="00530787" w:rsidP="00097DC9">
      <w:pPr>
        <w:spacing w:line="360" w:lineRule="auto"/>
        <w:rPr>
          <w:rFonts w:cs="Arial"/>
          <w:sz w:val="24"/>
          <w:szCs w:val="24"/>
        </w:rPr>
      </w:pPr>
      <w:r>
        <w:rPr>
          <w:rFonts w:cs="Arial"/>
          <w:sz w:val="24"/>
          <w:szCs w:val="24"/>
        </w:rPr>
        <w:tab/>
        <w:t>Todo estos elementos, implican que estos proyectos de leyes que viabilizan una acción estatal decidida para la pronta construcción de estas plantas desalinizadoras de agua de mar</w:t>
      </w:r>
      <w:r w:rsidR="00A869D2">
        <w:rPr>
          <w:rFonts w:cs="Arial"/>
          <w:sz w:val="24"/>
          <w:szCs w:val="24"/>
        </w:rPr>
        <w:t>,</w:t>
      </w:r>
      <w:r>
        <w:rPr>
          <w:rFonts w:cs="Arial"/>
          <w:sz w:val="24"/>
          <w:szCs w:val="24"/>
        </w:rPr>
        <w:t xml:space="preserve"> tengan una extraordinaria importancia para la Región de Arica y Parinacota, la que espera, desde hace </w:t>
      </w:r>
      <w:r>
        <w:rPr>
          <w:rFonts w:cs="Arial"/>
          <w:sz w:val="24"/>
          <w:szCs w:val="24"/>
        </w:rPr>
        <w:lastRenderedPageBreak/>
        <w:t>mucho tiempo</w:t>
      </w:r>
      <w:r w:rsidR="00A869D2">
        <w:rPr>
          <w:rFonts w:cs="Arial"/>
          <w:sz w:val="24"/>
          <w:szCs w:val="24"/>
        </w:rPr>
        <w:t>,</w:t>
      </w:r>
      <w:r>
        <w:rPr>
          <w:rFonts w:cs="Arial"/>
          <w:sz w:val="24"/>
          <w:szCs w:val="24"/>
        </w:rPr>
        <w:t xml:space="preserve"> </w:t>
      </w:r>
      <w:r w:rsidR="00A869D2">
        <w:rPr>
          <w:rFonts w:cs="Arial"/>
          <w:sz w:val="24"/>
          <w:szCs w:val="24"/>
        </w:rPr>
        <w:t xml:space="preserve">ser restituida en sus potencialidades, a través de una adecuada dotación de recursos hídricos, manteniendo, en todo momento, el cuidado del medio ambiente, de su diversidad natural y </w:t>
      </w:r>
      <w:r w:rsidR="00FE578B">
        <w:rPr>
          <w:rFonts w:cs="Arial"/>
          <w:sz w:val="24"/>
          <w:szCs w:val="24"/>
        </w:rPr>
        <w:t>sustentabilidad</w:t>
      </w:r>
      <w:r w:rsidR="00A869D2">
        <w:rPr>
          <w:rFonts w:cs="Arial"/>
          <w:sz w:val="24"/>
          <w:szCs w:val="24"/>
        </w:rPr>
        <w:t xml:space="preserve"> de estos recursos.</w:t>
      </w:r>
    </w:p>
    <w:p w:rsidR="00DE4681" w:rsidRDefault="00990AAD" w:rsidP="00097DC9">
      <w:pPr>
        <w:spacing w:line="360" w:lineRule="auto"/>
        <w:rPr>
          <w:rFonts w:cs="Arial"/>
          <w:sz w:val="24"/>
          <w:szCs w:val="24"/>
        </w:rPr>
      </w:pPr>
      <w:r>
        <w:rPr>
          <w:rFonts w:cs="Arial"/>
          <w:sz w:val="24"/>
          <w:szCs w:val="24"/>
        </w:rPr>
        <w:tab/>
      </w:r>
    </w:p>
    <w:p w:rsidR="00990AAD" w:rsidRDefault="00DE4681" w:rsidP="00097DC9">
      <w:pPr>
        <w:spacing w:line="360" w:lineRule="auto"/>
        <w:rPr>
          <w:rFonts w:cs="Arial"/>
          <w:sz w:val="24"/>
          <w:szCs w:val="24"/>
        </w:rPr>
      </w:pPr>
      <w:r>
        <w:rPr>
          <w:rFonts w:cs="Arial"/>
          <w:sz w:val="24"/>
          <w:szCs w:val="24"/>
        </w:rPr>
        <w:tab/>
      </w:r>
      <w:r w:rsidR="00990AAD">
        <w:rPr>
          <w:rFonts w:cs="Arial"/>
          <w:sz w:val="24"/>
          <w:szCs w:val="24"/>
        </w:rPr>
        <w:t xml:space="preserve">La viabilidad de la construcción de plantas </w:t>
      </w:r>
      <w:proofErr w:type="gramStart"/>
      <w:r w:rsidR="00990AAD">
        <w:rPr>
          <w:rFonts w:cs="Arial"/>
          <w:sz w:val="24"/>
          <w:szCs w:val="24"/>
        </w:rPr>
        <w:t>desalinizadoras,</w:t>
      </w:r>
      <w:proofErr w:type="gramEnd"/>
      <w:r w:rsidR="00990AAD">
        <w:rPr>
          <w:rFonts w:cs="Arial"/>
          <w:sz w:val="24"/>
          <w:szCs w:val="24"/>
        </w:rPr>
        <w:t xml:space="preserve"> pasa por la participación decidida del Estado en su concepción, proyecto y ejecución. Sin el compromiso del Estado, simplemente, no es posible su concreción. Un ejemplo de </w:t>
      </w:r>
      <w:proofErr w:type="gramStart"/>
      <w:r w:rsidR="00990AAD">
        <w:rPr>
          <w:rFonts w:cs="Arial"/>
          <w:sz w:val="24"/>
          <w:szCs w:val="24"/>
        </w:rPr>
        <w:t>ello</w:t>
      </w:r>
      <w:r w:rsidR="00917F23">
        <w:rPr>
          <w:rFonts w:cs="Arial"/>
          <w:sz w:val="24"/>
          <w:szCs w:val="24"/>
        </w:rPr>
        <w:t>,</w:t>
      </w:r>
      <w:proofErr w:type="gramEnd"/>
      <w:r w:rsidR="00990AAD">
        <w:rPr>
          <w:rFonts w:cs="Arial"/>
          <w:sz w:val="24"/>
          <w:szCs w:val="24"/>
        </w:rPr>
        <w:t xml:space="preserve"> es el compromiso de la CORFO en la construcción de la planta desalinizadora para Atacama, elemento esencial para el desarrollo de la misma, considerándose</w:t>
      </w:r>
      <w:r w:rsidR="00917F23">
        <w:rPr>
          <w:rFonts w:cs="Arial"/>
          <w:sz w:val="24"/>
          <w:szCs w:val="24"/>
        </w:rPr>
        <w:t xml:space="preserve"> su posterior traspaso a Aguas Chañar S.A. para su operación, mantención y reposición.</w:t>
      </w:r>
      <w:r w:rsidR="00990AAD">
        <w:rPr>
          <w:rFonts w:cs="Arial"/>
          <w:sz w:val="24"/>
          <w:szCs w:val="24"/>
        </w:rPr>
        <w:t xml:space="preserve"> </w:t>
      </w:r>
    </w:p>
    <w:p w:rsidR="00317B46" w:rsidRDefault="00917F23" w:rsidP="00097DC9">
      <w:pPr>
        <w:spacing w:line="360" w:lineRule="auto"/>
        <w:rPr>
          <w:rFonts w:cs="Arial"/>
          <w:sz w:val="24"/>
          <w:szCs w:val="24"/>
        </w:rPr>
      </w:pPr>
      <w:r>
        <w:rPr>
          <w:rFonts w:cs="Arial"/>
          <w:sz w:val="24"/>
          <w:szCs w:val="24"/>
        </w:rPr>
        <w:tab/>
        <w:t>El impulso que este proyecto de ley debe dar a la concreción de estas plantas desaladoras de agua de mar</w:t>
      </w:r>
      <w:r w:rsidR="00FE578B">
        <w:rPr>
          <w:rFonts w:cs="Arial"/>
          <w:sz w:val="24"/>
          <w:szCs w:val="24"/>
        </w:rPr>
        <w:t>,</w:t>
      </w:r>
      <w:r>
        <w:rPr>
          <w:rFonts w:cs="Arial"/>
          <w:sz w:val="24"/>
          <w:szCs w:val="24"/>
        </w:rPr>
        <w:t xml:space="preserve"> </w:t>
      </w:r>
      <w:r w:rsidR="00FE5DE9">
        <w:rPr>
          <w:rFonts w:cs="Arial"/>
          <w:sz w:val="24"/>
          <w:szCs w:val="24"/>
        </w:rPr>
        <w:t xml:space="preserve">en la </w:t>
      </w:r>
      <w:r w:rsidR="00FE578B">
        <w:rPr>
          <w:rFonts w:cs="Arial"/>
          <w:sz w:val="24"/>
          <w:szCs w:val="24"/>
        </w:rPr>
        <w:t>R</w:t>
      </w:r>
      <w:r w:rsidR="00FE5DE9">
        <w:rPr>
          <w:rFonts w:cs="Arial"/>
          <w:sz w:val="24"/>
          <w:szCs w:val="24"/>
        </w:rPr>
        <w:t>egión de Arica y Parinacota</w:t>
      </w:r>
      <w:r w:rsidR="00FE578B">
        <w:rPr>
          <w:rFonts w:cs="Arial"/>
          <w:sz w:val="24"/>
          <w:szCs w:val="24"/>
        </w:rPr>
        <w:t>,</w:t>
      </w:r>
      <w:r w:rsidR="00FE5DE9">
        <w:rPr>
          <w:rFonts w:cs="Arial"/>
          <w:sz w:val="24"/>
          <w:szCs w:val="24"/>
        </w:rPr>
        <w:t xml:space="preserve"> </w:t>
      </w:r>
      <w:r>
        <w:rPr>
          <w:rFonts w:cs="Arial"/>
          <w:sz w:val="24"/>
          <w:szCs w:val="24"/>
        </w:rPr>
        <w:t xml:space="preserve">debe </w:t>
      </w:r>
      <w:r w:rsidR="00FE5DE9">
        <w:rPr>
          <w:rFonts w:cs="Arial"/>
          <w:sz w:val="24"/>
          <w:szCs w:val="24"/>
        </w:rPr>
        <w:t xml:space="preserve">complementarse con la construcción de una planta de tratamiento de aguas servidas en la ciudad de Arica. </w:t>
      </w:r>
    </w:p>
    <w:p w:rsidR="00FE578B" w:rsidRDefault="00317B46" w:rsidP="00FE578B">
      <w:pPr>
        <w:spacing w:line="360" w:lineRule="auto"/>
        <w:rPr>
          <w:rFonts w:eastAsiaTheme="minorHAnsi" w:cs="Arial"/>
          <w:sz w:val="24"/>
          <w:szCs w:val="24"/>
          <w:lang w:val="es-CL" w:eastAsia="es-CL"/>
        </w:rPr>
      </w:pPr>
      <w:r>
        <w:rPr>
          <w:rFonts w:cs="Arial"/>
          <w:sz w:val="24"/>
          <w:szCs w:val="24"/>
        </w:rPr>
        <w:tab/>
      </w:r>
      <w:proofErr w:type="gramStart"/>
      <w:r w:rsidRPr="00317B46">
        <w:rPr>
          <w:rFonts w:eastAsiaTheme="minorHAnsi" w:cs="Arial"/>
          <w:sz w:val="24"/>
          <w:szCs w:val="24"/>
          <w:lang w:val="es-CL" w:eastAsia="es-CL"/>
        </w:rPr>
        <w:t>De acuerdo a</w:t>
      </w:r>
      <w:proofErr w:type="gramEnd"/>
      <w:r w:rsidRPr="00317B46">
        <w:rPr>
          <w:rFonts w:eastAsiaTheme="minorHAnsi" w:cs="Arial"/>
          <w:sz w:val="24"/>
          <w:szCs w:val="24"/>
          <w:lang w:val="es-CL" w:eastAsia="es-CL"/>
        </w:rPr>
        <w:t xml:space="preserve"> los estudios realizados, el agua servida tratada tiene un menor costo que el agua desalinizada de mar, y es factible técnicamente considerando las actuales condiciones y ubicación del emisario de Arica. No obstante, el proyecto debe considerar el Boro existente en el agua potable, que, si bien no es dañino para la salud de las personas, es un inhibidor del crecimiento vegetal, por lo cual, es necesario considerar su remoción en el proceso de tratamiento proyectado.</w:t>
      </w:r>
    </w:p>
    <w:p w:rsidR="00FE578B" w:rsidRDefault="00FE578B" w:rsidP="00FE578B">
      <w:pPr>
        <w:spacing w:line="360" w:lineRule="auto"/>
        <w:rPr>
          <w:rFonts w:eastAsiaTheme="minorHAnsi" w:cs="Arial"/>
          <w:sz w:val="24"/>
          <w:szCs w:val="24"/>
          <w:lang w:val="es-CL" w:eastAsia="es-CL"/>
        </w:rPr>
      </w:pPr>
      <w:r>
        <w:rPr>
          <w:rFonts w:eastAsiaTheme="minorHAnsi" w:cs="Arial"/>
          <w:sz w:val="24"/>
          <w:szCs w:val="24"/>
          <w:lang w:val="es-CL" w:eastAsia="es-CL"/>
        </w:rPr>
        <w:tab/>
      </w:r>
      <w:r w:rsidR="00317B46" w:rsidRPr="00317B46">
        <w:rPr>
          <w:rFonts w:eastAsiaTheme="minorHAnsi" w:cs="Arial"/>
          <w:sz w:val="24"/>
          <w:szCs w:val="24"/>
          <w:lang w:val="es-CL" w:eastAsia="es-CL"/>
        </w:rPr>
        <w:t>Entre las ventajas adicionales a considerar, se encuentra el gran impacto ambiental positivo que significa la reutilización de agua dulce, especialmente en</w:t>
      </w:r>
      <w:r>
        <w:rPr>
          <w:rFonts w:eastAsiaTheme="minorHAnsi" w:cs="Arial"/>
          <w:sz w:val="24"/>
          <w:szCs w:val="24"/>
          <w:lang w:val="es-CL" w:eastAsia="es-CL"/>
        </w:rPr>
        <w:t xml:space="preserve"> una zona desértica</w:t>
      </w:r>
      <w:r w:rsidR="00317B46" w:rsidRPr="00317B46">
        <w:rPr>
          <w:rFonts w:eastAsiaTheme="minorHAnsi" w:cs="Arial"/>
          <w:sz w:val="24"/>
          <w:szCs w:val="24"/>
          <w:lang w:val="es-CL" w:eastAsia="es-CL"/>
        </w:rPr>
        <w:t xml:space="preserve"> y la generación de biosólidos que pueden ser utilizados como fertilizantes en agricultura. Este caso ha sido expuesto y analizado en diferentes escenarios, incluyendo la mesa del agua de la Región de Arica y Parinacota.</w:t>
      </w:r>
    </w:p>
    <w:p w:rsidR="00FE578B" w:rsidRDefault="00FE578B" w:rsidP="00FE578B">
      <w:pPr>
        <w:spacing w:line="360" w:lineRule="auto"/>
        <w:rPr>
          <w:rFonts w:eastAsiaTheme="minorHAnsi" w:cs="Arial"/>
          <w:sz w:val="24"/>
          <w:szCs w:val="24"/>
          <w:lang w:val="es-CL" w:eastAsia="es-CL"/>
        </w:rPr>
      </w:pPr>
      <w:r>
        <w:rPr>
          <w:rFonts w:eastAsiaTheme="minorHAnsi" w:cs="Arial"/>
          <w:sz w:val="24"/>
          <w:szCs w:val="24"/>
          <w:lang w:val="es-CL" w:eastAsia="es-CL"/>
        </w:rPr>
        <w:tab/>
      </w:r>
      <w:r w:rsidR="00317B46" w:rsidRPr="00317B46">
        <w:rPr>
          <w:rFonts w:eastAsiaTheme="minorHAnsi" w:cs="Arial"/>
          <w:sz w:val="24"/>
          <w:szCs w:val="24"/>
          <w:lang w:val="es-CL" w:eastAsia="es-CL"/>
        </w:rPr>
        <w:t xml:space="preserve">En la actualidad, el desafío es levantar una iniciativa de financiamiento que facilite la construcción de la infraestructura necesaria para transportar, tratar y disponer el agua para riego en el sector Pampa Concordia, considerando que los beneficiarios, agricultores del sector, serían privados, lo cual, podría asimilarse al caso del entubamiento del canal Azapa en el Valle del mismo nombre.  </w:t>
      </w:r>
    </w:p>
    <w:p w:rsidR="00FE578B" w:rsidRDefault="00FE578B" w:rsidP="00097DC9">
      <w:pPr>
        <w:spacing w:line="360" w:lineRule="auto"/>
        <w:rPr>
          <w:rFonts w:eastAsiaTheme="minorHAnsi" w:cs="Arial"/>
          <w:sz w:val="24"/>
          <w:szCs w:val="24"/>
          <w:lang w:val="es-CL" w:eastAsia="es-CL"/>
        </w:rPr>
      </w:pPr>
      <w:r>
        <w:rPr>
          <w:rFonts w:eastAsiaTheme="minorHAnsi" w:cs="Arial"/>
          <w:sz w:val="24"/>
          <w:szCs w:val="24"/>
          <w:lang w:val="es-CL" w:eastAsia="es-CL"/>
        </w:rPr>
        <w:lastRenderedPageBreak/>
        <w:tab/>
      </w:r>
      <w:r w:rsidR="00317B46" w:rsidRPr="00317B46">
        <w:rPr>
          <w:rFonts w:eastAsiaTheme="minorHAnsi" w:cs="Arial"/>
          <w:sz w:val="24"/>
          <w:szCs w:val="24"/>
          <w:lang w:val="es-CL" w:eastAsia="es-CL"/>
        </w:rPr>
        <w:t>Los estudios preliminares estiman que el costo de inversión del sistema de tratamiento de aguas servidas, que incluye obras de transporte, tratamiento y disposición, se encuentran del orden de los 40 millones de dólares.</w:t>
      </w:r>
    </w:p>
    <w:p w:rsidR="00917F23" w:rsidRPr="00FE578B" w:rsidRDefault="00FE578B" w:rsidP="00097DC9">
      <w:pPr>
        <w:spacing w:line="360" w:lineRule="auto"/>
        <w:rPr>
          <w:rFonts w:eastAsiaTheme="minorHAnsi" w:cs="Arial"/>
          <w:sz w:val="24"/>
          <w:szCs w:val="24"/>
          <w:lang w:val="es-CL" w:eastAsia="es-CL"/>
        </w:rPr>
      </w:pPr>
      <w:r>
        <w:rPr>
          <w:rFonts w:cs="Arial"/>
          <w:sz w:val="24"/>
          <w:szCs w:val="24"/>
          <w:lang w:val="es-CL"/>
        </w:rPr>
        <w:tab/>
      </w:r>
      <w:r w:rsidR="00FE5DE9">
        <w:rPr>
          <w:rFonts w:cs="Arial"/>
          <w:sz w:val="24"/>
          <w:szCs w:val="24"/>
        </w:rPr>
        <w:t>En esto, también requerimos la participación decidida del Estado para poder, finalmente, dotar a la Región</w:t>
      </w:r>
      <w:r>
        <w:rPr>
          <w:rFonts w:cs="Arial"/>
          <w:sz w:val="24"/>
          <w:szCs w:val="24"/>
        </w:rPr>
        <w:t xml:space="preserve"> de Arica y Parinacota</w:t>
      </w:r>
      <w:r w:rsidR="00FE5DE9">
        <w:rPr>
          <w:rFonts w:cs="Arial"/>
          <w:sz w:val="24"/>
          <w:szCs w:val="24"/>
        </w:rPr>
        <w:t xml:space="preserve"> de sus recursos hídricos. </w:t>
      </w:r>
    </w:p>
    <w:p w:rsidR="00CD497D" w:rsidRPr="00CD497D" w:rsidRDefault="00A869D2" w:rsidP="00A869D2">
      <w:pPr>
        <w:spacing w:line="360" w:lineRule="auto"/>
        <w:rPr>
          <w:rFonts w:asciiTheme="minorHAnsi" w:eastAsiaTheme="minorHAnsi" w:hAnsiTheme="minorHAnsi" w:cstheme="minorBidi"/>
          <w:szCs w:val="22"/>
          <w:lang w:eastAsia="en-US"/>
        </w:rPr>
      </w:pPr>
      <w:r>
        <w:rPr>
          <w:rFonts w:cs="Arial"/>
          <w:sz w:val="24"/>
          <w:szCs w:val="24"/>
        </w:rPr>
        <w:tab/>
        <w:t xml:space="preserve">Es por ello </w:t>
      </w:r>
      <w:proofErr w:type="gramStart"/>
      <w:r>
        <w:rPr>
          <w:rFonts w:cs="Arial"/>
          <w:sz w:val="24"/>
          <w:szCs w:val="24"/>
        </w:rPr>
        <w:t>que</w:t>
      </w:r>
      <w:proofErr w:type="gramEnd"/>
      <w:r>
        <w:rPr>
          <w:rFonts w:cs="Arial"/>
          <w:sz w:val="24"/>
          <w:szCs w:val="24"/>
        </w:rPr>
        <w:t xml:space="preserve"> manifiesto mi voto favorable a este proyecto de ley</w:t>
      </w:r>
      <w:r w:rsidR="00FE578B">
        <w:rPr>
          <w:rFonts w:cs="Arial"/>
          <w:sz w:val="24"/>
          <w:szCs w:val="24"/>
        </w:rPr>
        <w:t xml:space="preserve">, con la esperanza de poderlo ampliar a la temática de la construcción de plantas de tratamiento de aguas servidas en la Regiones que así lo requieran </w:t>
      </w:r>
      <w:r>
        <w:rPr>
          <w:rFonts w:cs="Arial"/>
          <w:sz w:val="24"/>
          <w:szCs w:val="24"/>
        </w:rPr>
        <w:t>y pido</w:t>
      </w:r>
      <w:r w:rsidR="00F119C7">
        <w:rPr>
          <w:rFonts w:cs="Arial"/>
          <w:sz w:val="24"/>
          <w:szCs w:val="24"/>
        </w:rPr>
        <w:t xml:space="preserve"> su urgente implementación.</w:t>
      </w:r>
      <w:r>
        <w:rPr>
          <w:rFonts w:cs="Arial"/>
          <w:sz w:val="24"/>
          <w:szCs w:val="24"/>
        </w:rPr>
        <w:tab/>
      </w:r>
    </w:p>
    <w:p w:rsidR="00CD497D" w:rsidRDefault="00CD497D" w:rsidP="00FF6D02">
      <w:pPr>
        <w:rPr>
          <w:rFonts w:cs="Arial"/>
          <w:sz w:val="24"/>
          <w:szCs w:val="24"/>
        </w:rPr>
      </w:pPr>
    </w:p>
    <w:p w:rsidR="00B87693" w:rsidRDefault="00B87693" w:rsidP="00FF6D02">
      <w:pPr>
        <w:rPr>
          <w:rFonts w:cs="Arial"/>
          <w:sz w:val="24"/>
          <w:szCs w:val="24"/>
        </w:rPr>
      </w:pPr>
    </w:p>
    <w:p w:rsidR="00FF6D02" w:rsidRPr="00FF6D02" w:rsidRDefault="00FF6D02" w:rsidP="00FF6D02">
      <w:pPr>
        <w:rPr>
          <w:rFonts w:cs="Arial"/>
          <w:sz w:val="24"/>
          <w:szCs w:val="24"/>
        </w:rPr>
      </w:pPr>
    </w:p>
    <w:p w:rsidR="00FF6D02" w:rsidRPr="0096488D" w:rsidRDefault="00FF6D02" w:rsidP="00FF6D02">
      <w:pPr>
        <w:ind w:firstLine="2835"/>
        <w:rPr>
          <w:rFonts w:cs="Arial"/>
          <w:sz w:val="24"/>
          <w:szCs w:val="24"/>
        </w:rPr>
      </w:pPr>
    </w:p>
    <w:p w:rsidR="00BB72C9" w:rsidRDefault="00BB72C9"/>
    <w:sectPr w:rsidR="00BB72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DC" w:rsidRDefault="008B35DC" w:rsidP="00097DC9">
      <w:r>
        <w:separator/>
      </w:r>
    </w:p>
  </w:endnote>
  <w:endnote w:type="continuationSeparator" w:id="0">
    <w:p w:rsidR="008B35DC" w:rsidRDefault="008B35DC" w:rsidP="0009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DC" w:rsidRDefault="008B35DC" w:rsidP="00097DC9">
      <w:r>
        <w:separator/>
      </w:r>
    </w:p>
  </w:footnote>
  <w:footnote w:type="continuationSeparator" w:id="0">
    <w:p w:rsidR="008B35DC" w:rsidRDefault="008B35DC" w:rsidP="0009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505"/>
    <w:multiLevelType w:val="hybridMultilevel"/>
    <w:tmpl w:val="1B529B38"/>
    <w:lvl w:ilvl="0" w:tplc="41EE9AD2">
      <w:numFmt w:val="bullet"/>
      <w:lvlText w:val="-"/>
      <w:lvlJc w:val="left"/>
      <w:pPr>
        <w:ind w:left="1068" w:hanging="360"/>
      </w:pPr>
      <w:rPr>
        <w:rFonts w:ascii="Arial" w:eastAsiaTheme="minorHAnsi"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02"/>
    <w:rsid w:val="00097DC9"/>
    <w:rsid w:val="000A27AC"/>
    <w:rsid w:val="001B5C70"/>
    <w:rsid w:val="002C62F7"/>
    <w:rsid w:val="00317B46"/>
    <w:rsid w:val="00341994"/>
    <w:rsid w:val="003C4575"/>
    <w:rsid w:val="0048423F"/>
    <w:rsid w:val="004E2D18"/>
    <w:rsid w:val="00530787"/>
    <w:rsid w:val="00586E6F"/>
    <w:rsid w:val="005B420D"/>
    <w:rsid w:val="007115DF"/>
    <w:rsid w:val="007C28FE"/>
    <w:rsid w:val="008B35DC"/>
    <w:rsid w:val="008E2B83"/>
    <w:rsid w:val="00917F23"/>
    <w:rsid w:val="00990AAD"/>
    <w:rsid w:val="009C6B24"/>
    <w:rsid w:val="00A869D2"/>
    <w:rsid w:val="00B10514"/>
    <w:rsid w:val="00B15615"/>
    <w:rsid w:val="00B87693"/>
    <w:rsid w:val="00BB72C9"/>
    <w:rsid w:val="00BC2E40"/>
    <w:rsid w:val="00C4034C"/>
    <w:rsid w:val="00C57338"/>
    <w:rsid w:val="00C574DC"/>
    <w:rsid w:val="00C67F58"/>
    <w:rsid w:val="00CC6606"/>
    <w:rsid w:val="00CD497D"/>
    <w:rsid w:val="00DE4681"/>
    <w:rsid w:val="00DF6BBF"/>
    <w:rsid w:val="00E50208"/>
    <w:rsid w:val="00ED0532"/>
    <w:rsid w:val="00ED7094"/>
    <w:rsid w:val="00F119C7"/>
    <w:rsid w:val="00FA5CD9"/>
    <w:rsid w:val="00FE578B"/>
    <w:rsid w:val="00FE5DE9"/>
    <w:rsid w:val="00FF3C8A"/>
    <w:rsid w:val="00FF6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C0EA"/>
  <w15:chartTrackingRefBased/>
  <w15:docId w15:val="{E779C80F-855F-41BB-B103-C644C0F1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D02"/>
    <w:pPr>
      <w:tabs>
        <w:tab w:val="left" w:pos="2835"/>
      </w:tabs>
      <w:spacing w:after="0" w:line="240" w:lineRule="auto"/>
      <w:jc w:val="both"/>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DC9"/>
    <w:pPr>
      <w:tabs>
        <w:tab w:val="clear" w:pos="2835"/>
        <w:tab w:val="center" w:pos="4252"/>
        <w:tab w:val="right" w:pos="8504"/>
      </w:tabs>
    </w:pPr>
  </w:style>
  <w:style w:type="character" w:customStyle="1" w:styleId="EncabezadoCar">
    <w:name w:val="Encabezado Car"/>
    <w:basedOn w:val="Fuentedeprrafopredeter"/>
    <w:link w:val="Encabezado"/>
    <w:uiPriority w:val="99"/>
    <w:rsid w:val="00097DC9"/>
    <w:rPr>
      <w:rFonts w:ascii="Arial" w:eastAsia="Times New Roman" w:hAnsi="Arial" w:cs="Times New Roman"/>
      <w:szCs w:val="20"/>
      <w:lang w:eastAsia="es-ES"/>
    </w:rPr>
  </w:style>
  <w:style w:type="paragraph" w:styleId="Piedepgina">
    <w:name w:val="footer"/>
    <w:basedOn w:val="Normal"/>
    <w:link w:val="PiedepginaCar"/>
    <w:uiPriority w:val="99"/>
    <w:unhideWhenUsed/>
    <w:rsid w:val="00097DC9"/>
    <w:pPr>
      <w:tabs>
        <w:tab w:val="clear" w:pos="2835"/>
        <w:tab w:val="center" w:pos="4252"/>
        <w:tab w:val="right" w:pos="8504"/>
      </w:tabs>
    </w:pPr>
  </w:style>
  <w:style w:type="character" w:customStyle="1" w:styleId="PiedepginaCar">
    <w:name w:val="Pie de página Car"/>
    <w:basedOn w:val="Fuentedeprrafopredeter"/>
    <w:link w:val="Piedepgina"/>
    <w:uiPriority w:val="99"/>
    <w:rsid w:val="00097DC9"/>
    <w:rPr>
      <w:rFonts w:ascii="Arial" w:eastAsia="Times New Roman" w:hAnsi="Arial" w:cs="Times New Roman"/>
      <w:szCs w:val="20"/>
      <w:lang w:eastAsia="es-ES"/>
    </w:rPr>
  </w:style>
  <w:style w:type="paragraph" w:styleId="Textosinformato">
    <w:name w:val="Plain Text"/>
    <w:basedOn w:val="Normal"/>
    <w:link w:val="TextosinformatoCar"/>
    <w:uiPriority w:val="99"/>
    <w:semiHidden/>
    <w:unhideWhenUsed/>
    <w:rsid w:val="00341994"/>
    <w:pPr>
      <w:tabs>
        <w:tab w:val="clear" w:pos="2835"/>
      </w:tabs>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semiHidden/>
    <w:rsid w:val="00341994"/>
    <w:rPr>
      <w:rFonts w:ascii="Consolas" w:eastAsia="Calibri" w:hAnsi="Consolas" w:cs="Times New Roman"/>
      <w:color w:val="000000"/>
      <w:sz w:val="21"/>
      <w:szCs w:val="21"/>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4088">
      <w:bodyDiv w:val="1"/>
      <w:marLeft w:val="0"/>
      <w:marRight w:val="0"/>
      <w:marTop w:val="0"/>
      <w:marBottom w:val="0"/>
      <w:divBdr>
        <w:top w:val="none" w:sz="0" w:space="0" w:color="auto"/>
        <w:left w:val="none" w:sz="0" w:space="0" w:color="auto"/>
        <w:bottom w:val="none" w:sz="0" w:space="0" w:color="auto"/>
        <w:right w:val="none" w:sz="0" w:space="0" w:color="auto"/>
      </w:divBdr>
    </w:div>
    <w:div w:id="456413059">
      <w:bodyDiv w:val="1"/>
      <w:marLeft w:val="0"/>
      <w:marRight w:val="0"/>
      <w:marTop w:val="0"/>
      <w:marBottom w:val="0"/>
      <w:divBdr>
        <w:top w:val="none" w:sz="0" w:space="0" w:color="auto"/>
        <w:left w:val="none" w:sz="0" w:space="0" w:color="auto"/>
        <w:bottom w:val="none" w:sz="0" w:space="0" w:color="auto"/>
        <w:right w:val="none" w:sz="0" w:space="0" w:color="auto"/>
      </w:divBdr>
    </w:div>
    <w:div w:id="763191902">
      <w:bodyDiv w:val="1"/>
      <w:marLeft w:val="0"/>
      <w:marRight w:val="0"/>
      <w:marTop w:val="0"/>
      <w:marBottom w:val="0"/>
      <w:divBdr>
        <w:top w:val="none" w:sz="0" w:space="0" w:color="auto"/>
        <w:left w:val="none" w:sz="0" w:space="0" w:color="auto"/>
        <w:bottom w:val="none" w:sz="0" w:space="0" w:color="auto"/>
        <w:right w:val="none" w:sz="0" w:space="0" w:color="auto"/>
      </w:divBdr>
    </w:div>
    <w:div w:id="1116027822">
      <w:bodyDiv w:val="1"/>
      <w:marLeft w:val="0"/>
      <w:marRight w:val="0"/>
      <w:marTop w:val="0"/>
      <w:marBottom w:val="0"/>
      <w:divBdr>
        <w:top w:val="none" w:sz="0" w:space="0" w:color="auto"/>
        <w:left w:val="none" w:sz="0" w:space="0" w:color="auto"/>
        <w:bottom w:val="none" w:sz="0" w:space="0" w:color="auto"/>
        <w:right w:val="none" w:sz="0" w:space="0" w:color="auto"/>
      </w:divBdr>
    </w:div>
    <w:div w:id="1188637567">
      <w:bodyDiv w:val="1"/>
      <w:marLeft w:val="0"/>
      <w:marRight w:val="0"/>
      <w:marTop w:val="0"/>
      <w:marBottom w:val="0"/>
      <w:divBdr>
        <w:top w:val="none" w:sz="0" w:space="0" w:color="auto"/>
        <w:left w:val="none" w:sz="0" w:space="0" w:color="auto"/>
        <w:bottom w:val="none" w:sz="0" w:space="0" w:color="auto"/>
        <w:right w:val="none" w:sz="0" w:space="0" w:color="auto"/>
      </w:divBdr>
    </w:div>
    <w:div w:id="1431316533">
      <w:bodyDiv w:val="1"/>
      <w:marLeft w:val="0"/>
      <w:marRight w:val="0"/>
      <w:marTop w:val="0"/>
      <w:marBottom w:val="0"/>
      <w:divBdr>
        <w:top w:val="none" w:sz="0" w:space="0" w:color="auto"/>
        <w:left w:val="none" w:sz="0" w:space="0" w:color="auto"/>
        <w:bottom w:val="none" w:sz="0" w:space="0" w:color="auto"/>
        <w:right w:val="none" w:sz="0" w:space="0" w:color="auto"/>
      </w:divBdr>
    </w:div>
    <w:div w:id="16273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QUIROGA</dc:creator>
  <cp:keywords/>
  <dc:description/>
  <cp:lastModifiedBy>CESAR QUIROGA</cp:lastModifiedBy>
  <cp:revision>2</cp:revision>
  <dcterms:created xsi:type="dcterms:W3CDTF">2018-10-02T17:13:00Z</dcterms:created>
  <dcterms:modified xsi:type="dcterms:W3CDTF">2018-10-02T17:13:00Z</dcterms:modified>
</cp:coreProperties>
</file>