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704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6B3B27" w:rsidRPr="00BB469F" w:rsidTr="0034029B">
        <w:tc>
          <w:tcPr>
            <w:tcW w:w="2972" w:type="dxa"/>
          </w:tcPr>
          <w:p w:rsidR="006B3B27" w:rsidRPr="006B3B27" w:rsidRDefault="006B3B27" w:rsidP="0034029B">
            <w:pPr>
              <w:rPr>
                <w:rFonts w:ascii="Bookman Old Style" w:hAnsi="Bookman Old Style"/>
              </w:rPr>
            </w:pPr>
            <w:bookmarkStart w:id="0" w:name="_GoBack"/>
            <w:bookmarkEnd w:id="0"/>
            <w:r w:rsidRPr="006B3B27">
              <w:rPr>
                <w:rFonts w:ascii="Bookman Old Style" w:hAnsi="Bookman Old Style"/>
              </w:rPr>
              <w:t>Nº de Boletín:</w:t>
            </w:r>
          </w:p>
        </w:tc>
        <w:tc>
          <w:tcPr>
            <w:tcW w:w="5856" w:type="dxa"/>
          </w:tcPr>
          <w:p w:rsidR="006B3B27" w:rsidRPr="006B3B27" w:rsidRDefault="006B3B27" w:rsidP="006B3B27">
            <w:pPr>
              <w:rPr>
                <w:rFonts w:ascii="Bookman Old Style" w:hAnsi="Bookman Old Style"/>
              </w:rPr>
            </w:pPr>
            <w:r w:rsidRPr="006B3B27">
              <w:rPr>
                <w:rFonts w:ascii="Bookman Old Style" w:hAnsi="Bookman Old Style"/>
                <w:shd w:val="clear" w:color="auto" w:fill="FFFFFF"/>
              </w:rPr>
              <w:t>9862-33</w:t>
            </w: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  <w:tc>
          <w:tcPr>
            <w:tcW w:w="5856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</w:tr>
      <w:tr w:rsidR="006B3B27" w:rsidRPr="00BB469F" w:rsidTr="00976DBE">
        <w:trPr>
          <w:trHeight w:val="121"/>
        </w:trPr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  <w:r w:rsidRPr="00507C3E">
              <w:rPr>
                <w:rFonts w:ascii="Bookman Old Style" w:hAnsi="Bookman Old Style"/>
              </w:rPr>
              <w:t>Proyecto de ley:</w:t>
            </w:r>
          </w:p>
        </w:tc>
        <w:tc>
          <w:tcPr>
            <w:tcW w:w="5856" w:type="dxa"/>
          </w:tcPr>
          <w:p w:rsidR="006B3B27" w:rsidRPr="00507C3E" w:rsidRDefault="006B3B27" w:rsidP="0034029B">
            <w:pPr>
              <w:pStyle w:val="Textosinforma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B27">
              <w:rPr>
                <w:rFonts w:ascii="Bookman Old Style" w:hAnsi="Bookman Old Style" w:cs="Times New Roman"/>
                <w:sz w:val="24"/>
                <w:szCs w:val="24"/>
              </w:rPr>
              <w:t>Faculta al Estado para la creación de plantas desalinizadoras</w:t>
            </w: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  <w:tc>
          <w:tcPr>
            <w:tcW w:w="5856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  <w:r w:rsidRPr="00507C3E">
              <w:rPr>
                <w:rFonts w:ascii="Bookman Old Style" w:hAnsi="Bookman Old Style"/>
              </w:rPr>
              <w:t>Origen:</w:t>
            </w:r>
          </w:p>
        </w:tc>
        <w:tc>
          <w:tcPr>
            <w:tcW w:w="5856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  <w:r w:rsidRPr="00507C3E">
              <w:rPr>
                <w:rFonts w:ascii="Bookman Old Style" w:hAnsi="Bookman Old Style"/>
              </w:rPr>
              <w:t>Moción</w:t>
            </w: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  <w:tc>
          <w:tcPr>
            <w:tcW w:w="5856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  <w:r w:rsidRPr="00507C3E">
              <w:rPr>
                <w:rFonts w:ascii="Bookman Old Style" w:hAnsi="Bookman Old Style"/>
              </w:rPr>
              <w:t>Urgencia:</w:t>
            </w:r>
          </w:p>
        </w:tc>
        <w:tc>
          <w:tcPr>
            <w:tcW w:w="5856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  <w:r w:rsidRPr="00507C3E">
              <w:rPr>
                <w:rFonts w:ascii="Bookman Old Style" w:hAnsi="Bookman Old Style"/>
              </w:rPr>
              <w:t>Sin Urgencia</w:t>
            </w: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  <w:tc>
          <w:tcPr>
            <w:tcW w:w="5856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  <w:r w:rsidRPr="00507C3E">
              <w:rPr>
                <w:rFonts w:ascii="Bookman Old Style" w:hAnsi="Bookman Old Style"/>
              </w:rPr>
              <w:t>Comisión:</w:t>
            </w:r>
          </w:p>
        </w:tc>
        <w:tc>
          <w:tcPr>
            <w:tcW w:w="5856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Recursos hidrícos</w:t>
            </w: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  <w:tc>
          <w:tcPr>
            <w:tcW w:w="5856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Tramitación:</w:t>
            </w:r>
          </w:p>
        </w:tc>
        <w:tc>
          <w:tcPr>
            <w:tcW w:w="5856" w:type="dxa"/>
          </w:tcPr>
          <w:p w:rsidR="006B3B27" w:rsidRPr="00507C3E" w:rsidRDefault="006B3B27" w:rsidP="0034029B">
            <w:pPr>
              <w:tabs>
                <w:tab w:val="left" w:pos="3544"/>
              </w:tabs>
              <w:ind w:right="5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2º trámite constitucional.</w:t>
            </w: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</w:p>
        </w:tc>
        <w:tc>
          <w:tcPr>
            <w:tcW w:w="5856" w:type="dxa"/>
          </w:tcPr>
          <w:p w:rsidR="006B3B27" w:rsidRPr="00507C3E" w:rsidRDefault="006B3B27" w:rsidP="0034029B">
            <w:pPr>
              <w:tabs>
                <w:tab w:val="left" w:pos="3544"/>
              </w:tabs>
              <w:ind w:right="51"/>
              <w:jc w:val="both"/>
              <w:rPr>
                <w:rFonts w:ascii="Bookman Old Style" w:hAnsi="Bookman Old Style"/>
              </w:rPr>
            </w:pPr>
          </w:p>
        </w:tc>
      </w:tr>
      <w:tr w:rsidR="006B3B27" w:rsidRPr="00BB469F" w:rsidTr="0034029B">
        <w:tc>
          <w:tcPr>
            <w:tcW w:w="2972" w:type="dxa"/>
          </w:tcPr>
          <w:p w:rsidR="006B3B27" w:rsidRPr="00507C3E" w:rsidRDefault="006B3B27" w:rsidP="0034029B">
            <w:pPr>
              <w:rPr>
                <w:rFonts w:ascii="Bookman Old Style" w:hAnsi="Bookman Old Style"/>
              </w:rPr>
            </w:pPr>
            <w:r w:rsidRPr="00507C3E">
              <w:rPr>
                <w:rFonts w:ascii="Bookman Old Style" w:hAnsi="Bookman Old Style"/>
              </w:rPr>
              <w:t>Otras consideraciones</w:t>
            </w:r>
          </w:p>
        </w:tc>
        <w:tc>
          <w:tcPr>
            <w:tcW w:w="5856" w:type="dxa"/>
          </w:tcPr>
          <w:p w:rsidR="006B3B27" w:rsidRPr="00507C3E" w:rsidRDefault="006B3B27" w:rsidP="0034029B">
            <w:pPr>
              <w:tabs>
                <w:tab w:val="left" w:pos="3544"/>
              </w:tabs>
              <w:ind w:right="51"/>
              <w:jc w:val="both"/>
              <w:rPr>
                <w:rFonts w:ascii="Bookman Old Style" w:hAnsi="Bookman Old Style"/>
              </w:rPr>
            </w:pPr>
            <w:r w:rsidRPr="00507C3E">
              <w:rPr>
                <w:rFonts w:ascii="Bookman Old Style" w:hAnsi="Bookman Old Style"/>
              </w:rPr>
              <w:t xml:space="preserve">Aprobado por la unanimidad de la Comisión </w:t>
            </w:r>
          </w:p>
        </w:tc>
      </w:tr>
    </w:tbl>
    <w:p w:rsidR="00505A0D" w:rsidRDefault="00505A0D" w:rsidP="000164A9">
      <w:pPr>
        <w:spacing w:line="360" w:lineRule="auto"/>
        <w:rPr>
          <w:rFonts w:ascii="Bookman Old Style" w:hAnsi="Bookman Old Style"/>
        </w:rPr>
      </w:pPr>
    </w:p>
    <w:p w:rsidR="003928E4" w:rsidRDefault="003928E4" w:rsidP="000164A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Ideas Matrices de la discusión en la Comisión</w:t>
      </w:r>
      <w:r w:rsidR="00C62906">
        <w:rPr>
          <w:rFonts w:ascii="Bookman Old Style" w:hAnsi="Bookman Old Style"/>
        </w:rPr>
        <w:t>:</w:t>
      </w:r>
    </w:p>
    <w:p w:rsidR="003928E4" w:rsidRPr="000164A9" w:rsidRDefault="003928E4" w:rsidP="000164A9">
      <w:pPr>
        <w:spacing w:line="360" w:lineRule="auto"/>
        <w:rPr>
          <w:rFonts w:ascii="Bookman Old Style" w:hAnsi="Bookman Old Style"/>
        </w:rPr>
      </w:pPr>
    </w:p>
    <w:p w:rsidR="00DD55C2" w:rsidRDefault="00DD55C2" w:rsidP="000164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0164A9">
        <w:rPr>
          <w:rFonts w:ascii="Bookman Old Style" w:hAnsi="Bookman Old Style"/>
        </w:rPr>
        <w:t>Personeros de la actual y pasada administración están contestes en al proyecto le falta un “sujeto activo” de la obligación contemplada en el artículo 1º. No se asigna a ningún servicio, organismo o empresa del estado la posilidad de instalar y operar plantas de desalinizadoras.</w:t>
      </w:r>
    </w:p>
    <w:p w:rsidR="000164A9" w:rsidRPr="000164A9" w:rsidRDefault="000164A9" w:rsidP="000164A9">
      <w:pPr>
        <w:pStyle w:val="Prrafodelista"/>
        <w:spacing w:line="360" w:lineRule="auto"/>
        <w:jc w:val="both"/>
        <w:rPr>
          <w:rFonts w:ascii="Bookman Old Style" w:hAnsi="Bookman Old Style"/>
        </w:rPr>
      </w:pPr>
    </w:p>
    <w:p w:rsidR="00DD55C2" w:rsidRPr="000164A9" w:rsidRDefault="00DD55C2" w:rsidP="000164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0164A9">
        <w:rPr>
          <w:rFonts w:ascii="Bookman Old Style" w:hAnsi="Bookman Old Style"/>
        </w:rPr>
        <w:t xml:space="preserve"> </w:t>
      </w:r>
      <w:r w:rsidR="000164A9">
        <w:rPr>
          <w:rFonts w:ascii="Bookman Old Style" w:hAnsi="Bookman Old Style"/>
        </w:rPr>
        <w:t>El “</w:t>
      </w:r>
      <w:r w:rsidRPr="000164A9">
        <w:rPr>
          <w:rFonts w:ascii="Bookman Old Style" w:hAnsi="Bookman Old Style"/>
        </w:rPr>
        <w:t>fomentar”</w:t>
      </w:r>
      <w:r w:rsidR="000164A9">
        <w:rPr>
          <w:rFonts w:ascii="Bookman Old Style" w:hAnsi="Bookman Old Style"/>
        </w:rPr>
        <w:t xml:space="preserve"> y</w:t>
      </w:r>
      <w:r w:rsidRPr="000164A9">
        <w:rPr>
          <w:rFonts w:ascii="Bookman Old Style" w:hAnsi="Bookman Old Style"/>
        </w:rPr>
        <w:t xml:space="preserve"> “desarrollar” exlcuyen </w:t>
      </w:r>
      <w:r w:rsidRPr="000164A9">
        <w:rPr>
          <w:rFonts w:ascii="Bookman Old Style" w:hAnsi="Bookman Old Style" w:cs="Arial"/>
          <w:lang w:val="es-MX"/>
        </w:rPr>
        <w:t>la creación de plantas desalinizadoras, así como su explotación, pero deja fuera la construcción, conservación operación, mantención y reparación</w:t>
      </w:r>
      <w:r w:rsidR="000164A9">
        <w:rPr>
          <w:rFonts w:ascii="Bookman Old Style" w:hAnsi="Bookman Old Style" w:cs="Arial"/>
          <w:lang w:val="es-MX"/>
        </w:rPr>
        <w:t>.</w:t>
      </w:r>
    </w:p>
    <w:p w:rsidR="000164A9" w:rsidRPr="000164A9" w:rsidRDefault="000164A9" w:rsidP="000164A9">
      <w:pPr>
        <w:spacing w:line="360" w:lineRule="auto"/>
        <w:jc w:val="both"/>
        <w:rPr>
          <w:rFonts w:ascii="Bookman Old Style" w:hAnsi="Bookman Old Style"/>
        </w:rPr>
      </w:pPr>
    </w:p>
    <w:p w:rsidR="00DD55C2" w:rsidRPr="000164A9" w:rsidRDefault="00DD55C2" w:rsidP="000164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0164A9">
        <w:rPr>
          <w:rFonts w:ascii="Bookman Old Style" w:hAnsi="Bookman Old Style" w:cs="Arial"/>
          <w:lang w:val="es-MX"/>
        </w:rPr>
        <w:t xml:space="preserve">En la práctica, el MOP con las atribuciones que tiene hoy </w:t>
      </w:r>
      <w:r w:rsidRPr="000164A9">
        <w:rPr>
          <w:rFonts w:ascii="Bookman Old Style" w:hAnsi="Bookman Old Style"/>
          <w:lang w:val="es-ES_tradnl"/>
        </w:rPr>
        <w:t>construir plantas desalinizadoras para abastecer sistemas rurales.</w:t>
      </w:r>
    </w:p>
    <w:p w:rsidR="000164A9" w:rsidRPr="000164A9" w:rsidRDefault="000164A9" w:rsidP="000164A9">
      <w:pPr>
        <w:spacing w:line="360" w:lineRule="auto"/>
        <w:jc w:val="both"/>
        <w:rPr>
          <w:rFonts w:ascii="Bookman Old Style" w:hAnsi="Bookman Old Style"/>
        </w:rPr>
      </w:pPr>
    </w:p>
    <w:p w:rsidR="00DD55C2" w:rsidRPr="000164A9" w:rsidRDefault="00DD55C2" w:rsidP="000164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0164A9">
        <w:rPr>
          <w:rFonts w:ascii="Bookman Old Style" w:hAnsi="Bookman Old Style"/>
          <w:lang w:val="es-ES_tradnl"/>
        </w:rPr>
        <w:t>Las obligaciones al MOP “convenios de mandato</w:t>
      </w:r>
      <w:r w:rsidR="000164A9">
        <w:rPr>
          <w:rFonts w:ascii="Bookman Old Style" w:hAnsi="Bookman Old Style"/>
          <w:lang w:val="es-ES_tradnl"/>
        </w:rPr>
        <w:t>” art.2.</w:t>
      </w:r>
    </w:p>
    <w:p w:rsidR="000164A9" w:rsidRPr="000164A9" w:rsidRDefault="000164A9" w:rsidP="000164A9">
      <w:pPr>
        <w:spacing w:line="360" w:lineRule="auto"/>
        <w:jc w:val="both"/>
        <w:rPr>
          <w:rFonts w:ascii="Bookman Old Style" w:hAnsi="Bookman Old Style"/>
        </w:rPr>
      </w:pPr>
    </w:p>
    <w:p w:rsidR="00DD55C2" w:rsidRPr="000164A9" w:rsidRDefault="00DD55C2" w:rsidP="000164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0164A9">
        <w:rPr>
          <w:rFonts w:ascii="Bookman Old Style" w:hAnsi="Bookman Old Style"/>
          <w:lang w:val="es-ES_tradnl"/>
        </w:rPr>
        <w:lastRenderedPageBreak/>
        <w:t xml:space="preserve">Plantas desalinizadoras experiencia de privados, </w:t>
      </w:r>
      <w:r w:rsidR="000164A9" w:rsidRPr="000164A9">
        <w:rPr>
          <w:rFonts w:ascii="Bookman Old Style" w:hAnsi="Bookman Old Style"/>
          <w:lang w:val="es-ES_tradnl"/>
        </w:rPr>
        <w:t>fiscalización</w:t>
      </w:r>
      <w:r w:rsidRPr="000164A9">
        <w:rPr>
          <w:rFonts w:ascii="Bookman Old Style" w:hAnsi="Bookman Old Style"/>
          <w:lang w:val="es-ES_tradnl"/>
        </w:rPr>
        <w:t xml:space="preserve"> de los órganos públicos correspondientes.</w:t>
      </w:r>
    </w:p>
    <w:p w:rsidR="006B3B27" w:rsidRPr="000164A9" w:rsidRDefault="00DD55C2" w:rsidP="000164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0164A9">
        <w:rPr>
          <w:rFonts w:ascii="Bookman Old Style" w:hAnsi="Bookman Old Style"/>
          <w:lang w:val="es-ES_tradnl"/>
        </w:rPr>
        <w:t>Un rol subsidiario del Estado resultar discutible el interés del Estado para sustituirlos en el desarrollo de estas iniciativas, sin perjuicio de la necesidad de promover el ordenamiento territorial y la asignación socialmente eficiente del borde costero.</w:t>
      </w:r>
    </w:p>
    <w:p w:rsidR="000164A9" w:rsidRPr="000164A9" w:rsidRDefault="000164A9" w:rsidP="000164A9">
      <w:pPr>
        <w:pStyle w:val="Prrafodelista"/>
        <w:spacing w:line="360" w:lineRule="auto"/>
        <w:jc w:val="both"/>
        <w:rPr>
          <w:rFonts w:ascii="Bookman Old Style" w:hAnsi="Bookman Old Style"/>
        </w:rPr>
      </w:pPr>
    </w:p>
    <w:p w:rsidR="006B3B27" w:rsidRPr="000164A9" w:rsidRDefault="00DD55C2" w:rsidP="000164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Cs/>
          <w:lang w:val="es-MX"/>
        </w:rPr>
      </w:pPr>
      <w:r w:rsidRPr="000164A9">
        <w:rPr>
          <w:rFonts w:ascii="Bookman Old Style" w:hAnsi="Bookman Old Style"/>
          <w:lang w:val="es-ES_tradnl"/>
        </w:rPr>
        <w:t xml:space="preserve">Mensaje del Ejecutivo contenido en el (Boletín 8467-12) 2º trámite constitucional en comisión de Bienes Nacionales en el Senado. Que cambia la administración del borde costero en el Ministerio de Bienes Nacionales, </w:t>
      </w:r>
      <w:r w:rsidR="000164A9" w:rsidRPr="000164A9">
        <w:rPr>
          <w:rFonts w:ascii="Bookman Old Style" w:hAnsi="Bookman Old Style"/>
          <w:lang w:val="es-ES_tradnl"/>
        </w:rPr>
        <w:t>política</w:t>
      </w:r>
      <w:r w:rsidRPr="000164A9">
        <w:rPr>
          <w:rFonts w:ascii="Bookman Old Style" w:hAnsi="Bookman Old Style"/>
          <w:lang w:val="es-ES_tradnl"/>
        </w:rPr>
        <w:t xml:space="preserve"> de ordenación </w:t>
      </w:r>
      <w:r w:rsidR="000164A9" w:rsidRPr="000164A9">
        <w:rPr>
          <w:rFonts w:ascii="Bookman Old Style" w:hAnsi="Bookman Old Style"/>
          <w:lang w:val="es-ES_tradnl"/>
        </w:rPr>
        <w:t>territorial</w:t>
      </w:r>
      <w:r w:rsidRPr="000164A9">
        <w:rPr>
          <w:rFonts w:ascii="Bookman Old Style" w:hAnsi="Bookman Old Style"/>
          <w:lang w:val="es-ES_tradnl"/>
        </w:rPr>
        <w:t xml:space="preserve"> para el borde no comprendido en los instrumentos de ordenación territorial y el otorgamiento </w:t>
      </w:r>
      <w:r w:rsidR="000164A9" w:rsidRPr="000164A9">
        <w:rPr>
          <w:rFonts w:ascii="Bookman Old Style" w:hAnsi="Bookman Old Style"/>
          <w:lang w:val="es-ES_tradnl"/>
        </w:rPr>
        <w:t>y fiscalización de concesiones marítimas.</w:t>
      </w:r>
    </w:p>
    <w:p w:rsidR="000164A9" w:rsidRPr="000164A9" w:rsidRDefault="000164A9" w:rsidP="000164A9">
      <w:pPr>
        <w:rPr>
          <w:rFonts w:cs="Arial"/>
          <w:bCs/>
          <w:lang w:val="es-MX"/>
        </w:rPr>
      </w:pPr>
    </w:p>
    <w:p w:rsidR="00976DBE" w:rsidRDefault="00976DBE" w:rsidP="00976DBE">
      <w:pPr>
        <w:ind w:firstLine="2835"/>
      </w:pPr>
    </w:p>
    <w:p w:rsidR="006B3B27" w:rsidRDefault="006B3B27" w:rsidP="006B3B27">
      <w:pPr>
        <w:rPr>
          <w:rFonts w:cs="Arial"/>
          <w:bCs/>
          <w:lang w:val="es-MX"/>
        </w:rPr>
      </w:pPr>
    </w:p>
    <w:p w:rsidR="006B3B27" w:rsidRDefault="006B3B27" w:rsidP="006B3B27"/>
    <w:sectPr w:rsidR="006B3B27" w:rsidSect="00C519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4A" w:rsidRDefault="00CE1B4A" w:rsidP="006B3B27">
      <w:r>
        <w:separator/>
      </w:r>
    </w:p>
  </w:endnote>
  <w:endnote w:type="continuationSeparator" w:id="0">
    <w:p w:rsidR="00CE1B4A" w:rsidRDefault="00CE1B4A" w:rsidP="006B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27" w:rsidRPr="006B3B27" w:rsidRDefault="006B3B27">
    <w:pPr>
      <w:pStyle w:val="Piedepgina"/>
      <w:jc w:val="center"/>
    </w:pPr>
    <w:r w:rsidRPr="006B3B27">
      <w:t xml:space="preserve">Página </w:t>
    </w:r>
    <w:r w:rsidRPr="006B3B27">
      <w:fldChar w:fldCharType="begin"/>
    </w:r>
    <w:r w:rsidRPr="006B3B27">
      <w:instrText>PAGE  \* Arabic  \* MERGEFORMAT</w:instrText>
    </w:r>
    <w:r w:rsidRPr="006B3B27">
      <w:fldChar w:fldCharType="separate"/>
    </w:r>
    <w:r w:rsidR="00A50D0A">
      <w:rPr>
        <w:noProof/>
      </w:rPr>
      <w:t>2</w:t>
    </w:r>
    <w:r w:rsidRPr="006B3B27">
      <w:fldChar w:fldCharType="end"/>
    </w:r>
    <w:r w:rsidRPr="006B3B27">
      <w:t xml:space="preserve"> de </w:t>
    </w:r>
    <w:r w:rsidR="00CE1B4A">
      <w:fldChar w:fldCharType="begin"/>
    </w:r>
    <w:r w:rsidR="00CE1B4A">
      <w:instrText>NUMPAGES  \* Arabic  \* MERGEFORMAT</w:instrText>
    </w:r>
    <w:r w:rsidR="00CE1B4A">
      <w:fldChar w:fldCharType="separate"/>
    </w:r>
    <w:r w:rsidR="00A50D0A">
      <w:rPr>
        <w:noProof/>
      </w:rPr>
      <w:t>2</w:t>
    </w:r>
    <w:r w:rsidR="00CE1B4A">
      <w:fldChar w:fldCharType="end"/>
    </w:r>
  </w:p>
  <w:p w:rsidR="006B3B27" w:rsidRDefault="006B3B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4A" w:rsidRDefault="00CE1B4A" w:rsidP="006B3B27">
      <w:r>
        <w:separator/>
      </w:r>
    </w:p>
  </w:footnote>
  <w:footnote w:type="continuationSeparator" w:id="0">
    <w:p w:rsidR="00CE1B4A" w:rsidRDefault="00CE1B4A" w:rsidP="006B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27" w:rsidRDefault="006B3B27">
    <w:pPr>
      <w:pStyle w:val="Encabezado"/>
    </w:pPr>
    <w:r>
      <w:rPr>
        <w:noProof/>
        <w:lang w:eastAsia="es-CL"/>
      </w:rPr>
      <w:drawing>
        <wp:inline distT="0" distB="0" distL="0" distR="0" wp14:anchorId="03B6DB21" wp14:editId="190127BB">
          <wp:extent cx="1435100" cy="996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B27" w:rsidRDefault="006B3B27" w:rsidP="006B3B27">
    <w:r>
      <w:t>H. Senadora Luz Ebensperger Orrego</w:t>
    </w:r>
  </w:p>
  <w:p w:rsidR="006B3B27" w:rsidRDefault="006B3B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261C"/>
    <w:multiLevelType w:val="hybridMultilevel"/>
    <w:tmpl w:val="5754BA8A"/>
    <w:lvl w:ilvl="0" w:tplc="012A00CE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27"/>
    <w:rsid w:val="000164A9"/>
    <w:rsid w:val="003928E4"/>
    <w:rsid w:val="00505A0D"/>
    <w:rsid w:val="006134BE"/>
    <w:rsid w:val="006B3B27"/>
    <w:rsid w:val="00735DEB"/>
    <w:rsid w:val="00976DBE"/>
    <w:rsid w:val="00A50D0A"/>
    <w:rsid w:val="00C04322"/>
    <w:rsid w:val="00C51921"/>
    <w:rsid w:val="00C62906"/>
    <w:rsid w:val="00CE1B4A"/>
    <w:rsid w:val="00DD55C2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2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B2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B3B27"/>
    <w:pPr>
      <w:jc w:val="both"/>
    </w:pPr>
    <w:rPr>
      <w:rFonts w:ascii="Consolas" w:eastAsia="Calibri" w:hAnsi="Consolas" w:cs="Consolas"/>
      <w:color w:val="00000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B27"/>
    <w:rPr>
      <w:rFonts w:ascii="Consolas" w:eastAsia="Calibri" w:hAnsi="Consolas" w:cs="Consolas"/>
      <w:color w:val="000000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6B3B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B27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B3B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B27"/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DD55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D0A"/>
    <w:rPr>
      <w:rFonts w:ascii="Tahoma" w:eastAsia="Times New Roman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2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B2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B3B27"/>
    <w:pPr>
      <w:jc w:val="both"/>
    </w:pPr>
    <w:rPr>
      <w:rFonts w:ascii="Consolas" w:eastAsia="Calibri" w:hAnsi="Consolas" w:cs="Consolas"/>
      <w:color w:val="00000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B27"/>
    <w:rPr>
      <w:rFonts w:ascii="Consolas" w:eastAsia="Calibri" w:hAnsi="Consolas" w:cs="Consolas"/>
      <w:color w:val="000000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6B3B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B27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B3B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B27"/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DD55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D0A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Administrador</cp:lastModifiedBy>
  <cp:revision>2</cp:revision>
  <dcterms:created xsi:type="dcterms:W3CDTF">2018-10-04T12:55:00Z</dcterms:created>
  <dcterms:modified xsi:type="dcterms:W3CDTF">2018-10-04T12:55:00Z</dcterms:modified>
</cp:coreProperties>
</file>