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A4" w:rsidRPr="00AE22A4" w:rsidRDefault="00AE22A4" w:rsidP="00AE22A4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AE22A4">
        <w:rPr>
          <w:b/>
          <w:sz w:val="28"/>
          <w:szCs w:val="28"/>
        </w:rPr>
        <w:t>Confianza y desempeño de las instituciones</w:t>
      </w:r>
    </w:p>
    <w:p w:rsidR="00937498" w:rsidRPr="00AE22A4" w:rsidRDefault="00937498" w:rsidP="00B5231C">
      <w:pPr>
        <w:spacing w:line="240" w:lineRule="auto"/>
        <w:jc w:val="both"/>
        <w:rPr>
          <w:sz w:val="28"/>
          <w:szCs w:val="28"/>
        </w:rPr>
      </w:pPr>
      <w:r w:rsidRPr="00AE22A4">
        <w:rPr>
          <w:sz w:val="28"/>
          <w:szCs w:val="28"/>
        </w:rPr>
        <w:t>Una encuesta especial realizada por el CEP el año 2006 y replicada en 2016 evidenció una fuerte baja en la confianza hacia las instituciones por parte del Pueblo Mapuche. La confianza en el Gobierno descendió 28 puntos, el Ministerio Público 12, y el Congreso pasó de 16 a solamente 5 puntos porcentuales de confianza, superando únicamente a los Partidos Políticos.</w:t>
      </w:r>
    </w:p>
    <w:p w:rsidR="0000456B" w:rsidRPr="00AE22A4" w:rsidRDefault="00333B52" w:rsidP="0000456B">
      <w:pPr>
        <w:spacing w:line="240" w:lineRule="auto"/>
        <w:jc w:val="both"/>
        <w:rPr>
          <w:sz w:val="28"/>
          <w:szCs w:val="28"/>
        </w:rPr>
      </w:pPr>
      <w:r w:rsidRPr="00AE22A4">
        <w:rPr>
          <w:sz w:val="28"/>
          <w:szCs w:val="28"/>
        </w:rPr>
        <w:t xml:space="preserve">Los motivos de la baja </w:t>
      </w:r>
      <w:r w:rsidR="0000456B" w:rsidRPr="00AE22A4">
        <w:rPr>
          <w:sz w:val="28"/>
          <w:szCs w:val="28"/>
        </w:rPr>
        <w:t>puede tener su origen en diversas circunstancias</w:t>
      </w:r>
      <w:r w:rsidRPr="00AE22A4">
        <w:rPr>
          <w:sz w:val="28"/>
          <w:szCs w:val="28"/>
        </w:rPr>
        <w:t>,</w:t>
      </w:r>
      <w:r w:rsidR="0000456B" w:rsidRPr="00AE22A4">
        <w:rPr>
          <w:sz w:val="28"/>
          <w:szCs w:val="28"/>
        </w:rPr>
        <w:t xml:space="preserve"> pero sin duda hay una relación directa con el desempeño de las mismas, y allí es justamente donde radica el desafío de los organismos que esta ley está creando. Se debe tener consciencia de que la ciudadanía tiene la capacidad de reconocer</w:t>
      </w:r>
      <w:r w:rsidR="00F74BD8" w:rsidRPr="00AE22A4">
        <w:rPr>
          <w:sz w:val="28"/>
          <w:szCs w:val="28"/>
        </w:rPr>
        <w:t xml:space="preserve"> cuando un desempeño es apropiado o inapropiado.</w:t>
      </w:r>
      <w:r w:rsidR="0000456B" w:rsidRPr="00AE22A4">
        <w:rPr>
          <w:sz w:val="28"/>
          <w:szCs w:val="28"/>
        </w:rPr>
        <w:t xml:space="preserve"> </w:t>
      </w:r>
    </w:p>
    <w:p w:rsidR="00333B52" w:rsidRPr="00AE22A4" w:rsidRDefault="00F74BD8" w:rsidP="00B5231C">
      <w:pPr>
        <w:spacing w:line="240" w:lineRule="auto"/>
        <w:jc w:val="both"/>
        <w:rPr>
          <w:sz w:val="28"/>
          <w:szCs w:val="28"/>
        </w:rPr>
      </w:pPr>
      <w:r w:rsidRPr="00AE22A4">
        <w:rPr>
          <w:sz w:val="28"/>
          <w:szCs w:val="28"/>
        </w:rPr>
        <w:t>Señalo lo anterior porque d</w:t>
      </w:r>
      <w:r w:rsidR="0000456B" w:rsidRPr="00AE22A4">
        <w:rPr>
          <w:sz w:val="28"/>
          <w:szCs w:val="28"/>
        </w:rPr>
        <w:t xml:space="preserve">e los once programas en materia indígena que han estado sujetos a la evaluación de la Dirección de Presupuestos, ninguno obtuvo </w:t>
      </w:r>
      <w:r w:rsidRPr="00AE22A4">
        <w:rPr>
          <w:sz w:val="28"/>
          <w:szCs w:val="28"/>
        </w:rPr>
        <w:t>una</w:t>
      </w:r>
      <w:r w:rsidR="0000456B" w:rsidRPr="00AE22A4">
        <w:rPr>
          <w:sz w:val="28"/>
          <w:szCs w:val="28"/>
        </w:rPr>
        <w:t xml:space="preserve"> calificación de desempeño suficiente o </w:t>
      </w:r>
      <w:r w:rsidRPr="00AE22A4">
        <w:rPr>
          <w:sz w:val="28"/>
          <w:szCs w:val="28"/>
        </w:rPr>
        <w:t>quedó sujeto a ajustes menores: 2 programas</w:t>
      </w:r>
      <w:r w:rsidR="0000456B" w:rsidRPr="00AE22A4">
        <w:rPr>
          <w:sz w:val="28"/>
          <w:szCs w:val="28"/>
        </w:rPr>
        <w:t xml:space="preserve"> no demuestran resultados</w:t>
      </w:r>
      <w:r w:rsidRPr="00AE22A4">
        <w:rPr>
          <w:sz w:val="28"/>
          <w:szCs w:val="28"/>
        </w:rPr>
        <w:t xml:space="preserve">, en otros 3 </w:t>
      </w:r>
      <w:r w:rsidR="0000456B" w:rsidRPr="00AE22A4">
        <w:rPr>
          <w:sz w:val="28"/>
          <w:szCs w:val="28"/>
        </w:rPr>
        <w:t xml:space="preserve">se </w:t>
      </w:r>
      <w:proofErr w:type="spellStart"/>
      <w:r w:rsidR="0000456B" w:rsidRPr="00AE22A4">
        <w:rPr>
          <w:sz w:val="28"/>
          <w:szCs w:val="28"/>
        </w:rPr>
        <w:t>requ</w:t>
      </w:r>
      <w:r w:rsidRPr="00AE22A4">
        <w:rPr>
          <w:sz w:val="28"/>
          <w:szCs w:val="28"/>
        </w:rPr>
        <w:t>i</w:t>
      </w:r>
      <w:r w:rsidR="00AE22A4">
        <w:rPr>
          <w:sz w:val="28"/>
          <w:szCs w:val="28"/>
        </w:rPr>
        <w:t>re</w:t>
      </w:r>
      <w:r w:rsidRPr="00AE22A4">
        <w:rPr>
          <w:sz w:val="28"/>
          <w:szCs w:val="28"/>
        </w:rPr>
        <w:t>n</w:t>
      </w:r>
      <w:proofErr w:type="spellEnd"/>
      <w:r w:rsidRPr="00AE22A4">
        <w:rPr>
          <w:sz w:val="28"/>
          <w:szCs w:val="28"/>
        </w:rPr>
        <w:t xml:space="preserve"> modificaciones mayores, dos necesitan un rediseño sustantivo y</w:t>
      </w:r>
      <w:r w:rsidR="0000456B" w:rsidRPr="00AE22A4">
        <w:rPr>
          <w:sz w:val="28"/>
          <w:szCs w:val="28"/>
        </w:rPr>
        <w:t xml:space="preserve"> </w:t>
      </w:r>
      <w:r w:rsidRPr="00AE22A4">
        <w:rPr>
          <w:sz w:val="28"/>
          <w:szCs w:val="28"/>
        </w:rPr>
        <w:t>sobre un programa se estimó que debe ser</w:t>
      </w:r>
      <w:r w:rsidR="0000456B" w:rsidRPr="00AE22A4">
        <w:rPr>
          <w:sz w:val="28"/>
          <w:szCs w:val="28"/>
        </w:rPr>
        <w:t xml:space="preserve"> r</w:t>
      </w:r>
      <w:r w:rsidRPr="00AE22A4">
        <w:rPr>
          <w:sz w:val="28"/>
          <w:szCs w:val="28"/>
        </w:rPr>
        <w:t>eemplazado íntegramente.</w:t>
      </w:r>
    </w:p>
    <w:p w:rsidR="004F516C" w:rsidRPr="00AE22A4" w:rsidRDefault="00AE22A4" w:rsidP="00B5231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</w:t>
      </w:r>
      <w:r w:rsidR="004F516C" w:rsidRPr="00AE22A4">
        <w:rPr>
          <w:sz w:val="28"/>
          <w:szCs w:val="28"/>
        </w:rPr>
        <w:t xml:space="preserve"> programas </w:t>
      </w:r>
      <w:r>
        <w:rPr>
          <w:sz w:val="28"/>
          <w:szCs w:val="28"/>
        </w:rPr>
        <w:t>se han diseñado</w:t>
      </w:r>
      <w:r w:rsidR="004F516C" w:rsidRPr="00AE22A4">
        <w:rPr>
          <w:sz w:val="28"/>
          <w:szCs w:val="28"/>
        </w:rPr>
        <w:t xml:space="preserve"> sin tener claridad sobre lo</w:t>
      </w:r>
      <w:r w:rsidR="00F74BD8" w:rsidRPr="00AE22A4">
        <w:rPr>
          <w:sz w:val="28"/>
          <w:szCs w:val="28"/>
        </w:rPr>
        <w:t>s potenciales beneficiarios,</w:t>
      </w:r>
      <w:r w:rsidR="004F516C" w:rsidRPr="00AE22A4">
        <w:rPr>
          <w:sz w:val="28"/>
          <w:szCs w:val="28"/>
        </w:rPr>
        <w:t xml:space="preserve"> presentan numeros</w:t>
      </w:r>
      <w:r w:rsidR="00F74BD8" w:rsidRPr="00AE22A4">
        <w:rPr>
          <w:sz w:val="28"/>
          <w:szCs w:val="28"/>
        </w:rPr>
        <w:t>os problemas durante su gestión, sufren modificaciones en el camino y</w:t>
      </w:r>
      <w:r w:rsidR="004F516C" w:rsidRPr="00AE22A4">
        <w:rPr>
          <w:sz w:val="28"/>
          <w:szCs w:val="28"/>
        </w:rPr>
        <w:t xml:space="preserve"> </w:t>
      </w:r>
      <w:r w:rsidR="00F74BD8" w:rsidRPr="00AE22A4">
        <w:rPr>
          <w:sz w:val="28"/>
          <w:szCs w:val="28"/>
        </w:rPr>
        <w:t>no se rigen según estándares</w:t>
      </w:r>
      <w:r w:rsidR="004F516C" w:rsidRPr="00AE22A4">
        <w:rPr>
          <w:sz w:val="28"/>
          <w:szCs w:val="28"/>
        </w:rPr>
        <w:t xml:space="preserve"> eficacia y calidad, especialmente</w:t>
      </w:r>
      <w:r w:rsidR="00C62E59" w:rsidRPr="00AE22A4">
        <w:rPr>
          <w:sz w:val="28"/>
          <w:szCs w:val="28"/>
        </w:rPr>
        <w:t xml:space="preserve"> en lo más importante;</w:t>
      </w:r>
      <w:r w:rsidR="004F516C" w:rsidRPr="00AE22A4">
        <w:rPr>
          <w:sz w:val="28"/>
          <w:szCs w:val="28"/>
        </w:rPr>
        <w:t xml:space="preserve"> el grado de satisfacción de los usuarios. </w:t>
      </w:r>
    </w:p>
    <w:p w:rsidR="00C62E59" w:rsidRPr="00AE22A4" w:rsidRDefault="00C62E59" w:rsidP="00C62E59">
      <w:pPr>
        <w:spacing w:line="240" w:lineRule="auto"/>
        <w:jc w:val="both"/>
        <w:rPr>
          <w:sz w:val="28"/>
          <w:szCs w:val="28"/>
        </w:rPr>
      </w:pPr>
      <w:r w:rsidRPr="00AE22A4">
        <w:rPr>
          <w:sz w:val="28"/>
          <w:szCs w:val="28"/>
        </w:rPr>
        <w:t xml:space="preserve">La confianza en los programas no se recupera cambiándole el nombre a los mismos, sino que demostrando una buena capacidad de gestión, que deriva en una mejora sustancial para los usuarios. En el caso de los 9 Consejos de Pueblos, y el Consejo Nacional de Pueblos Indígenas, que son entidades consultivas y participativas, </w:t>
      </w:r>
      <w:r w:rsidR="00AE22A4">
        <w:rPr>
          <w:sz w:val="28"/>
          <w:szCs w:val="28"/>
        </w:rPr>
        <w:t>no se debe dar cabida a cuestionamientos por su conformación ni sus facultades.</w:t>
      </w:r>
    </w:p>
    <w:p w:rsidR="00AE22A4" w:rsidRPr="00AE22A4" w:rsidRDefault="00AE22A4" w:rsidP="00AE22A4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AE22A4">
        <w:rPr>
          <w:b/>
          <w:sz w:val="28"/>
          <w:szCs w:val="28"/>
        </w:rPr>
        <w:t>Proporcionalidad</w:t>
      </w:r>
    </w:p>
    <w:p w:rsidR="00C62E59" w:rsidRPr="00AE22A4" w:rsidRDefault="00C62E59" w:rsidP="00C62E59">
      <w:pPr>
        <w:spacing w:line="240" w:lineRule="auto"/>
        <w:jc w:val="both"/>
        <w:rPr>
          <w:sz w:val="28"/>
          <w:szCs w:val="28"/>
        </w:rPr>
      </w:pPr>
      <w:r w:rsidRPr="00AE22A4">
        <w:rPr>
          <w:sz w:val="28"/>
          <w:szCs w:val="28"/>
        </w:rPr>
        <w:t xml:space="preserve">En esa línea es difícil de comprender la discrecionalidad de en los números de </w:t>
      </w:r>
      <w:r w:rsidR="008D006A" w:rsidRPr="00AE22A4">
        <w:rPr>
          <w:sz w:val="28"/>
          <w:szCs w:val="28"/>
        </w:rPr>
        <w:t>miembro</w:t>
      </w:r>
      <w:r w:rsidR="008D006A">
        <w:rPr>
          <w:sz w:val="28"/>
          <w:szCs w:val="28"/>
        </w:rPr>
        <w:t>s</w:t>
      </w:r>
      <w:r w:rsidR="008D006A" w:rsidRPr="00AE22A4">
        <w:rPr>
          <w:sz w:val="28"/>
          <w:szCs w:val="28"/>
        </w:rPr>
        <w:t xml:space="preserve"> </w:t>
      </w:r>
      <w:r w:rsidRPr="00AE22A4">
        <w:rPr>
          <w:sz w:val="28"/>
          <w:szCs w:val="28"/>
        </w:rPr>
        <w:t>de cada</w:t>
      </w:r>
      <w:r w:rsidR="008D006A" w:rsidRPr="008D006A">
        <w:rPr>
          <w:sz w:val="28"/>
          <w:szCs w:val="28"/>
        </w:rPr>
        <w:t xml:space="preserve"> </w:t>
      </w:r>
      <w:r w:rsidR="008D006A">
        <w:rPr>
          <w:sz w:val="28"/>
          <w:szCs w:val="28"/>
        </w:rPr>
        <w:t>consejero</w:t>
      </w:r>
      <w:r w:rsidRPr="00AE22A4">
        <w:rPr>
          <w:sz w:val="28"/>
          <w:szCs w:val="28"/>
        </w:rPr>
        <w:t xml:space="preserve">, considerando que el pueblo Mapuche tendría 5 consejeros representando a 1.329.450 personas, mientras que el pueblo </w:t>
      </w:r>
      <w:proofErr w:type="spellStart"/>
      <w:r w:rsidRPr="00AE22A4">
        <w:rPr>
          <w:sz w:val="28"/>
          <w:szCs w:val="28"/>
        </w:rPr>
        <w:t>Yagán</w:t>
      </w:r>
      <w:proofErr w:type="spellEnd"/>
      <w:r w:rsidRPr="00AE22A4">
        <w:rPr>
          <w:sz w:val="28"/>
          <w:szCs w:val="28"/>
        </w:rPr>
        <w:t xml:space="preserve"> tendría 1 consejero </w:t>
      </w:r>
      <w:r w:rsidR="00DE7E46" w:rsidRPr="00AE22A4">
        <w:rPr>
          <w:sz w:val="28"/>
          <w:szCs w:val="28"/>
        </w:rPr>
        <w:t>representando a sus</w:t>
      </w:r>
      <w:r w:rsidRPr="00AE22A4">
        <w:rPr>
          <w:sz w:val="28"/>
          <w:szCs w:val="28"/>
        </w:rPr>
        <w:t xml:space="preserve"> 131 miembros</w:t>
      </w:r>
      <w:r w:rsidR="00AE22A4" w:rsidRPr="00AE22A4">
        <w:rPr>
          <w:sz w:val="28"/>
          <w:szCs w:val="28"/>
        </w:rPr>
        <w:t>. Datos de la Casen</w:t>
      </w:r>
      <w:r w:rsidRPr="00AE22A4">
        <w:rPr>
          <w:sz w:val="28"/>
          <w:szCs w:val="28"/>
        </w:rPr>
        <w:t xml:space="preserve"> 2015</w:t>
      </w:r>
      <w:r w:rsidR="00AE22A4" w:rsidRPr="00AE22A4">
        <w:rPr>
          <w:sz w:val="28"/>
          <w:szCs w:val="28"/>
        </w:rPr>
        <w:t>.</w:t>
      </w:r>
      <w:r w:rsidRPr="00AE22A4">
        <w:rPr>
          <w:sz w:val="28"/>
          <w:szCs w:val="28"/>
        </w:rPr>
        <w:t xml:space="preserve"> </w:t>
      </w:r>
    </w:p>
    <w:p w:rsidR="00AE22A4" w:rsidRPr="00AE22A4" w:rsidRDefault="00AE22A4" w:rsidP="00DE7E46">
      <w:pPr>
        <w:spacing w:line="240" w:lineRule="auto"/>
        <w:jc w:val="both"/>
        <w:rPr>
          <w:b/>
          <w:sz w:val="28"/>
          <w:szCs w:val="28"/>
        </w:rPr>
      </w:pPr>
      <w:r w:rsidRPr="00AE22A4">
        <w:rPr>
          <w:sz w:val="28"/>
          <w:szCs w:val="28"/>
        </w:rPr>
        <w:lastRenderedPageBreak/>
        <w:tab/>
      </w:r>
      <w:r w:rsidRPr="00AE22A4">
        <w:rPr>
          <w:b/>
          <w:sz w:val="28"/>
          <w:szCs w:val="28"/>
        </w:rPr>
        <w:t>¿Quién regula las elecciones internas?</w:t>
      </w:r>
    </w:p>
    <w:p w:rsidR="00DE7E46" w:rsidRPr="00AE22A4" w:rsidRDefault="00DE7E46" w:rsidP="00DE7E46">
      <w:pPr>
        <w:spacing w:line="240" w:lineRule="auto"/>
        <w:jc w:val="both"/>
        <w:rPr>
          <w:rFonts w:cs="Arial"/>
          <w:sz w:val="28"/>
          <w:szCs w:val="28"/>
        </w:rPr>
      </w:pPr>
      <w:r w:rsidRPr="00AE22A4">
        <w:rPr>
          <w:sz w:val="28"/>
          <w:szCs w:val="28"/>
        </w:rPr>
        <w:t xml:space="preserve">Más de difícil de comprender es que teniendo en el SERVEL un órgano superior de la </w:t>
      </w:r>
      <w:r w:rsidRPr="00AE22A4">
        <w:rPr>
          <w:rFonts w:cs="Arial"/>
          <w:sz w:val="28"/>
          <w:szCs w:val="28"/>
        </w:rPr>
        <w:t xml:space="preserve">administración electoral en Chile, con autonomía constitucional, </w:t>
      </w:r>
      <w:r w:rsidR="008D006A">
        <w:rPr>
          <w:rFonts w:cs="Arial"/>
          <w:sz w:val="28"/>
          <w:szCs w:val="28"/>
        </w:rPr>
        <w:t xml:space="preserve">que administra, </w:t>
      </w:r>
      <w:r w:rsidR="004F516C" w:rsidRPr="00AE22A4">
        <w:rPr>
          <w:rFonts w:cs="Arial"/>
          <w:sz w:val="28"/>
          <w:szCs w:val="28"/>
        </w:rPr>
        <w:t>supervigila y fisc</w:t>
      </w:r>
      <w:r w:rsidRPr="00AE22A4">
        <w:rPr>
          <w:rFonts w:cs="Arial"/>
          <w:sz w:val="28"/>
          <w:szCs w:val="28"/>
        </w:rPr>
        <w:t>aliza los procesos electorales,</w:t>
      </w:r>
      <w:r w:rsidR="004F516C" w:rsidRPr="00AE22A4">
        <w:rPr>
          <w:rFonts w:cs="Arial"/>
          <w:sz w:val="28"/>
          <w:szCs w:val="28"/>
        </w:rPr>
        <w:t xml:space="preserve"> </w:t>
      </w:r>
      <w:r w:rsidRPr="00AE22A4">
        <w:rPr>
          <w:rFonts w:cs="Arial"/>
          <w:sz w:val="28"/>
          <w:szCs w:val="28"/>
        </w:rPr>
        <w:t>incluso los</w:t>
      </w:r>
      <w:r w:rsidR="004F516C" w:rsidRPr="00AE22A4">
        <w:rPr>
          <w:rFonts w:cs="Arial"/>
          <w:sz w:val="28"/>
          <w:szCs w:val="28"/>
        </w:rPr>
        <w:t xml:space="preserve"> </w:t>
      </w:r>
      <w:r w:rsidRPr="00AE22A4">
        <w:rPr>
          <w:rFonts w:cs="Arial"/>
          <w:sz w:val="28"/>
          <w:szCs w:val="28"/>
        </w:rPr>
        <w:t>procesos eleccionarios internos de los partidos políticos, no se contemple entregarle esas facultades cuando se refiere a Pueblos Indígenas. Quizás es una señal de que algunos desean dificultar o retrasar</w:t>
      </w:r>
      <w:r w:rsidR="004F516C" w:rsidRPr="00AE22A4">
        <w:rPr>
          <w:rFonts w:cs="Arial"/>
          <w:sz w:val="28"/>
          <w:szCs w:val="28"/>
        </w:rPr>
        <w:t xml:space="preserve"> los escaños reservados o cupos especiales</w:t>
      </w:r>
      <w:r w:rsidRPr="00AE22A4">
        <w:rPr>
          <w:rFonts w:cs="Arial"/>
          <w:sz w:val="28"/>
          <w:szCs w:val="28"/>
        </w:rPr>
        <w:t xml:space="preserve"> para los Pueblos Indígenas</w:t>
      </w:r>
      <w:r w:rsidR="004F516C" w:rsidRPr="00AE22A4">
        <w:rPr>
          <w:rFonts w:cs="Arial"/>
          <w:sz w:val="28"/>
          <w:szCs w:val="28"/>
        </w:rPr>
        <w:t xml:space="preserve">, </w:t>
      </w:r>
      <w:r w:rsidRPr="00AE22A4">
        <w:rPr>
          <w:rFonts w:cs="Arial"/>
          <w:sz w:val="28"/>
          <w:szCs w:val="28"/>
        </w:rPr>
        <w:t xml:space="preserve">ya que </w:t>
      </w:r>
      <w:r w:rsidR="004F516C" w:rsidRPr="00AE22A4">
        <w:rPr>
          <w:rFonts w:cs="Arial"/>
          <w:sz w:val="28"/>
          <w:szCs w:val="28"/>
        </w:rPr>
        <w:t xml:space="preserve">el SERVEL </w:t>
      </w:r>
      <w:r w:rsidRPr="00AE22A4">
        <w:rPr>
          <w:rFonts w:cs="Arial"/>
          <w:sz w:val="28"/>
          <w:szCs w:val="28"/>
        </w:rPr>
        <w:t>debiera tener</w:t>
      </w:r>
      <w:r w:rsidR="004F516C" w:rsidRPr="00AE22A4">
        <w:rPr>
          <w:rFonts w:cs="Arial"/>
          <w:sz w:val="28"/>
          <w:szCs w:val="28"/>
        </w:rPr>
        <w:t xml:space="preserve"> competencia respecto de ellos. </w:t>
      </w:r>
    </w:p>
    <w:p w:rsidR="00C62E59" w:rsidRPr="00AE22A4" w:rsidRDefault="00DE7E46" w:rsidP="00AE22A4">
      <w:pPr>
        <w:spacing w:line="240" w:lineRule="auto"/>
        <w:jc w:val="both"/>
        <w:rPr>
          <w:rFonts w:cs="Arial"/>
          <w:sz w:val="28"/>
          <w:szCs w:val="28"/>
        </w:rPr>
      </w:pPr>
      <w:r w:rsidRPr="00AE22A4">
        <w:rPr>
          <w:rFonts w:cs="Arial"/>
          <w:sz w:val="28"/>
          <w:szCs w:val="28"/>
        </w:rPr>
        <w:t>Debemos utilizar la institucionalidad que ha sido recientemente potenciada para favorecer procesos independientes, transparentes, con responsabilidad administrativa específica y con presupuesto y personal calificado para dichas tareas, y evitar la creación de dos cuerpos</w:t>
      </w:r>
      <w:r w:rsidR="004F516C" w:rsidRPr="00AE22A4">
        <w:rPr>
          <w:rFonts w:cs="Arial"/>
          <w:sz w:val="28"/>
          <w:szCs w:val="28"/>
        </w:rPr>
        <w:t xml:space="preserve"> con competencias similares, lo que será un problema, por ejemplo, respecto d</w:t>
      </w:r>
      <w:r w:rsidR="00AE22A4" w:rsidRPr="00AE22A4">
        <w:rPr>
          <w:rFonts w:cs="Arial"/>
          <w:sz w:val="28"/>
          <w:szCs w:val="28"/>
        </w:rPr>
        <w:t>el registro de los habilitados.</w:t>
      </w:r>
    </w:p>
    <w:p w:rsidR="008D006A" w:rsidRPr="008D006A" w:rsidRDefault="008D006A" w:rsidP="008D006A">
      <w:pPr>
        <w:pStyle w:val="Cuerpodeltexto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="Arial"/>
          <w:b/>
          <w:sz w:val="28"/>
          <w:szCs w:val="28"/>
        </w:rPr>
      </w:pPr>
      <w:r w:rsidRPr="008D006A">
        <w:rPr>
          <w:rFonts w:asciiTheme="minorHAnsi" w:hAnsiTheme="minorHAnsi" w:cs="Arial"/>
          <w:b/>
          <w:sz w:val="28"/>
          <w:szCs w:val="28"/>
        </w:rPr>
        <w:t>Consulta medioambiental</w:t>
      </w:r>
    </w:p>
    <w:p w:rsidR="008D006A" w:rsidRDefault="008D006A" w:rsidP="00AE22A4">
      <w:pPr>
        <w:pStyle w:val="Cuerpodeltexto20"/>
        <w:shd w:val="clear" w:color="auto" w:fill="auto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p w:rsidR="00DE7E46" w:rsidRPr="00AE22A4" w:rsidRDefault="004D2CE5" w:rsidP="00AE22A4">
      <w:pPr>
        <w:pStyle w:val="Cuerpodeltexto20"/>
        <w:shd w:val="clear" w:color="auto" w:fill="auto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Finalmente, no queda claro cuándo procede realizar consultas indígenas ni el alcance de estas en</w:t>
      </w:r>
      <w:r w:rsidR="00B5231C" w:rsidRPr="00AE22A4">
        <w:rPr>
          <w:rFonts w:asciiTheme="minorHAnsi" w:hAnsiTheme="minorHAnsi" w:cs="Arial"/>
          <w:sz w:val="28"/>
          <w:szCs w:val="28"/>
        </w:rPr>
        <w:t xml:space="preserve"> relación con el proceso medioambiental.</w:t>
      </w:r>
      <w:r>
        <w:rPr>
          <w:rFonts w:asciiTheme="minorHAnsi" w:hAnsiTheme="minorHAnsi" w:cs="Arial"/>
          <w:sz w:val="28"/>
          <w:szCs w:val="28"/>
        </w:rPr>
        <w:t xml:space="preserve"> Dejarlo en manos de un comité interministerial pareciera ser una manera de generar posibles conflictos </w:t>
      </w:r>
      <w:r w:rsidR="00B5231C" w:rsidRPr="00AE22A4">
        <w:rPr>
          <w:rFonts w:asciiTheme="minorHAnsi" w:hAnsiTheme="minorHAnsi" w:cs="Arial"/>
          <w:sz w:val="28"/>
          <w:szCs w:val="28"/>
        </w:rPr>
        <w:t>de competencias y atribuciones dentro del Poder Ejecutivo que sólo terminarán por mermar la confianza en la nueva institu</w:t>
      </w:r>
      <w:r w:rsidR="00AE22A4" w:rsidRPr="00AE22A4">
        <w:rPr>
          <w:rFonts w:asciiTheme="minorHAnsi" w:hAnsiTheme="minorHAnsi" w:cs="Arial"/>
          <w:sz w:val="28"/>
          <w:szCs w:val="28"/>
        </w:rPr>
        <w:t>cionalidad que aquí se discute.</w:t>
      </w:r>
    </w:p>
    <w:p w:rsidR="00937498" w:rsidRDefault="00937498" w:rsidP="00937498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</w:tblGrid>
      <w:tr w:rsidR="00937498" w:rsidTr="009374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jc w:val="center"/>
              <w:rPr>
                <w:b/>
                <w:sz w:val="24"/>
                <w:szCs w:val="24"/>
              </w:rPr>
            </w:pPr>
            <w:r w:rsidRPr="00937498">
              <w:rPr>
                <w:b/>
                <w:sz w:val="24"/>
                <w:szCs w:val="24"/>
              </w:rPr>
              <w:t>Pueblo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 w:rsidP="00937498">
            <w:pPr>
              <w:jc w:val="center"/>
              <w:rPr>
                <w:b/>
                <w:sz w:val="24"/>
                <w:szCs w:val="24"/>
              </w:rPr>
            </w:pPr>
            <w:r w:rsidRPr="00937498">
              <w:rPr>
                <w:b/>
                <w:sz w:val="24"/>
                <w:szCs w:val="24"/>
              </w:rPr>
              <w:t xml:space="preserve">Población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jc w:val="center"/>
              <w:rPr>
                <w:b/>
                <w:sz w:val="24"/>
                <w:szCs w:val="24"/>
              </w:rPr>
            </w:pPr>
            <w:r w:rsidRPr="00937498">
              <w:rPr>
                <w:b/>
                <w:sz w:val="24"/>
                <w:szCs w:val="24"/>
              </w:rPr>
              <w:t>Consejeros</w:t>
            </w:r>
          </w:p>
        </w:tc>
      </w:tr>
      <w:tr w:rsidR="00937498" w:rsidTr="009374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rPr>
                <w:b/>
                <w:sz w:val="24"/>
                <w:szCs w:val="24"/>
              </w:rPr>
            </w:pPr>
            <w:proofErr w:type="spellStart"/>
            <w:r w:rsidRPr="00937498">
              <w:rPr>
                <w:b/>
                <w:sz w:val="24"/>
                <w:szCs w:val="24"/>
              </w:rPr>
              <w:t>Yagán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 w:rsidP="00937498">
            <w:pPr>
              <w:jc w:val="right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3</w:t>
            </w:r>
          </w:p>
        </w:tc>
      </w:tr>
      <w:tr w:rsidR="00937498" w:rsidTr="009374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rPr>
                <w:b/>
                <w:sz w:val="24"/>
                <w:szCs w:val="24"/>
              </w:rPr>
            </w:pPr>
            <w:r w:rsidRPr="00937498">
              <w:rPr>
                <w:b/>
                <w:sz w:val="24"/>
                <w:szCs w:val="24"/>
              </w:rPr>
              <w:t xml:space="preserve">Rapa </w:t>
            </w:r>
            <w:proofErr w:type="spellStart"/>
            <w:r w:rsidRPr="00937498">
              <w:rPr>
                <w:b/>
                <w:sz w:val="24"/>
                <w:szCs w:val="24"/>
              </w:rPr>
              <w:t>Nui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 w:rsidP="00937498">
            <w:pPr>
              <w:jc w:val="right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5.065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3</w:t>
            </w:r>
          </w:p>
        </w:tc>
      </w:tr>
      <w:tr w:rsidR="00937498" w:rsidTr="009374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rPr>
                <w:b/>
                <w:sz w:val="24"/>
                <w:szCs w:val="24"/>
              </w:rPr>
            </w:pPr>
            <w:proofErr w:type="spellStart"/>
            <w:r w:rsidRPr="00937498">
              <w:rPr>
                <w:b/>
                <w:sz w:val="24"/>
                <w:szCs w:val="24"/>
              </w:rPr>
              <w:t>Kawésqar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 w:rsidP="00937498">
            <w:pPr>
              <w:jc w:val="right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5.298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3</w:t>
            </w:r>
          </w:p>
        </w:tc>
      </w:tr>
      <w:tr w:rsidR="00937498" w:rsidTr="009374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rPr>
                <w:b/>
                <w:sz w:val="24"/>
                <w:szCs w:val="24"/>
              </w:rPr>
            </w:pPr>
            <w:r w:rsidRPr="00937498">
              <w:rPr>
                <w:b/>
                <w:sz w:val="24"/>
                <w:szCs w:val="24"/>
              </w:rPr>
              <w:t>Colla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 w:rsidP="00937498">
            <w:pPr>
              <w:jc w:val="right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16.088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3</w:t>
            </w:r>
          </w:p>
        </w:tc>
      </w:tr>
      <w:tr w:rsidR="00937498" w:rsidTr="009374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rPr>
                <w:b/>
                <w:sz w:val="24"/>
                <w:szCs w:val="24"/>
              </w:rPr>
            </w:pPr>
            <w:r w:rsidRPr="00937498">
              <w:rPr>
                <w:b/>
                <w:sz w:val="24"/>
                <w:szCs w:val="24"/>
              </w:rPr>
              <w:t>Quechua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 w:rsidP="00937498">
            <w:pPr>
              <w:jc w:val="right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27.260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3</w:t>
            </w:r>
          </w:p>
        </w:tc>
      </w:tr>
      <w:tr w:rsidR="00937498" w:rsidTr="009374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rPr>
                <w:b/>
                <w:sz w:val="24"/>
                <w:szCs w:val="24"/>
              </w:rPr>
            </w:pPr>
            <w:r w:rsidRPr="00937498">
              <w:rPr>
                <w:b/>
                <w:sz w:val="24"/>
                <w:szCs w:val="24"/>
              </w:rPr>
              <w:t>Atacameño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 w:rsidP="00937498">
            <w:pPr>
              <w:jc w:val="right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31.800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5</w:t>
            </w:r>
          </w:p>
        </w:tc>
      </w:tr>
      <w:tr w:rsidR="00937498" w:rsidTr="009374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rPr>
                <w:b/>
                <w:sz w:val="24"/>
                <w:szCs w:val="24"/>
              </w:rPr>
            </w:pPr>
            <w:r w:rsidRPr="00937498">
              <w:rPr>
                <w:b/>
                <w:sz w:val="24"/>
                <w:szCs w:val="24"/>
              </w:rPr>
              <w:t>Diaguita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 w:rsidP="00937498">
            <w:pPr>
              <w:jc w:val="right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63.081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5</w:t>
            </w:r>
          </w:p>
        </w:tc>
      </w:tr>
      <w:tr w:rsidR="00937498" w:rsidTr="009374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rPr>
                <w:b/>
                <w:sz w:val="24"/>
                <w:szCs w:val="24"/>
              </w:rPr>
            </w:pPr>
            <w:proofErr w:type="spellStart"/>
            <w:r w:rsidRPr="00937498">
              <w:rPr>
                <w:b/>
                <w:sz w:val="24"/>
                <w:szCs w:val="24"/>
              </w:rPr>
              <w:t>Aymara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 w:rsidP="00937498">
            <w:pPr>
              <w:jc w:val="right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107.507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937498" w:rsidTr="009374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rPr>
                <w:b/>
                <w:sz w:val="24"/>
                <w:szCs w:val="24"/>
              </w:rPr>
            </w:pPr>
            <w:r w:rsidRPr="00937498">
              <w:rPr>
                <w:b/>
                <w:sz w:val="24"/>
                <w:szCs w:val="24"/>
              </w:rPr>
              <w:t>Mapuche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 w:rsidP="00937498">
            <w:pPr>
              <w:jc w:val="right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1.329.450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98" w:rsidRPr="00937498" w:rsidRDefault="00937498">
            <w:pPr>
              <w:jc w:val="center"/>
              <w:rPr>
                <w:sz w:val="24"/>
                <w:szCs w:val="24"/>
              </w:rPr>
            </w:pPr>
            <w:r w:rsidRPr="00937498">
              <w:rPr>
                <w:sz w:val="24"/>
                <w:szCs w:val="24"/>
              </w:rPr>
              <w:t>35</w:t>
            </w:r>
          </w:p>
        </w:tc>
      </w:tr>
    </w:tbl>
    <w:p w:rsidR="00937498" w:rsidRDefault="00937498" w:rsidP="00937498">
      <w:r>
        <w:t>Datos Casen 2015</w:t>
      </w:r>
    </w:p>
    <w:p w:rsidR="00B5231C" w:rsidRPr="004F516C" w:rsidRDefault="00B5231C" w:rsidP="004F516C">
      <w:pPr>
        <w:jc w:val="both"/>
        <w:rPr>
          <w:sz w:val="28"/>
          <w:szCs w:val="28"/>
        </w:rPr>
      </w:pPr>
    </w:p>
    <w:sectPr w:rsidR="00B5231C" w:rsidRPr="004F51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6C"/>
    <w:rsid w:val="0000456B"/>
    <w:rsid w:val="00333B52"/>
    <w:rsid w:val="004D2CE5"/>
    <w:rsid w:val="004F516C"/>
    <w:rsid w:val="00691B89"/>
    <w:rsid w:val="008D006A"/>
    <w:rsid w:val="00937498"/>
    <w:rsid w:val="00AE22A4"/>
    <w:rsid w:val="00B5231C"/>
    <w:rsid w:val="00C207A9"/>
    <w:rsid w:val="00C62E59"/>
    <w:rsid w:val="00DE7E46"/>
    <w:rsid w:val="00F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link w:val="Cuerpodeltexto20"/>
    <w:rsid w:val="004F516C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4F516C"/>
    <w:pPr>
      <w:widowControl w:val="0"/>
      <w:shd w:val="clear" w:color="auto" w:fill="FFFFFF"/>
      <w:spacing w:after="880" w:line="437" w:lineRule="exact"/>
      <w:jc w:val="right"/>
    </w:pPr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93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link w:val="Cuerpodeltexto20"/>
    <w:rsid w:val="004F516C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4F516C"/>
    <w:pPr>
      <w:widowControl w:val="0"/>
      <w:shd w:val="clear" w:color="auto" w:fill="FFFFFF"/>
      <w:spacing w:after="880" w:line="437" w:lineRule="exact"/>
      <w:jc w:val="right"/>
    </w:pPr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93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JGARCIA2016</dc:creator>
  <cp:lastModifiedBy>JGARCIA2016</cp:lastModifiedBy>
  <cp:revision>5</cp:revision>
  <dcterms:created xsi:type="dcterms:W3CDTF">2018-01-10T16:18:00Z</dcterms:created>
  <dcterms:modified xsi:type="dcterms:W3CDTF">2018-01-10T19:04:00Z</dcterms:modified>
</cp:coreProperties>
</file>