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F2" w:rsidRPr="00FE47F4" w:rsidRDefault="004D03F2" w:rsidP="004D03F2">
      <w:pPr>
        <w:rPr>
          <w:rFonts w:ascii="Arial" w:hAnsi="Arial" w:cs="Arial"/>
          <w:b/>
          <w:sz w:val="24"/>
          <w:szCs w:val="24"/>
        </w:rPr>
      </w:pPr>
      <w:bookmarkStart w:id="0" w:name="_GoBack"/>
      <w:bookmarkEnd w:id="0"/>
    </w:p>
    <w:p w:rsidR="004D03F2" w:rsidRPr="00FE47F4" w:rsidRDefault="004D03F2" w:rsidP="004D03F2">
      <w:pPr>
        <w:jc w:val="center"/>
        <w:rPr>
          <w:rFonts w:ascii="Arial" w:hAnsi="Arial" w:cs="Arial"/>
          <w:b/>
          <w:sz w:val="24"/>
          <w:szCs w:val="24"/>
        </w:rPr>
      </w:pPr>
      <w:r w:rsidRPr="00FE47F4">
        <w:rPr>
          <w:rFonts w:ascii="Arial" w:hAnsi="Arial" w:cs="Arial"/>
          <w:b/>
          <w:sz w:val="24"/>
          <w:szCs w:val="24"/>
        </w:rPr>
        <w:t>MINUTA COMISIÓN MIXTA ABORTO</w:t>
      </w:r>
    </w:p>
    <w:p w:rsidR="004D03F2" w:rsidRPr="004D03F2" w:rsidRDefault="004D03F2" w:rsidP="004D03F2">
      <w:pPr>
        <w:pStyle w:val="Prrafodelista"/>
        <w:numPr>
          <w:ilvl w:val="0"/>
          <w:numId w:val="1"/>
        </w:numPr>
        <w:rPr>
          <w:rFonts w:ascii="Arial" w:hAnsi="Arial" w:cs="Arial"/>
          <w:sz w:val="24"/>
          <w:szCs w:val="24"/>
        </w:rPr>
      </w:pPr>
      <w:r w:rsidRPr="00FE47F4">
        <w:rPr>
          <w:rFonts w:ascii="Arial" w:hAnsi="Arial" w:cs="Arial"/>
          <w:b/>
          <w:sz w:val="24"/>
          <w:szCs w:val="24"/>
        </w:rPr>
        <w:t>Texto a discutir:</w:t>
      </w:r>
      <w:r w:rsidRPr="004D03F2">
        <w:rPr>
          <w:rFonts w:ascii="Arial" w:hAnsi="Arial" w:cs="Arial"/>
          <w:sz w:val="24"/>
          <w:szCs w:val="24"/>
        </w:rPr>
        <w:t xml:space="preserve"> Incisos cuarto, quinto y sexto del artículo 119 del Código Sanitario. </w:t>
      </w:r>
    </w:p>
    <w:p w:rsidR="004D03F2" w:rsidRPr="004D03F2" w:rsidRDefault="004D03F2" w:rsidP="004D03F2">
      <w:pPr>
        <w:pStyle w:val="Destacado"/>
        <w:ind w:left="720"/>
        <w:rPr>
          <w:rFonts w:ascii="Arial" w:hAnsi="Arial" w:cs="Arial"/>
          <w:i/>
          <w:sz w:val="24"/>
        </w:rPr>
      </w:pPr>
      <w:r w:rsidRPr="004D03F2">
        <w:rPr>
          <w:rFonts w:ascii="Arial" w:hAnsi="Arial" w:cs="Arial"/>
          <w:i/>
          <w:sz w:val="24"/>
        </w:rPr>
        <w:t>“Tratándose de una niña menor de 14 años, además de su voluntad, la interrupción del embarazo deberá contar con la autorización de su representante legal, o de uno de ellos, a elección de la niña, si tuviere más de uno. A falta de autorización, entendiendo por tal la negación del representante legal, o si éste no es habido, la niña, asistida por un integrante del equipo de salud podrá solicitar la intervención del juez para que constate la ocurrencia de la causal. El tribunal resolverá la solicitud de interrupción del embarazo sin forma de juicio y verbalmente, a más tardar dentro de las 48 horas siguientes a la presentación de la solicitud, con los antecedentes que le proporcione el equipo de salud, oyendo a la niña y al representante legal que haya denegado la autorización. Si lo estimare procedente, podrá también oír a un integrante del equipo de salud que la asista.</w:t>
      </w:r>
    </w:p>
    <w:p w:rsidR="004D03F2" w:rsidRPr="004D03F2" w:rsidRDefault="004D03F2" w:rsidP="004D03F2">
      <w:pPr>
        <w:pStyle w:val="Destacado"/>
        <w:ind w:left="720"/>
        <w:rPr>
          <w:rFonts w:ascii="Arial" w:hAnsi="Arial" w:cs="Arial"/>
          <w:i/>
          <w:sz w:val="24"/>
        </w:rPr>
      </w:pPr>
      <w:r w:rsidRPr="004D03F2">
        <w:rPr>
          <w:rFonts w:ascii="Arial" w:hAnsi="Arial" w:cs="Arial"/>
          <w:i/>
          <w:sz w:val="24"/>
        </w:rPr>
        <w:t xml:space="preserve">Cuando a juicio del médico existan antecedentes para estimar que solicitar la autorización del representante legal podría generar a la menor de 14 años, o a </w:t>
      </w:r>
      <w:r w:rsidRPr="004D03F2">
        <w:rPr>
          <w:rFonts w:ascii="Arial" w:hAnsi="Arial" w:cs="Arial"/>
          <w:i/>
          <w:sz w:val="24"/>
          <w:lang w:val="es-MX"/>
        </w:rPr>
        <w:t xml:space="preserve">la mujer judicialmente declarada </w:t>
      </w:r>
      <w:proofErr w:type="spellStart"/>
      <w:r w:rsidRPr="004D03F2">
        <w:rPr>
          <w:rFonts w:ascii="Arial" w:hAnsi="Arial" w:cs="Arial"/>
          <w:i/>
          <w:sz w:val="24"/>
          <w:lang w:val="es-MX"/>
        </w:rPr>
        <w:t>interdicta</w:t>
      </w:r>
      <w:proofErr w:type="spellEnd"/>
      <w:r w:rsidRPr="004D03F2">
        <w:rPr>
          <w:rFonts w:ascii="Arial" w:hAnsi="Arial" w:cs="Arial"/>
          <w:i/>
          <w:sz w:val="24"/>
          <w:lang w:val="es-MX"/>
        </w:rPr>
        <w:t xml:space="preserve"> por causa de demencia, </w:t>
      </w:r>
      <w:r w:rsidRPr="004D03F2">
        <w:rPr>
          <w:rFonts w:ascii="Arial" w:hAnsi="Arial" w:cs="Arial"/>
          <w:i/>
          <w:sz w:val="24"/>
        </w:rPr>
        <w:t>un riesgo grave de maltrato físico o psíquico, coacción, abandono, desarraigo u otras acciones u omisiones que vulneren su integridad, se prescindirá de tal autorización y se solicitará una autorización judicial sustitutiva. Para efectos de este inciso la opinión del médico deberá constar por escrito.</w:t>
      </w:r>
    </w:p>
    <w:p w:rsidR="004D03F2" w:rsidRPr="004D03F2" w:rsidRDefault="004D03F2" w:rsidP="004D03F2">
      <w:pPr>
        <w:pStyle w:val="Destacado"/>
        <w:ind w:left="720"/>
        <w:rPr>
          <w:rFonts w:ascii="Arial" w:hAnsi="Arial" w:cs="Arial"/>
          <w:i/>
          <w:sz w:val="24"/>
        </w:rPr>
      </w:pPr>
      <w:r w:rsidRPr="004D03F2">
        <w:rPr>
          <w:rFonts w:ascii="Arial" w:hAnsi="Arial" w:cs="Arial"/>
          <w:i/>
          <w:sz w:val="24"/>
        </w:rPr>
        <w:t xml:space="preserve">La autorización judicial sustitutiva regulada en los incisos anteriores será solicitada al juez con competencia en materia de familia del lugar donde se encuentre la menor de 14 años o la mujer declarada judicialmente </w:t>
      </w:r>
      <w:proofErr w:type="spellStart"/>
      <w:r w:rsidRPr="004D03F2">
        <w:rPr>
          <w:rFonts w:ascii="Arial" w:hAnsi="Arial" w:cs="Arial"/>
          <w:i/>
          <w:sz w:val="24"/>
        </w:rPr>
        <w:t>interdicta</w:t>
      </w:r>
      <w:proofErr w:type="spellEnd"/>
      <w:r w:rsidRPr="004D03F2">
        <w:rPr>
          <w:rFonts w:ascii="Arial" w:hAnsi="Arial" w:cs="Arial"/>
          <w:i/>
          <w:sz w:val="24"/>
        </w:rPr>
        <w:t xml:space="preserve"> por causa de demencia. El procedimiento será reservado y no será admitida oposición alguna de terceros distintos al representante legal que hubiere denegado la autorización. La resolución que deniegue la autorización será apelable y se tramitará según lo establecido en el inciso quinto del artículo 69 del Código Orgánico de Tribunales.”</w:t>
      </w:r>
    </w:p>
    <w:p w:rsidR="004D03F2" w:rsidRPr="00FE47F4" w:rsidRDefault="004D03F2" w:rsidP="004D03F2">
      <w:pPr>
        <w:rPr>
          <w:b/>
        </w:rPr>
      </w:pPr>
    </w:p>
    <w:p w:rsidR="004D03F2" w:rsidRPr="00FE47F4" w:rsidRDefault="004D03F2" w:rsidP="004D03F2">
      <w:pPr>
        <w:pStyle w:val="Prrafodelista"/>
        <w:numPr>
          <w:ilvl w:val="0"/>
          <w:numId w:val="1"/>
        </w:numPr>
        <w:rPr>
          <w:rFonts w:ascii="Arial" w:hAnsi="Arial" w:cs="Arial"/>
          <w:b/>
          <w:sz w:val="24"/>
          <w:szCs w:val="24"/>
        </w:rPr>
      </w:pPr>
      <w:r w:rsidRPr="00FE47F4">
        <w:rPr>
          <w:rFonts w:ascii="Arial" w:hAnsi="Arial" w:cs="Arial"/>
          <w:b/>
          <w:sz w:val="24"/>
          <w:szCs w:val="24"/>
        </w:rPr>
        <w:t>Observaciones:</w:t>
      </w:r>
    </w:p>
    <w:p w:rsidR="00FE47F4" w:rsidRPr="00FE47F4" w:rsidRDefault="00FE47F4" w:rsidP="00FE47F4">
      <w:pPr>
        <w:pStyle w:val="Prrafodelista"/>
        <w:numPr>
          <w:ilvl w:val="0"/>
          <w:numId w:val="5"/>
        </w:numPr>
        <w:jc w:val="both"/>
        <w:rPr>
          <w:rFonts w:ascii="Arial" w:hAnsi="Arial" w:cs="Arial"/>
          <w:sz w:val="24"/>
          <w:szCs w:val="24"/>
        </w:rPr>
      </w:pPr>
      <w:r w:rsidRPr="00FE47F4">
        <w:rPr>
          <w:rFonts w:ascii="Arial" w:eastAsia="Times New Roman" w:hAnsi="Arial" w:cs="Arial"/>
          <w:b/>
          <w:color w:val="000000"/>
          <w:sz w:val="24"/>
          <w:szCs w:val="24"/>
          <w:lang w:val="es-ES_tradnl" w:eastAsia="es-CL"/>
        </w:rPr>
        <w:t xml:space="preserve">Vulneración de la corresponsabilidad parental. </w:t>
      </w:r>
      <w:r w:rsidRPr="00FE47F4">
        <w:rPr>
          <w:rFonts w:ascii="Arial" w:eastAsia="Times New Roman" w:hAnsi="Arial" w:cs="Arial"/>
          <w:color w:val="000000"/>
          <w:sz w:val="24"/>
          <w:szCs w:val="24"/>
          <w:lang w:val="es-ES_tradnl" w:eastAsia="es-CL"/>
        </w:rPr>
        <w:t xml:space="preserve">La Corte Suprema referente a estos mismo incisos señaló expresamente en su informe del año 2015 </w:t>
      </w:r>
      <w:r>
        <w:rPr>
          <w:rFonts w:ascii="Arial" w:eastAsia="Times New Roman" w:hAnsi="Arial" w:cs="Arial"/>
          <w:color w:val="000000"/>
          <w:sz w:val="24"/>
          <w:szCs w:val="24"/>
          <w:lang w:val="es-ES_tradnl" w:eastAsia="es-CL"/>
        </w:rPr>
        <w:t xml:space="preserve">en su considerando octavo </w:t>
      </w:r>
      <w:r w:rsidRPr="00FE47F4">
        <w:rPr>
          <w:rFonts w:ascii="Arial" w:eastAsia="Times New Roman" w:hAnsi="Arial" w:cs="Arial"/>
          <w:color w:val="000000"/>
          <w:sz w:val="24"/>
          <w:szCs w:val="24"/>
          <w:lang w:val="es-ES_tradnl" w:eastAsia="es-CL"/>
        </w:rPr>
        <w:t>que</w:t>
      </w:r>
      <w:r>
        <w:rPr>
          <w:rFonts w:ascii="Arial" w:eastAsia="Times New Roman" w:hAnsi="Arial" w:cs="Arial"/>
          <w:b/>
          <w:color w:val="000000"/>
          <w:sz w:val="24"/>
          <w:szCs w:val="24"/>
          <w:lang w:val="es-ES_tradnl" w:eastAsia="es-CL"/>
        </w:rPr>
        <w:t xml:space="preserve">: </w:t>
      </w:r>
      <w:r w:rsidRPr="00FE47F4">
        <w:rPr>
          <w:rFonts w:ascii="Arial" w:eastAsia="Times New Roman" w:hAnsi="Arial" w:cs="Arial"/>
          <w:b/>
          <w:i/>
          <w:color w:val="000000"/>
          <w:sz w:val="24"/>
          <w:szCs w:val="24"/>
          <w:lang w:val="es-ES_tradnl" w:eastAsia="es-CL"/>
        </w:rPr>
        <w:t>“</w:t>
      </w:r>
      <w:r w:rsidRPr="00FE47F4">
        <w:rPr>
          <w:rFonts w:ascii="Arial" w:hAnsi="Arial" w:cs="Arial"/>
          <w:i/>
          <w:sz w:val="24"/>
          <w:szCs w:val="24"/>
        </w:rPr>
        <w:t xml:space="preserve">hacer bastante la autorización para interrumpir el embarazo de uno de los representantes legales de la niña menor de 14 años, a elección de ésta si tuviere más de uno, podría llegar a contradecir el principio de corresponsabilidad y el acuerdo de cuidado </w:t>
      </w:r>
      <w:r w:rsidRPr="00FE47F4">
        <w:rPr>
          <w:rFonts w:ascii="Arial" w:hAnsi="Arial" w:cs="Arial"/>
          <w:i/>
          <w:sz w:val="24"/>
          <w:szCs w:val="24"/>
        </w:rPr>
        <w:lastRenderedPageBreak/>
        <w:t xml:space="preserve">personal compartido establecido en la ley N° 20.680 y el Código Civil.    El problema radica en que el artículo 224 del Código Civil dispone, siguiendo el principio de corresponsabilidad, que toca de consuno a los padres el cuidado personal de sus hijos principio, “en virtud del cual ambos padres, vivan juntos o separados, participarán en forma activa, equitativa y permanente en la crianza y educación de sus hijos”. Sin embargo, el inciso tercero del nuevo artículo 119 del Código Sanitario propuesto por el proyecto, otorga un derecho a elección de la niña para determinar cuál de los dos padres (en que caso que ellos sean sus representantes) dará la autorización que baste para dar lugar a la interrupción del embarazo, privando con ello al que no es elegido del deber y prerrogativa de velar por el interés superior del hijo planteado en el artículo 222 del Código Civil. Esta falta de participación del padre o madre omitido se ratifica en el procedimiento que al efecto se regula ante el juez con competencia en familia, pues no se prevé alguna hipótesis de oposición en que pueda hacer valer su opinión.   Los mismos reparos surgen a propósito del acuerdo de cuidado personal compartido. La ley señala, en el artículo 225 del Código Civil, que si los padres viven separados podrán determinar de común acuerdo, mediante escritura pública o acta extendida ante cualquier oficial del Registro Civil, que el cuidado personal de los hijos corresponda a ambos en forma compartida. Luego, se define el cuidado personal compartido en el inciso segundo, como “un régimen de vida que procura estimular la corresponsabilidad de ambos padres que viven separados, en la crianza y educación de los hijos comunes, mediante un sistema de residencia que asegure su adecuada estabilidad y continuidad”. En esta hipótesis, el esquema de elección entre representantes legales propuesto por el proyecto nuevamente pugna con la corresponsabilidad que debe procurar el acuerdo de cuidado personal compartido. </w:t>
      </w:r>
      <w:r w:rsidRPr="00FE47F4">
        <w:rPr>
          <w:rFonts w:ascii="Arial" w:hAnsi="Arial" w:cs="Arial"/>
          <w:b/>
          <w:i/>
          <w:sz w:val="24"/>
          <w:szCs w:val="24"/>
        </w:rPr>
        <w:t>Por lo anterior, sería aconsejable contemplar una fórmula que permita a los padres el ejercicio legítimo del derecho de corresponsabilidad parental, a fin de hacer coherente y armónico nuestro ordenamiento jurídico.”</w:t>
      </w:r>
      <w:r w:rsidRPr="00FE47F4">
        <w:rPr>
          <w:rFonts w:ascii="Arial" w:hAnsi="Arial" w:cs="Arial"/>
          <w:b/>
          <w:sz w:val="24"/>
          <w:szCs w:val="24"/>
        </w:rPr>
        <w:t xml:space="preserve"> </w:t>
      </w:r>
    </w:p>
    <w:p w:rsidR="00FE47F4" w:rsidRDefault="00FE47F4" w:rsidP="00FE47F4">
      <w:pPr>
        <w:jc w:val="both"/>
        <w:rPr>
          <w:rFonts w:ascii="Arial" w:hAnsi="Arial" w:cs="Arial"/>
          <w:sz w:val="24"/>
          <w:szCs w:val="24"/>
        </w:rPr>
      </w:pPr>
    </w:p>
    <w:p w:rsidR="00FE47F4" w:rsidRPr="002C1A45" w:rsidRDefault="00FE47F4" w:rsidP="00FE47F4">
      <w:pPr>
        <w:pStyle w:val="Prrafodelista"/>
        <w:numPr>
          <w:ilvl w:val="0"/>
          <w:numId w:val="5"/>
        </w:numPr>
        <w:jc w:val="both"/>
        <w:rPr>
          <w:rFonts w:ascii="Arial" w:hAnsi="Arial" w:cs="Arial"/>
          <w:sz w:val="24"/>
          <w:szCs w:val="24"/>
        </w:rPr>
      </w:pPr>
      <w:r>
        <w:rPr>
          <w:rFonts w:ascii="Arial" w:eastAsia="Times New Roman" w:hAnsi="Arial" w:cs="Arial"/>
          <w:b/>
          <w:color w:val="000000"/>
          <w:sz w:val="24"/>
          <w:szCs w:val="24"/>
          <w:lang w:val="es-ES_tradnl" w:eastAsia="es-CL"/>
        </w:rPr>
        <w:t>Vulneración del d</w:t>
      </w:r>
      <w:r w:rsidRPr="00FE47F4">
        <w:rPr>
          <w:rFonts w:ascii="Arial" w:eastAsia="Times New Roman" w:hAnsi="Arial" w:cs="Arial"/>
          <w:b/>
          <w:color w:val="000000"/>
          <w:sz w:val="24"/>
          <w:szCs w:val="24"/>
          <w:lang w:val="es-ES_tradnl" w:eastAsia="es-CL"/>
        </w:rPr>
        <w:t xml:space="preserve">erecho </w:t>
      </w:r>
      <w:r>
        <w:rPr>
          <w:rFonts w:ascii="Arial" w:eastAsia="Times New Roman" w:hAnsi="Arial" w:cs="Arial"/>
          <w:b/>
          <w:color w:val="000000"/>
          <w:sz w:val="24"/>
          <w:szCs w:val="24"/>
          <w:lang w:val="es-ES_tradnl" w:eastAsia="es-CL"/>
        </w:rPr>
        <w:t xml:space="preserve">preferente </w:t>
      </w:r>
      <w:r w:rsidRPr="00FE47F4">
        <w:rPr>
          <w:rFonts w:ascii="Arial" w:eastAsia="Times New Roman" w:hAnsi="Arial" w:cs="Arial"/>
          <w:b/>
          <w:color w:val="000000"/>
          <w:sz w:val="24"/>
          <w:szCs w:val="24"/>
          <w:lang w:val="es-ES_tradnl" w:eastAsia="es-CL"/>
        </w:rPr>
        <w:t>de los padres</w:t>
      </w:r>
      <w:r>
        <w:rPr>
          <w:rFonts w:ascii="Arial" w:eastAsia="Times New Roman" w:hAnsi="Arial" w:cs="Arial"/>
          <w:b/>
          <w:color w:val="000000"/>
          <w:sz w:val="24"/>
          <w:szCs w:val="24"/>
          <w:lang w:val="es-ES_tradnl" w:eastAsia="es-CL"/>
        </w:rPr>
        <w:t xml:space="preserve"> a educar a sus hijos</w:t>
      </w:r>
      <w:r w:rsidRPr="00FE47F4">
        <w:rPr>
          <w:rFonts w:ascii="Arial" w:eastAsia="Times New Roman" w:hAnsi="Arial" w:cs="Arial"/>
          <w:b/>
          <w:color w:val="000000"/>
          <w:sz w:val="24"/>
          <w:szCs w:val="24"/>
          <w:lang w:val="es-ES_tradnl" w:eastAsia="es-CL"/>
        </w:rPr>
        <w:t xml:space="preserve">. </w:t>
      </w:r>
      <w:r w:rsidRPr="00FE47F4">
        <w:rPr>
          <w:rFonts w:ascii="Arial" w:hAnsi="Arial" w:cs="Arial"/>
          <w:color w:val="000000"/>
          <w:sz w:val="24"/>
          <w:szCs w:val="24"/>
          <w:lang w:val="es-ES_tradnl"/>
        </w:rPr>
        <w:t>El proyecto dispone ciertas reglas según las cuales, si una niña menor de 14 años tiene la intención de abortar, podrá hacerlo aun cuando sus padres se opongan. En este sentido, se vulnera el derecho preferente de los padres de educar a sus hijos</w:t>
      </w:r>
      <w:r>
        <w:rPr>
          <w:rFonts w:ascii="Arial" w:hAnsi="Arial" w:cs="Arial"/>
          <w:color w:val="000000"/>
          <w:sz w:val="24"/>
          <w:szCs w:val="24"/>
          <w:lang w:val="es-ES_tradnl"/>
        </w:rPr>
        <w:t xml:space="preserve"> garantizado en el artículo 19 N° 10 de la Constitución</w:t>
      </w:r>
      <w:r w:rsidRPr="00FE47F4">
        <w:rPr>
          <w:rFonts w:ascii="Arial" w:hAnsi="Arial" w:cs="Arial"/>
          <w:color w:val="000000"/>
          <w:sz w:val="24"/>
          <w:szCs w:val="24"/>
          <w:lang w:val="es-ES_tradnl"/>
        </w:rPr>
        <w:t>, trivializando la autoridad paterna, y entregándole a un juez la potestad para determinar si una niña puede o no abortar.</w:t>
      </w:r>
      <w:r w:rsidRPr="00FE47F4">
        <w:rPr>
          <w:rFonts w:ascii="Arial" w:eastAsia="Times New Roman" w:hAnsi="Arial" w:cs="Arial"/>
          <w:b/>
          <w:color w:val="000000"/>
          <w:sz w:val="24"/>
          <w:szCs w:val="24"/>
          <w:lang w:val="es-ES_tradnl" w:eastAsia="es-CL"/>
        </w:rPr>
        <w:t xml:space="preserve"> </w:t>
      </w:r>
      <w:r w:rsidRPr="00FE47F4">
        <w:rPr>
          <w:rFonts w:ascii="Arial" w:eastAsia="Times New Roman" w:hAnsi="Arial" w:cs="Arial"/>
          <w:color w:val="000000"/>
          <w:sz w:val="24"/>
          <w:szCs w:val="24"/>
          <w:lang w:val="es-ES_tradnl" w:eastAsia="es-CL"/>
        </w:rPr>
        <w:t>En concreto, la opinión de los padres no es determinante. Es más si se autoriza el aborto, los padres tampoco podrán apelar a esa decisión.</w:t>
      </w:r>
      <w:r>
        <w:rPr>
          <w:rFonts w:ascii="Arial" w:eastAsia="Times New Roman" w:hAnsi="Arial" w:cs="Arial"/>
          <w:b/>
          <w:color w:val="000000"/>
          <w:sz w:val="24"/>
          <w:szCs w:val="24"/>
          <w:lang w:val="es-ES_tradnl" w:eastAsia="es-CL"/>
        </w:rPr>
        <w:t xml:space="preserve"> </w:t>
      </w:r>
    </w:p>
    <w:p w:rsidR="002C1A45" w:rsidRPr="002C1A45" w:rsidRDefault="002C1A45" w:rsidP="002C1A45">
      <w:pPr>
        <w:pStyle w:val="Prrafodelista"/>
        <w:rPr>
          <w:rFonts w:ascii="Arial" w:hAnsi="Arial" w:cs="Arial"/>
          <w:sz w:val="24"/>
          <w:szCs w:val="24"/>
        </w:rPr>
      </w:pPr>
    </w:p>
    <w:p w:rsidR="002C1A45" w:rsidRPr="002C1A45" w:rsidRDefault="002C1A45" w:rsidP="002C1A45">
      <w:pPr>
        <w:pStyle w:val="Prrafodelista"/>
        <w:numPr>
          <w:ilvl w:val="0"/>
          <w:numId w:val="5"/>
        </w:numPr>
        <w:jc w:val="both"/>
        <w:rPr>
          <w:rFonts w:ascii="Arial" w:hAnsi="Arial" w:cs="Arial"/>
          <w:b/>
          <w:sz w:val="24"/>
          <w:szCs w:val="24"/>
        </w:rPr>
      </w:pPr>
      <w:r w:rsidRPr="002C1A45">
        <w:rPr>
          <w:rFonts w:ascii="Arial" w:hAnsi="Arial" w:cs="Arial"/>
          <w:b/>
          <w:sz w:val="24"/>
          <w:szCs w:val="24"/>
        </w:rPr>
        <w:lastRenderedPageBreak/>
        <w:t xml:space="preserve">Inadecuado procedimiento de decisión del juez. </w:t>
      </w:r>
      <w:r w:rsidRPr="002C1A45">
        <w:rPr>
          <w:rFonts w:ascii="Arial" w:hAnsi="Arial" w:cs="Arial"/>
          <w:sz w:val="24"/>
          <w:szCs w:val="24"/>
        </w:rPr>
        <w:t>El texto señala que</w:t>
      </w:r>
      <w:r>
        <w:rPr>
          <w:rFonts w:ascii="Arial" w:hAnsi="Arial" w:cs="Arial"/>
          <w:sz w:val="24"/>
          <w:szCs w:val="24"/>
        </w:rPr>
        <w:t>:</w:t>
      </w:r>
      <w:r w:rsidRPr="002C1A45">
        <w:rPr>
          <w:rFonts w:ascii="Arial" w:hAnsi="Arial" w:cs="Arial"/>
          <w:sz w:val="24"/>
          <w:szCs w:val="24"/>
        </w:rPr>
        <w:t xml:space="preserve"> </w:t>
      </w:r>
      <w:r>
        <w:rPr>
          <w:rFonts w:ascii="Arial" w:hAnsi="Arial" w:cs="Arial"/>
          <w:b/>
          <w:sz w:val="24"/>
          <w:szCs w:val="24"/>
        </w:rPr>
        <w:t>“</w:t>
      </w:r>
      <w:r w:rsidRPr="004D03F2">
        <w:rPr>
          <w:rFonts w:ascii="Arial" w:hAnsi="Arial" w:cs="Arial"/>
          <w:i/>
          <w:sz w:val="24"/>
          <w:szCs w:val="24"/>
        </w:rPr>
        <w:t>El tribunal resolverá la solicitud de interrupción del embarazo sin forma de juicio y verbalmente, a más tardar dentro de las 48 horas siguientes a la presentación de la solicitud, con los antecedentes que le proporcione el equipo de salud, oyendo a la niña y al representante legal que haya denegado la autorización. Si lo estimare procedente, podrá también oír a un integrante del equipo de salud que la asista.</w:t>
      </w:r>
      <w:r>
        <w:rPr>
          <w:rFonts w:ascii="Arial" w:hAnsi="Arial" w:cs="Arial"/>
          <w:i/>
          <w:sz w:val="24"/>
          <w:szCs w:val="24"/>
        </w:rPr>
        <w:t>”</w:t>
      </w:r>
      <w:r>
        <w:rPr>
          <w:rFonts w:ascii="Arial" w:hAnsi="Arial" w:cs="Arial"/>
          <w:sz w:val="24"/>
          <w:szCs w:val="24"/>
        </w:rPr>
        <w:t xml:space="preserve"> </w:t>
      </w:r>
      <w:r w:rsidRPr="002C1A45">
        <w:rPr>
          <w:rFonts w:ascii="Arial" w:hAnsi="Arial" w:cs="Arial"/>
          <w:sz w:val="24"/>
          <w:szCs w:val="24"/>
        </w:rPr>
        <w:t xml:space="preserve">Al respecto la Corte Suprema también criticó ello, señalando en su considerando noveno que </w:t>
      </w:r>
      <w:r w:rsidRPr="002C1A45">
        <w:rPr>
          <w:rFonts w:ascii="Arial" w:hAnsi="Arial" w:cs="Arial"/>
          <w:i/>
          <w:sz w:val="24"/>
          <w:szCs w:val="24"/>
        </w:rPr>
        <w:t xml:space="preserve">“por la naturaleza del asunto, </w:t>
      </w:r>
      <w:r w:rsidRPr="00211689">
        <w:rPr>
          <w:rFonts w:ascii="Arial" w:hAnsi="Arial" w:cs="Arial"/>
          <w:b/>
          <w:i/>
          <w:sz w:val="24"/>
          <w:szCs w:val="24"/>
        </w:rPr>
        <w:t>debiera contemplarse un procedimiento que, sin perjuicio de fijar un criterio de rapidez y eficiencia en su resolución,  no deje atado necesariamente al juez a los exiguos plazos previstos por la iniciativa, pudiendo ser factible replicar un procedimiento de naturaleza cautelar</w:t>
      </w:r>
      <w:r w:rsidRPr="002C1A45">
        <w:rPr>
          <w:rFonts w:ascii="Arial" w:hAnsi="Arial" w:cs="Arial"/>
          <w:i/>
          <w:sz w:val="24"/>
          <w:szCs w:val="24"/>
        </w:rPr>
        <w:t>. Las resoluciones judiciales precisan de procedimientos acordes a lo que se decide, contando con los informes y antecedentes necesarios, como también con la posibilidad de oír al equipo médico, al representante legal (sea el padre, la madre, el adoptante, el tutor o curador, u otro) y especialmente a la niña afectada. De esta forma, la decisión jurisdiccional armonizaría con la exigencia constitucional de motivación y fundamentación de las resoluciones sobre la base de procedimientos racionales y justos.”</w:t>
      </w:r>
    </w:p>
    <w:p w:rsidR="00FE47F4" w:rsidRPr="008D099F" w:rsidRDefault="00FE47F4" w:rsidP="00FE47F4">
      <w:pPr>
        <w:jc w:val="both"/>
        <w:rPr>
          <w:rFonts w:ascii="Arial" w:hAnsi="Arial" w:cs="Arial"/>
          <w:b/>
          <w:color w:val="000000"/>
          <w:szCs w:val="24"/>
          <w:u w:val="single"/>
          <w:lang w:val="es-ES_tradnl"/>
        </w:rPr>
      </w:pPr>
    </w:p>
    <w:p w:rsidR="00FE47F4" w:rsidRPr="008D099F" w:rsidRDefault="00FE47F4" w:rsidP="00211689">
      <w:pPr>
        <w:pStyle w:val="Prrafodelista"/>
        <w:numPr>
          <w:ilvl w:val="0"/>
          <w:numId w:val="5"/>
        </w:numPr>
        <w:shd w:val="clear" w:color="auto" w:fill="FFFFFF"/>
        <w:tabs>
          <w:tab w:val="left" w:pos="1608"/>
        </w:tabs>
        <w:spacing w:after="0" w:line="240" w:lineRule="auto"/>
        <w:jc w:val="both"/>
        <w:rPr>
          <w:rFonts w:ascii="Arial" w:eastAsia="Times New Roman" w:hAnsi="Arial" w:cs="Arial"/>
          <w:color w:val="000000"/>
          <w:sz w:val="24"/>
          <w:szCs w:val="24"/>
          <w:lang w:val="es-ES_tradnl" w:eastAsia="es-CL"/>
        </w:rPr>
      </w:pPr>
      <w:r w:rsidRPr="008D099F">
        <w:rPr>
          <w:rFonts w:ascii="Arial" w:eastAsia="Times New Roman" w:hAnsi="Arial" w:cs="Arial"/>
          <w:b/>
          <w:color w:val="000000"/>
          <w:sz w:val="24"/>
          <w:szCs w:val="24"/>
          <w:lang w:val="es-ES_tradnl" w:eastAsia="es-CL"/>
        </w:rPr>
        <w:t>Aborto libre para menores de 14 años</w:t>
      </w:r>
      <w:r w:rsidRPr="008D099F">
        <w:rPr>
          <w:rFonts w:ascii="Arial" w:eastAsia="Times New Roman" w:hAnsi="Arial" w:cs="Arial"/>
          <w:color w:val="000000"/>
          <w:sz w:val="24"/>
          <w:szCs w:val="24"/>
          <w:lang w:val="es-ES_tradnl" w:eastAsia="es-CL"/>
        </w:rPr>
        <w:t xml:space="preserve">. Las menores de 14 años que se encuentren embarazadas podrán abortar siempre cualquiera sea el motivo, incluso cuando hubieren tenido una relación consentida. Ello, porque el derecho penal chileno presume que las mujeres menores de 14 años no pueden expresar libremente su consentimiento para tener relaciones sexuales y, por lo mismo, califica toda relación sexual que mantenga un hombre con una niña menor de 14 años como violación. En este sentido, cualquier embarazo de una menor de 14 años cumple, por este sólo hecho, con el requisito para practicar un aborto. Lo paradójico, es que el proyecto, si bien reconoce lo anterior, adopta una postura diferente cuando se trata otorgar el consentimiento sobre el aborto: presume que la niña sí tiene la madurez suficiente para decidir abortar, incluso sin el conocimiento y consentimiento de sus padres. </w:t>
      </w:r>
    </w:p>
    <w:p w:rsidR="00DB17B7" w:rsidRDefault="004D03F2" w:rsidP="004D03F2">
      <w:r>
        <w:t xml:space="preserve"> </w:t>
      </w:r>
    </w:p>
    <w:sectPr w:rsidR="00DB17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55E8"/>
    <w:multiLevelType w:val="hybridMultilevel"/>
    <w:tmpl w:val="DD828784"/>
    <w:lvl w:ilvl="0" w:tplc="C48A7D50">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C957457"/>
    <w:multiLevelType w:val="hybridMultilevel"/>
    <w:tmpl w:val="E482D5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1CC2DFF"/>
    <w:multiLevelType w:val="hybridMultilevel"/>
    <w:tmpl w:val="7A82555C"/>
    <w:lvl w:ilvl="0" w:tplc="66A4312A">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0664971"/>
    <w:multiLevelType w:val="hybridMultilevel"/>
    <w:tmpl w:val="C3308830"/>
    <w:lvl w:ilvl="0" w:tplc="4AEA5A3A">
      <w:start w:val="1"/>
      <w:numFmt w:val="bullet"/>
      <w:lvlText w:val="-"/>
      <w:lvlJc w:val="left"/>
      <w:pPr>
        <w:ind w:left="720" w:hanging="360"/>
      </w:pPr>
      <w:rPr>
        <w:rFonts w:ascii="Calibri" w:eastAsia="Calibri" w:hAnsi="Calibri" w:cs="Arial" w:hint="default"/>
        <w:color w:val="00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450E6521"/>
    <w:multiLevelType w:val="hybridMultilevel"/>
    <w:tmpl w:val="BDC84ECA"/>
    <w:lvl w:ilvl="0" w:tplc="AE98881A">
      <w:start w:val="2"/>
      <w:numFmt w:val="bullet"/>
      <w:lvlText w:val="-"/>
      <w:lvlJc w:val="left"/>
      <w:pPr>
        <w:ind w:left="720" w:hanging="360"/>
      </w:pPr>
      <w:rPr>
        <w:rFonts w:ascii="Arial" w:eastAsia="Times New Roman" w:hAnsi="Arial" w:cs="Arial" w:hint="default"/>
        <w:b/>
        <w:color w:val="000000"/>
        <w:sz w:val="2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F2"/>
    <w:rsid w:val="00211689"/>
    <w:rsid w:val="002B035B"/>
    <w:rsid w:val="002C1A45"/>
    <w:rsid w:val="003E2516"/>
    <w:rsid w:val="00444A99"/>
    <w:rsid w:val="004D03F2"/>
    <w:rsid w:val="00B64FB3"/>
    <w:rsid w:val="00D34F8C"/>
    <w:rsid w:val="00DB17B7"/>
    <w:rsid w:val="00FE47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220CB-CB25-4D44-A24D-977E4DED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03F2"/>
    <w:pPr>
      <w:ind w:left="720"/>
      <w:contextualSpacing/>
    </w:pPr>
  </w:style>
  <w:style w:type="paragraph" w:customStyle="1" w:styleId="Destacado">
    <w:name w:val="Destacado"/>
    <w:basedOn w:val="Normal"/>
    <w:qFormat/>
    <w:rsid w:val="004D03F2"/>
    <w:pPr>
      <w:spacing w:before="120" w:after="120" w:line="240" w:lineRule="auto"/>
      <w:ind w:left="680" w:right="680"/>
      <w:jc w:val="both"/>
    </w:pPr>
    <w:rPr>
      <w:rFonts w:ascii="Tahoma" w:eastAsia="Times New Roman" w:hAnsi="Tahoma" w:cs="Times New Roman"/>
      <w:sz w:val="20"/>
      <w:szCs w:val="24"/>
      <w:lang w:val="es-ES" w:eastAsia="es-ES"/>
    </w:rPr>
  </w:style>
  <w:style w:type="paragraph" w:customStyle="1" w:styleId="Textoindependiente31">
    <w:name w:val="Texto independiente 31"/>
    <w:basedOn w:val="Normal"/>
    <w:rsid w:val="00FE47F4"/>
    <w:pPr>
      <w:widowControl w:val="0"/>
      <w:tabs>
        <w:tab w:val="left" w:pos="2999"/>
      </w:tabs>
      <w:spacing w:after="0" w:line="360" w:lineRule="auto"/>
      <w:jc w:val="both"/>
    </w:pPr>
    <w:rPr>
      <w:rFonts w:ascii="Arial" w:eastAsia="Times New Roman" w:hAnsi="Arial" w:cs="Times New Roman"/>
      <w:spacing w:val="-3"/>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6429</Characters>
  <Application>Microsoft Office Word</Application>
  <DocSecurity>0</DocSecurity>
  <Lines>93</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urquizar</dc:creator>
  <cp:keywords/>
  <dc:description/>
  <cp:lastModifiedBy>pablo urquizar</cp:lastModifiedBy>
  <cp:revision>2</cp:revision>
  <dcterms:created xsi:type="dcterms:W3CDTF">2017-08-09T19:15:00Z</dcterms:created>
  <dcterms:modified xsi:type="dcterms:W3CDTF">2017-08-09T19:15:00Z</dcterms:modified>
</cp:coreProperties>
</file>