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370" w:rsidRDefault="000E5370" w:rsidP="00A0071F">
      <w:pPr>
        <w:jc w:val="center"/>
        <w:rPr>
          <w:rFonts w:cstheme="minorHAnsi"/>
          <w:b/>
        </w:rPr>
      </w:pPr>
    </w:p>
    <w:p w:rsidR="0049590F" w:rsidRDefault="0049590F" w:rsidP="00A0071F">
      <w:pPr>
        <w:jc w:val="center"/>
        <w:rPr>
          <w:rFonts w:cstheme="minorHAnsi"/>
          <w:b/>
        </w:rPr>
      </w:pPr>
    </w:p>
    <w:p w:rsidR="0049590F" w:rsidRDefault="0049590F" w:rsidP="0049590F">
      <w:pPr>
        <w:ind w:left="4248" w:firstLine="708"/>
        <w:jc w:val="center"/>
        <w:rPr>
          <w:rFonts w:cstheme="minorHAnsi"/>
          <w:b/>
        </w:rPr>
      </w:pPr>
      <w:r>
        <w:rPr>
          <w:rFonts w:cstheme="minorHAnsi"/>
          <w:b/>
        </w:rPr>
        <w:t>Santiago, 22 de agosto de 2017</w:t>
      </w:r>
    </w:p>
    <w:p w:rsidR="0049590F" w:rsidRDefault="0049590F" w:rsidP="00A0071F">
      <w:pPr>
        <w:jc w:val="center"/>
        <w:rPr>
          <w:rFonts w:cstheme="minorHAnsi"/>
          <w:b/>
        </w:rPr>
      </w:pPr>
    </w:p>
    <w:p w:rsidR="00AB5D04" w:rsidRPr="00A0071F" w:rsidRDefault="0049590F" w:rsidP="00A0071F">
      <w:pPr>
        <w:jc w:val="center"/>
        <w:rPr>
          <w:rFonts w:cstheme="minorHAnsi"/>
          <w:b/>
        </w:rPr>
      </w:pPr>
      <w:r>
        <w:rPr>
          <w:rFonts w:cstheme="minorHAnsi"/>
          <w:b/>
        </w:rPr>
        <w:t>ANÁLISIS</w:t>
      </w:r>
      <w:r w:rsidR="00A0071F">
        <w:rPr>
          <w:rFonts w:cstheme="minorHAnsi"/>
          <w:b/>
        </w:rPr>
        <w:t xml:space="preserve"> </w:t>
      </w:r>
      <w:r w:rsidR="00AB5D04" w:rsidRPr="00A0071F">
        <w:rPr>
          <w:rFonts w:cstheme="minorHAnsi"/>
          <w:b/>
        </w:rPr>
        <w:t>DE</w:t>
      </w:r>
      <w:r w:rsidR="00A0071F">
        <w:rPr>
          <w:rFonts w:cstheme="minorHAnsi"/>
          <w:b/>
        </w:rPr>
        <w:t xml:space="preserve"> INFORMES SOBRE </w:t>
      </w:r>
      <w:r w:rsidR="00AB5D04" w:rsidRPr="00A0071F">
        <w:rPr>
          <w:rFonts w:cstheme="minorHAnsi"/>
          <w:b/>
        </w:rPr>
        <w:t>LISTAS DE ESPERA Y PERSONAS FALLECIDAS A PARTIR DE LOS DOCUMENTOS:</w:t>
      </w:r>
    </w:p>
    <w:p w:rsidR="00AB5D04" w:rsidRPr="00EE61DE" w:rsidRDefault="00EE61DE" w:rsidP="00EE61DE">
      <w:pPr>
        <w:pStyle w:val="Prrafodelista"/>
        <w:numPr>
          <w:ilvl w:val="0"/>
          <w:numId w:val="1"/>
        </w:numPr>
        <w:jc w:val="both"/>
        <w:rPr>
          <w:rFonts w:cstheme="minorHAnsi"/>
        </w:rPr>
      </w:pPr>
      <w:r w:rsidRPr="00EE61DE">
        <w:rPr>
          <w:rFonts w:cstheme="minorHAnsi"/>
        </w:rPr>
        <w:t xml:space="preserve">COMISIÓN MÉDICA </w:t>
      </w:r>
      <w:r w:rsidR="00AB5D04" w:rsidRPr="00EE61DE">
        <w:rPr>
          <w:rFonts w:cstheme="minorHAnsi"/>
        </w:rPr>
        <w:t>ASESORA DE MINSAL</w:t>
      </w:r>
      <w:r w:rsidR="0049590F">
        <w:rPr>
          <w:rFonts w:cstheme="minorHAnsi"/>
        </w:rPr>
        <w:t xml:space="preserve"> POR F</w:t>
      </w:r>
      <w:r w:rsidRPr="00EE61DE">
        <w:rPr>
          <w:rFonts w:cstheme="minorHAnsi"/>
        </w:rPr>
        <w:t>AL</w:t>
      </w:r>
      <w:r w:rsidR="0049590F">
        <w:rPr>
          <w:rFonts w:cstheme="minorHAnsi"/>
        </w:rPr>
        <w:t>L</w:t>
      </w:r>
      <w:r w:rsidRPr="00EE61DE">
        <w:rPr>
          <w:rFonts w:cstheme="minorHAnsi"/>
        </w:rPr>
        <w:t>ECIDOS EN LISTA DE ESPERA</w:t>
      </w:r>
    </w:p>
    <w:p w:rsidR="00AB5D04" w:rsidRPr="00EE61DE" w:rsidRDefault="00AB5D04" w:rsidP="00EE61DE">
      <w:pPr>
        <w:pStyle w:val="Prrafodelista"/>
        <w:numPr>
          <w:ilvl w:val="0"/>
          <w:numId w:val="1"/>
        </w:numPr>
        <w:jc w:val="both"/>
        <w:rPr>
          <w:rFonts w:cstheme="minorHAnsi"/>
        </w:rPr>
      </w:pPr>
      <w:r w:rsidRPr="00EE61DE">
        <w:rPr>
          <w:rFonts w:cstheme="minorHAnsi"/>
        </w:rPr>
        <w:t>INFORME DE CONTRALORÍA GE</w:t>
      </w:r>
      <w:r w:rsidR="0049590F">
        <w:rPr>
          <w:rFonts w:cstheme="minorHAnsi"/>
        </w:rPr>
        <w:t>N</w:t>
      </w:r>
      <w:r w:rsidRPr="00EE61DE">
        <w:rPr>
          <w:rFonts w:cstheme="minorHAnsi"/>
        </w:rPr>
        <w:t>ERAL DE LA REPÚBLICA</w:t>
      </w:r>
    </w:p>
    <w:p w:rsidR="0049590F" w:rsidRPr="00EE61DE" w:rsidRDefault="00AB5D04" w:rsidP="00EE61DE">
      <w:pPr>
        <w:jc w:val="both"/>
        <w:rPr>
          <w:rFonts w:cstheme="minorHAnsi"/>
        </w:rPr>
      </w:pPr>
      <w:r w:rsidRPr="00EE61DE">
        <w:rPr>
          <w:rFonts w:cstheme="minorHAnsi"/>
        </w:rPr>
        <w:t xml:space="preserve"> </w:t>
      </w:r>
    </w:p>
    <w:p w:rsidR="00EE61DE" w:rsidRPr="00EE61DE" w:rsidRDefault="00EE61DE" w:rsidP="00EE61DE">
      <w:pPr>
        <w:pStyle w:val="Prrafodelista"/>
        <w:numPr>
          <w:ilvl w:val="0"/>
          <w:numId w:val="2"/>
        </w:numPr>
        <w:jc w:val="both"/>
        <w:rPr>
          <w:rFonts w:cstheme="minorHAnsi"/>
        </w:rPr>
      </w:pPr>
      <w:r w:rsidRPr="00EE61DE">
        <w:rPr>
          <w:rFonts w:cstheme="minorHAnsi"/>
        </w:rPr>
        <w:t>COMISIÓN MÉDICA ASESORA DE MINSAL POR FFALECIDOS EN LISTA DE ESPERA</w:t>
      </w:r>
    </w:p>
    <w:p w:rsidR="00AB5D04" w:rsidRPr="00EE61DE" w:rsidRDefault="00AB5D04" w:rsidP="00EE61DE">
      <w:pPr>
        <w:jc w:val="both"/>
        <w:rPr>
          <w:rFonts w:cstheme="minorHAnsi"/>
        </w:rPr>
      </w:pPr>
      <w:r w:rsidRPr="00EE61DE">
        <w:rPr>
          <w:rFonts w:cstheme="minorHAnsi"/>
        </w:rPr>
        <w:t>El informe comienza con una frase que se ha repetido en distintos discursos</w:t>
      </w:r>
      <w:r w:rsidR="00EE61DE" w:rsidRPr="00EE61DE">
        <w:rPr>
          <w:rFonts w:cstheme="minorHAnsi"/>
        </w:rPr>
        <w:t xml:space="preserve"> desde el sistema de salud</w:t>
      </w:r>
      <w:r w:rsidRPr="00EE61DE">
        <w:rPr>
          <w:rFonts w:cstheme="minorHAnsi"/>
        </w:rPr>
        <w:t xml:space="preserve">, donde de manera complaciente se señala las ventajas en salud de Chile en relación a países de la Región. </w:t>
      </w:r>
    </w:p>
    <w:p w:rsidR="00AB5D04" w:rsidRPr="00EE61DE" w:rsidRDefault="00AB5D04" w:rsidP="00EE61DE">
      <w:pPr>
        <w:jc w:val="both"/>
        <w:rPr>
          <w:rFonts w:cstheme="minorHAnsi"/>
        </w:rPr>
      </w:pPr>
      <w:r w:rsidRPr="00EE61DE">
        <w:rPr>
          <w:rFonts w:cstheme="minorHAnsi"/>
          <w:i/>
        </w:rPr>
        <w:t xml:space="preserve">El Sistema de Salud Chileno muestra resultados de impacto en salud y de eficiencia del gasto en salud mejores que otros países de la región. Esto se debe en parte a políticas sanitarias focalizadas en áreas tales como la salud </w:t>
      </w:r>
      <w:proofErr w:type="gramStart"/>
      <w:r w:rsidRPr="00EE61DE">
        <w:rPr>
          <w:rFonts w:cstheme="minorHAnsi"/>
          <w:i/>
        </w:rPr>
        <w:t>materno</w:t>
      </w:r>
      <w:proofErr w:type="gramEnd"/>
      <w:r w:rsidRPr="00EE61DE">
        <w:rPr>
          <w:rFonts w:cstheme="minorHAnsi"/>
          <w:i/>
        </w:rPr>
        <w:t xml:space="preserve"> infantil, la infancia y el sistema de garantías explícitas en salud, entre otras. Sin embargo, las grandes cifras esconden inequidades y focos de menor eficiencia dentro del sector. </w:t>
      </w:r>
    </w:p>
    <w:p w:rsidR="00AB5D04" w:rsidRPr="00EE61DE" w:rsidRDefault="00AB5D04" w:rsidP="00EE61DE">
      <w:pPr>
        <w:jc w:val="both"/>
        <w:rPr>
          <w:rFonts w:cstheme="minorHAnsi"/>
        </w:rPr>
      </w:pPr>
      <w:r w:rsidRPr="00EE61DE">
        <w:rPr>
          <w:rFonts w:cstheme="minorHAnsi"/>
        </w:rPr>
        <w:t xml:space="preserve">En primer término, esas virtudes podrían ser relativizadas, tanto en el campo de la salud sexual y reproductiva como en el acceso a determinadas prestaciones de salud, además de indicadores tales como la nutrición, el abuso de sustancias psicoactivas, la </w:t>
      </w:r>
      <w:proofErr w:type="spellStart"/>
      <w:r w:rsidRPr="00EE61DE">
        <w:rPr>
          <w:rFonts w:cstheme="minorHAnsi"/>
        </w:rPr>
        <w:t>suicidalidad</w:t>
      </w:r>
      <w:proofErr w:type="spellEnd"/>
      <w:r w:rsidRPr="00EE61DE">
        <w:rPr>
          <w:rFonts w:cstheme="minorHAnsi"/>
        </w:rPr>
        <w:t xml:space="preserve">, la tasa de prevalencia de ITS y VIH/SIDA, entre otros en los cuales ya se ha informado ampliamente. </w:t>
      </w:r>
    </w:p>
    <w:p w:rsidR="00AB5D04" w:rsidRPr="00EE61DE" w:rsidRDefault="00AB5D04" w:rsidP="00EE61DE">
      <w:pPr>
        <w:jc w:val="both"/>
        <w:rPr>
          <w:rFonts w:cstheme="minorHAnsi"/>
        </w:rPr>
      </w:pPr>
      <w:r w:rsidRPr="00EE61DE">
        <w:rPr>
          <w:rFonts w:cstheme="minorHAnsi"/>
        </w:rPr>
        <w:t>Asimismo, esto devela que ante determinadas circunstancias, la OCDE no es tomada en cuenta, pero sí la comparación con países de la Región.</w:t>
      </w:r>
    </w:p>
    <w:p w:rsidR="00CA1A6A" w:rsidRPr="00EE61DE" w:rsidRDefault="00CA1A6A" w:rsidP="00EE61DE">
      <w:pPr>
        <w:jc w:val="both"/>
        <w:rPr>
          <w:rFonts w:cstheme="minorHAnsi"/>
        </w:rPr>
      </w:pPr>
      <w:r w:rsidRPr="00EE61DE">
        <w:rPr>
          <w:rFonts w:cstheme="minorHAnsi"/>
        </w:rPr>
        <w:t xml:space="preserve">Por otra parte, la Comisión Asesora señala que a partir del conocimiento de los datos sobre </w:t>
      </w:r>
      <w:proofErr w:type="gramStart"/>
      <w:r w:rsidRPr="00EE61DE">
        <w:rPr>
          <w:rFonts w:cstheme="minorHAnsi"/>
        </w:rPr>
        <w:t>fallecidos</w:t>
      </w:r>
      <w:proofErr w:type="gramEnd"/>
      <w:r w:rsidRPr="00EE61DE">
        <w:rPr>
          <w:rFonts w:cstheme="minorHAnsi"/>
        </w:rPr>
        <w:t xml:space="preserve"> en lista de espera, se ha generado “alarma pública”.</w:t>
      </w:r>
    </w:p>
    <w:p w:rsidR="00CA1A6A" w:rsidRPr="00EE61DE" w:rsidRDefault="00CA1A6A" w:rsidP="00EE61DE">
      <w:pPr>
        <w:jc w:val="both"/>
        <w:rPr>
          <w:rFonts w:cstheme="minorHAnsi"/>
        </w:rPr>
      </w:pPr>
      <w:r w:rsidRPr="00EE61DE">
        <w:rPr>
          <w:rFonts w:cstheme="minorHAnsi"/>
        </w:rPr>
        <w:t xml:space="preserve">Pues bien, Ud. Senador ha sido quien ya en el año 2015  y luego a principios de 2016 quien ha accedido  y ha colocado en el debate la situación de las listas de espera, de los fallecidos por esta causa y a su vez, la necesidad de estudiar las causas de dichos fallecimientos. En entrevista a medios de comunicación, la directora de FONASA había expresado en 2015 que aproximadamente el 30% de dichos fallecimientos podría corresponder a la patología de base de los pacientes  </w:t>
      </w:r>
    </w:p>
    <w:p w:rsidR="00F55F13" w:rsidRPr="00EE61DE" w:rsidRDefault="00CA1A6A" w:rsidP="00EE61DE">
      <w:pPr>
        <w:jc w:val="both"/>
        <w:rPr>
          <w:rFonts w:cstheme="minorHAnsi"/>
        </w:rPr>
      </w:pPr>
      <w:r w:rsidRPr="00EE61DE">
        <w:rPr>
          <w:rFonts w:cstheme="minorHAnsi"/>
        </w:rPr>
        <w:t>En todo caso, la transparencia de los datos ante la ciudadanía no generaría alarma pública si se conociese y se difundiese con precisión, la causa de fallecimiento de las personas con retraso de sus garantías (AUGE) o</w:t>
      </w:r>
      <w:r w:rsidR="00F55F13" w:rsidRPr="00EE61DE">
        <w:rPr>
          <w:rFonts w:cstheme="minorHAnsi"/>
        </w:rPr>
        <w:t xml:space="preserve"> lista de espera para atención médica o quirúrgica.</w:t>
      </w:r>
    </w:p>
    <w:p w:rsidR="00F55F13" w:rsidRPr="00EE61DE" w:rsidRDefault="00F55F13" w:rsidP="00EE61DE">
      <w:pPr>
        <w:jc w:val="both"/>
        <w:rPr>
          <w:rFonts w:cstheme="minorHAnsi"/>
        </w:rPr>
      </w:pPr>
      <w:r w:rsidRPr="00EE61DE">
        <w:rPr>
          <w:rFonts w:cstheme="minorHAnsi"/>
        </w:rPr>
        <w:t>El informe señala que:</w:t>
      </w:r>
    </w:p>
    <w:p w:rsidR="00F55F13" w:rsidRPr="00EE61DE" w:rsidRDefault="00F55F13" w:rsidP="00EE61DE">
      <w:pPr>
        <w:jc w:val="both"/>
        <w:rPr>
          <w:rFonts w:cstheme="minorHAnsi"/>
          <w:i/>
        </w:rPr>
      </w:pPr>
      <w:r w:rsidRPr="00EE61DE">
        <w:rPr>
          <w:rFonts w:cstheme="minorHAnsi"/>
          <w:i/>
        </w:rPr>
        <w:lastRenderedPageBreak/>
        <w:t xml:space="preserve">“Del análisis de las personas fallecidas en el RNLE, se detectó que la información contenía errores; las personas fallecidas mientras estaban en espera de atención en el RNLE, no eran 25.000, sino 15.625. Éstas representan el 0,7% del total de personas que estuvieron en el RNLE durante el año 2016 y el 15% de los fallecidos a nivel nacional ese año, aportando con 0,85 fallecidos por 1000 habitantes a la tasa de mortalidad general del país, que es 5,7. </w:t>
      </w:r>
    </w:p>
    <w:p w:rsidR="00F55F13" w:rsidRPr="00EE61DE" w:rsidRDefault="00F55F13" w:rsidP="00EE61DE">
      <w:pPr>
        <w:jc w:val="both"/>
        <w:rPr>
          <w:rFonts w:cstheme="minorHAnsi"/>
          <w:i/>
        </w:rPr>
      </w:pPr>
      <w:r w:rsidRPr="00EE61DE">
        <w:rPr>
          <w:rFonts w:cstheme="minorHAnsi"/>
          <w:i/>
        </w:rPr>
        <w:t>En el caso de las garantías retrasadas GES, desde el 1° de Julio del 2005 al 31 de diciembre del 2016, han fallecido 11.507 personas, los fallecidos el año 2016 fueron 993 personas, que representan el 1% de los fallecidos beneficiarios de FONASA del período y 0,9% de fallecidos a nivel nacional ese año, aportando con 0,05 fallecidos por 1000 habitantes a la tasa de mortalidad general país (5,7)”.</w:t>
      </w:r>
    </w:p>
    <w:p w:rsidR="00F55F13" w:rsidRPr="00EE61DE" w:rsidRDefault="00F55F13" w:rsidP="00EE61DE">
      <w:pPr>
        <w:jc w:val="both"/>
        <w:rPr>
          <w:rFonts w:cstheme="minorHAnsi"/>
        </w:rPr>
      </w:pPr>
      <w:r w:rsidRPr="00EE61DE">
        <w:rPr>
          <w:rFonts w:cstheme="minorHAnsi"/>
        </w:rPr>
        <w:t>En este aspecto, cabe destacar que la comisión detecta que las muertes no fueron 25.000 sino 15.625. Esto en sí mismo es grave, pues si bien la cifra destaca una diferencia en menos de 9,375 pacientes lo que muestra una grave imprecisión ministerial. Y por otra parte, tampoco la cifra que maneja la comisión es precisa, pues el total siempre ha sido 24.817 pacientes (No AUGE).</w:t>
      </w:r>
    </w:p>
    <w:p w:rsidR="00DB10FA" w:rsidRDefault="00DB10FA" w:rsidP="00EE61DE">
      <w:pPr>
        <w:jc w:val="both"/>
        <w:rPr>
          <w:rFonts w:cstheme="minorHAnsi"/>
        </w:rPr>
      </w:pPr>
      <w:r w:rsidRPr="00EE61DE">
        <w:rPr>
          <w:rFonts w:cstheme="minorHAnsi"/>
        </w:rPr>
        <w:t>El informe muestra que el porcentaje es bajo, y de alguna manera relativiza la gravedad. Por ejemplo, el informe no detalla que 129 de los fallecidos en 2016 son menores de edad y esa cifra absoluta en sí misma es muy grave, en un país de las características de Chile.</w:t>
      </w:r>
    </w:p>
    <w:p w:rsidR="00B43AB1" w:rsidRDefault="00B43AB1" w:rsidP="00EE61DE">
      <w:pPr>
        <w:jc w:val="both"/>
        <w:rPr>
          <w:rFonts w:cstheme="minorHAnsi"/>
        </w:rPr>
      </w:pPr>
      <w:r>
        <w:rPr>
          <w:rFonts w:cstheme="minorHAnsi"/>
        </w:rPr>
        <w:t>Por otra parte, el informe de la comisión devela que la información disponible que permita determinar la causalidad. P</w:t>
      </w:r>
      <w:r w:rsidR="00FE6400">
        <w:rPr>
          <w:rFonts w:cstheme="minorHAnsi"/>
        </w:rPr>
        <w:t>or lo tanto, se explora la asociación potencial entre derivación y fallecimiento.</w:t>
      </w:r>
      <w:r>
        <w:rPr>
          <w:rFonts w:cstheme="minorHAnsi"/>
        </w:rPr>
        <w:t xml:space="preserve"> </w:t>
      </w:r>
    </w:p>
    <w:p w:rsidR="00F55F13" w:rsidRPr="00EE61DE" w:rsidRDefault="00EE61DE" w:rsidP="00EE61DE">
      <w:pPr>
        <w:jc w:val="both"/>
        <w:rPr>
          <w:rFonts w:cstheme="minorHAnsi"/>
          <w:i/>
        </w:rPr>
      </w:pPr>
      <w:r w:rsidRPr="00EE61DE">
        <w:rPr>
          <w:rFonts w:cstheme="minorHAnsi"/>
          <w:i/>
        </w:rPr>
        <w:t>“</w:t>
      </w:r>
      <w:r w:rsidR="00F55F13" w:rsidRPr="00EE61DE">
        <w:rPr>
          <w:rFonts w:cstheme="minorHAnsi"/>
          <w:i/>
        </w:rPr>
        <w:t>Respecto de si existe asociación entre la causa básica de defunción y la prestación en espera, la Comisión analizó los antecedentes de las personas fallecidas en espera de atención en el RNLE y por garantías retrasadas GES. Dada las limitaciones de completitud y calidad de los datos, especialmente en el RNLE, que no permiten un estudio de causalidad que explique y vincule la causa de muerte con la derivación en espera, la Comisión decidió explorar, mediante una revisión de casos y aplicación de juicio experto, la factibilidad de “asociación potencial” entre la derivación en espera y el fallecimiento</w:t>
      </w:r>
      <w:r w:rsidRPr="00EE61DE">
        <w:rPr>
          <w:rFonts w:cstheme="minorHAnsi"/>
          <w:i/>
        </w:rPr>
        <w:t>”</w:t>
      </w:r>
    </w:p>
    <w:p w:rsidR="00FE6400" w:rsidRDefault="00FE6400" w:rsidP="00FE6400">
      <w:pPr>
        <w:jc w:val="both"/>
        <w:rPr>
          <w:rFonts w:cstheme="minorHAnsi"/>
        </w:rPr>
      </w:pPr>
      <w:r>
        <w:rPr>
          <w:rFonts w:cstheme="minorHAnsi"/>
        </w:rPr>
        <w:t xml:space="preserve">En ese sentido, el informe de la comisión plantea </w:t>
      </w:r>
    </w:p>
    <w:p w:rsidR="00FE6400" w:rsidRPr="00A86669" w:rsidRDefault="00A86669" w:rsidP="00FE6400">
      <w:pPr>
        <w:jc w:val="both"/>
        <w:rPr>
          <w:rFonts w:cstheme="minorHAnsi"/>
          <w:i/>
        </w:rPr>
      </w:pPr>
      <w:r w:rsidRPr="00A86669">
        <w:rPr>
          <w:rFonts w:cstheme="minorHAnsi"/>
          <w:i/>
        </w:rPr>
        <w:t>“</w:t>
      </w:r>
      <w:r w:rsidR="00FE6400" w:rsidRPr="00A86669">
        <w:rPr>
          <w:rFonts w:cstheme="minorHAnsi"/>
          <w:i/>
        </w:rPr>
        <w:t xml:space="preserve">Dada la representatividad de esta muestra, en el grupo de 40 y más años se puede extrapolar el resultado al total de fallecidos de esta edad (15.053 personas) </w:t>
      </w:r>
      <w:r w:rsidR="00FE6400" w:rsidRPr="00A86669">
        <w:rPr>
          <w:rFonts w:cstheme="minorHAnsi"/>
          <w:b/>
          <w:i/>
        </w:rPr>
        <w:t>con lo cual podría haber hasta 6.593 fallecidos en los que pudiese plantearse esta hipótesis de asociación potencial</w:t>
      </w:r>
      <w:r w:rsidR="00FE6400" w:rsidRPr="00A86669">
        <w:rPr>
          <w:rFonts w:cstheme="minorHAnsi"/>
          <w:i/>
        </w:rPr>
        <w:t xml:space="preserve">. </w:t>
      </w:r>
    </w:p>
    <w:p w:rsidR="00FE6400" w:rsidRPr="00A86669" w:rsidRDefault="00FE6400" w:rsidP="00FE6400">
      <w:pPr>
        <w:jc w:val="both"/>
        <w:rPr>
          <w:rFonts w:cstheme="minorHAnsi"/>
          <w:i/>
        </w:rPr>
      </w:pPr>
      <w:r w:rsidRPr="00A86669">
        <w:rPr>
          <w:rFonts w:cstheme="minorHAnsi"/>
          <w:i/>
        </w:rPr>
        <w:t xml:space="preserve">Respecto a los fallecidos con garantías retrasadas GES, se estudiaron todos los fallecidos (993 personas), de ellos en el </w:t>
      </w:r>
      <w:r w:rsidRPr="00A86669">
        <w:rPr>
          <w:rFonts w:cstheme="minorHAnsi"/>
          <w:b/>
          <w:i/>
        </w:rPr>
        <w:t>15% fue posible plantear una hipótesis de asociación potencial entre la derivación en espera y el fallecimiento</w:t>
      </w:r>
      <w:r w:rsidR="00A86669" w:rsidRPr="00A86669">
        <w:rPr>
          <w:rFonts w:cstheme="minorHAnsi"/>
          <w:i/>
        </w:rPr>
        <w:t>”</w:t>
      </w:r>
      <w:r w:rsidRPr="00A86669">
        <w:rPr>
          <w:rFonts w:cstheme="minorHAnsi"/>
          <w:i/>
        </w:rPr>
        <w:t>.</w:t>
      </w:r>
    </w:p>
    <w:p w:rsidR="00A86669" w:rsidRPr="00A86669" w:rsidRDefault="00A86669" w:rsidP="00FE6400">
      <w:pPr>
        <w:jc w:val="both"/>
        <w:rPr>
          <w:rFonts w:cstheme="minorHAnsi"/>
          <w:b/>
        </w:rPr>
      </w:pPr>
      <w:r w:rsidRPr="00A86669">
        <w:rPr>
          <w:rFonts w:cstheme="minorHAnsi"/>
          <w:b/>
        </w:rPr>
        <w:t>Por lo tanto sólo en 2016 habrían fallecido 6.593 personas y durante el período de estudio de AUGE (2005 – 2017) estaríamos hablando: 149.</w:t>
      </w:r>
    </w:p>
    <w:p w:rsidR="00FE6400" w:rsidRPr="00A86669" w:rsidRDefault="00A86669" w:rsidP="00FE6400">
      <w:pPr>
        <w:jc w:val="both"/>
        <w:rPr>
          <w:rFonts w:cstheme="minorHAnsi"/>
          <w:i/>
        </w:rPr>
      </w:pPr>
      <w:r>
        <w:rPr>
          <w:rFonts w:cstheme="minorHAnsi"/>
        </w:rPr>
        <w:t xml:space="preserve">Si bien, como afirma la comisión esta </w:t>
      </w:r>
      <w:r w:rsidR="00FE6400" w:rsidRPr="00FE6400">
        <w:rPr>
          <w:rFonts w:cstheme="minorHAnsi"/>
        </w:rPr>
        <w:t>hipótesis de asociación</w:t>
      </w:r>
      <w:r>
        <w:rPr>
          <w:rFonts w:cstheme="minorHAnsi"/>
        </w:rPr>
        <w:t xml:space="preserve"> no podría</w:t>
      </w:r>
      <w:r w:rsidR="00FE6400" w:rsidRPr="00FE6400">
        <w:rPr>
          <w:rFonts w:cstheme="minorHAnsi"/>
        </w:rPr>
        <w:t xml:space="preserve"> ser confirmada con los datos disponibles,</w:t>
      </w:r>
      <w:r>
        <w:rPr>
          <w:rFonts w:cstheme="minorHAnsi"/>
        </w:rPr>
        <w:t xml:space="preserve"> la misma sugiere nuevos y más profundos estudios, la y mejora de</w:t>
      </w:r>
      <w:r w:rsidR="00FE6400" w:rsidRPr="00FE6400">
        <w:rPr>
          <w:rFonts w:cstheme="minorHAnsi"/>
        </w:rPr>
        <w:t xml:space="preserve"> los registros de las derivaciones, estrategias de rendición de cuentas y auditorí</w:t>
      </w:r>
      <w:r>
        <w:rPr>
          <w:rFonts w:cstheme="minorHAnsi"/>
        </w:rPr>
        <w:t xml:space="preserve">as clínicas en forma periódica. Con ello </w:t>
      </w:r>
      <w:proofErr w:type="gramStart"/>
      <w:r>
        <w:rPr>
          <w:rFonts w:cstheme="minorHAnsi"/>
        </w:rPr>
        <w:t>se</w:t>
      </w:r>
      <w:proofErr w:type="gramEnd"/>
      <w:r>
        <w:rPr>
          <w:rFonts w:cstheme="minorHAnsi"/>
        </w:rPr>
        <w:t xml:space="preserve"> podría </w:t>
      </w:r>
      <w:r w:rsidRPr="00A86669">
        <w:rPr>
          <w:rFonts w:cstheme="minorHAnsi"/>
          <w:i/>
        </w:rPr>
        <w:t>“</w:t>
      </w:r>
      <w:r w:rsidR="00FE6400" w:rsidRPr="00A86669">
        <w:rPr>
          <w:rFonts w:cstheme="minorHAnsi"/>
          <w:i/>
        </w:rPr>
        <w:t xml:space="preserve">realizar futuros análisis de causalidad y perfilamiento de riesgo que permitan detectar </w:t>
      </w:r>
      <w:r w:rsidR="00FE6400" w:rsidRPr="00A86669">
        <w:rPr>
          <w:rFonts w:cstheme="minorHAnsi"/>
          <w:i/>
        </w:rPr>
        <w:lastRenderedPageBreak/>
        <w:t>oportunidades de mejora en los procesos de gestión de los tiempos y listas de espera. Estos aspectos están fuera del alcance de los objetivos de esta Comisión y fueron abordados, en las recomendaciones, como parte de las mejoras que deben hacerse al modelo de gestión y al sistema de información global que el Ministerio de Salud requiere para gestionar los tiempos y listas de espera, protegiendo adecuadamente el derecho a la salud, la oportunidad y calidad de la atención</w:t>
      </w:r>
      <w:r>
        <w:rPr>
          <w:rFonts w:cstheme="minorHAnsi"/>
          <w:i/>
        </w:rPr>
        <w:t>”</w:t>
      </w:r>
      <w:r w:rsidR="00FE6400" w:rsidRPr="00A86669">
        <w:rPr>
          <w:rFonts w:cstheme="minorHAnsi"/>
          <w:i/>
        </w:rPr>
        <w:t xml:space="preserve">.  </w:t>
      </w:r>
    </w:p>
    <w:p w:rsidR="000C4DE8" w:rsidRDefault="000C4DE8" w:rsidP="000C4DE8">
      <w:pPr>
        <w:jc w:val="both"/>
        <w:rPr>
          <w:rFonts w:cstheme="minorHAnsi"/>
        </w:rPr>
      </w:pPr>
      <w:r>
        <w:rPr>
          <w:rFonts w:cstheme="minorHAnsi"/>
        </w:rPr>
        <w:t>El informe destaca que son l</w:t>
      </w:r>
      <w:r w:rsidR="00FE6400" w:rsidRPr="00FE6400">
        <w:rPr>
          <w:rFonts w:cstheme="minorHAnsi"/>
        </w:rPr>
        <w:t xml:space="preserve">os Procedimientos </w:t>
      </w:r>
      <w:r>
        <w:rPr>
          <w:rFonts w:cstheme="minorHAnsi"/>
        </w:rPr>
        <w:t xml:space="preserve">los que </w:t>
      </w:r>
      <w:r w:rsidR="00FE6400" w:rsidRPr="00FE6400">
        <w:rPr>
          <w:rFonts w:cstheme="minorHAnsi"/>
        </w:rPr>
        <w:t>tienen la mediana más alta de tiempo de espera, llegando a 526 días a nivel país, con un rango que va desde 159 a 2040 días en diferentes Servicios de Salud,</w:t>
      </w:r>
      <w:r>
        <w:rPr>
          <w:rFonts w:cstheme="minorHAnsi"/>
        </w:rPr>
        <w:t xml:space="preserve"> y luego son </w:t>
      </w:r>
      <w:r w:rsidR="00FE6400" w:rsidRPr="00FE6400">
        <w:rPr>
          <w:rFonts w:cstheme="minorHAnsi"/>
        </w:rPr>
        <w:t>las cirugías con</w:t>
      </w:r>
      <w:r>
        <w:rPr>
          <w:rFonts w:cstheme="minorHAnsi"/>
        </w:rPr>
        <w:t xml:space="preserve"> una</w:t>
      </w:r>
      <w:r w:rsidR="00FE6400" w:rsidRPr="00FE6400">
        <w:rPr>
          <w:rFonts w:cstheme="minorHAnsi"/>
        </w:rPr>
        <w:t xml:space="preserve"> mediana de 381 días </w:t>
      </w:r>
      <w:r>
        <w:rPr>
          <w:rFonts w:cstheme="minorHAnsi"/>
        </w:rPr>
        <w:t>(</w:t>
      </w:r>
      <w:r w:rsidR="00FE6400" w:rsidRPr="00FE6400">
        <w:rPr>
          <w:rFonts w:cstheme="minorHAnsi"/>
        </w:rPr>
        <w:t>rango de 207 a más de 500 días</w:t>
      </w:r>
      <w:r>
        <w:rPr>
          <w:rFonts w:cstheme="minorHAnsi"/>
        </w:rPr>
        <w:t>) y finalmente</w:t>
      </w:r>
      <w:r w:rsidR="00FE6400" w:rsidRPr="00FE6400">
        <w:rPr>
          <w:rFonts w:cstheme="minorHAnsi"/>
        </w:rPr>
        <w:t xml:space="preserve"> las Consultas Nuevas de Especialidad </w:t>
      </w:r>
      <w:r>
        <w:rPr>
          <w:rFonts w:cstheme="minorHAnsi"/>
        </w:rPr>
        <w:t>(</w:t>
      </w:r>
      <w:r w:rsidR="00FE6400" w:rsidRPr="00FE6400">
        <w:rPr>
          <w:rFonts w:cstheme="minorHAnsi"/>
        </w:rPr>
        <w:t>mediana de 302 días, con rango de 144 y 550 días</w:t>
      </w:r>
      <w:r>
        <w:rPr>
          <w:rFonts w:cstheme="minorHAnsi"/>
        </w:rPr>
        <w:t>).</w:t>
      </w:r>
    </w:p>
    <w:p w:rsidR="000C4DE8" w:rsidRDefault="00FE6400" w:rsidP="000C4DE8">
      <w:pPr>
        <w:jc w:val="both"/>
        <w:rPr>
          <w:rFonts w:cstheme="minorHAnsi"/>
        </w:rPr>
      </w:pPr>
      <w:r w:rsidRPr="00FE6400">
        <w:rPr>
          <w:rFonts w:cstheme="minorHAnsi"/>
        </w:rPr>
        <w:t>La</w:t>
      </w:r>
      <w:r w:rsidR="000C4DE8">
        <w:rPr>
          <w:rFonts w:cstheme="minorHAnsi"/>
        </w:rPr>
        <w:t xml:space="preserve"> propia c</w:t>
      </w:r>
      <w:r w:rsidRPr="00FE6400">
        <w:rPr>
          <w:rFonts w:cstheme="minorHAnsi"/>
        </w:rPr>
        <w:t xml:space="preserve">omisión </w:t>
      </w:r>
      <w:r w:rsidR="000C4DE8">
        <w:rPr>
          <w:rFonts w:cstheme="minorHAnsi"/>
        </w:rPr>
        <w:t>“</w:t>
      </w:r>
      <w:r w:rsidRPr="00FE6400">
        <w:rPr>
          <w:rFonts w:cstheme="minorHAnsi"/>
        </w:rPr>
        <w:t>muestra preocupación por lo prolongado de estos tiempos de espera, que ciertamente vulneran el concepto de una atención oportuna, especialmente en algunos servicios de salud. Se recomienda que la autoridad revise cuidadosamente estas situaciones, para verificar si realmente lo registrado en el repositorio corresponde a solicitudes de derivación vigentes y de ser así, realicen todas las gestiones a su alcance para resolverlas</w:t>
      </w:r>
      <w:r w:rsidR="000C4DE8">
        <w:rPr>
          <w:rFonts w:cstheme="minorHAnsi"/>
        </w:rPr>
        <w:t>”</w:t>
      </w:r>
      <w:r w:rsidRPr="00FE6400">
        <w:rPr>
          <w:rFonts w:cstheme="minorHAnsi"/>
        </w:rPr>
        <w:t>.</w:t>
      </w:r>
    </w:p>
    <w:p w:rsidR="0049590F" w:rsidRDefault="0049590F" w:rsidP="000C4DE8">
      <w:pPr>
        <w:jc w:val="both"/>
        <w:rPr>
          <w:rFonts w:cstheme="minorHAnsi"/>
        </w:rPr>
      </w:pPr>
    </w:p>
    <w:p w:rsidR="0049590F" w:rsidRDefault="0049590F" w:rsidP="0049590F">
      <w:pPr>
        <w:jc w:val="both"/>
        <w:rPr>
          <w:rFonts w:cstheme="minorHAnsi"/>
          <w:shd w:val="clear" w:color="auto" w:fill="E7E6E6" w:themeFill="background2"/>
        </w:rPr>
      </w:pPr>
      <w:r w:rsidRPr="0049590F">
        <w:rPr>
          <w:rFonts w:cstheme="minorHAnsi"/>
          <w:shd w:val="clear" w:color="auto" w:fill="E7E6E6" w:themeFill="background2"/>
        </w:rPr>
        <w:t>N° de personas y GO que se encontraban retrasadas al momento del fallecimiento del beneficiario</w:t>
      </w:r>
    </w:p>
    <w:p w:rsidR="0049590F" w:rsidRPr="0049590F" w:rsidRDefault="0049590F" w:rsidP="0049590F">
      <w:pPr>
        <w:jc w:val="both"/>
        <w:rPr>
          <w:rFonts w:cstheme="minorHAnsi"/>
        </w:rPr>
      </w:pPr>
      <w:r>
        <w:rPr>
          <w:rFonts w:cstheme="minorHAnsi"/>
        </w:rPr>
        <w:t>Perí</w:t>
      </w:r>
      <w:r w:rsidRPr="0049590F">
        <w:rPr>
          <w:rFonts w:cstheme="minorHAnsi"/>
        </w:rPr>
        <w:t>odo: 01/07/2005 al 14/02/2017</w:t>
      </w:r>
      <w:r w:rsidRPr="0049590F">
        <w:rPr>
          <w:rFonts w:cstheme="minorHAnsi"/>
        </w:rPr>
        <w:tab/>
      </w:r>
      <w:r w:rsidRPr="0049590F">
        <w:rPr>
          <w:rFonts w:cstheme="minorHAnsi"/>
        </w:rPr>
        <w:tab/>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Año defunción</w:t>
      </w:r>
      <w:r w:rsidRPr="0049590F">
        <w:rPr>
          <w:rFonts w:cstheme="minorHAnsi"/>
        </w:rPr>
        <w:tab/>
        <w:t>N° beneficiarios (</w:t>
      </w:r>
      <w:proofErr w:type="spellStart"/>
      <w:r w:rsidRPr="0049590F">
        <w:rPr>
          <w:rFonts w:cstheme="minorHAnsi"/>
        </w:rPr>
        <w:t>rut</w:t>
      </w:r>
      <w:proofErr w:type="spellEnd"/>
      <w:r w:rsidRPr="0049590F">
        <w:rPr>
          <w:rFonts w:cstheme="minorHAnsi"/>
        </w:rPr>
        <w:t xml:space="preserve"> distintos)</w:t>
      </w:r>
      <w:r w:rsidRPr="0049590F">
        <w:rPr>
          <w:rFonts w:cstheme="minorHAnsi"/>
        </w:rPr>
        <w:tab/>
        <w:t>N° de GO Retrasadas</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2005</w:t>
      </w:r>
      <w:r w:rsidRPr="0049590F">
        <w:rPr>
          <w:rFonts w:cstheme="minorHAnsi"/>
        </w:rPr>
        <w:tab/>
      </w:r>
      <w:r w:rsidRPr="0049590F">
        <w:rPr>
          <w:rFonts w:cstheme="minorHAnsi"/>
        </w:rPr>
        <w:tab/>
      </w:r>
      <w:r w:rsidRPr="0049590F">
        <w:rPr>
          <w:rFonts w:cstheme="minorHAnsi"/>
        </w:rPr>
        <w:tab/>
        <w:t xml:space="preserve"> 128</w:t>
      </w:r>
      <w:r w:rsidRPr="0049590F">
        <w:rPr>
          <w:rFonts w:cstheme="minorHAnsi"/>
        </w:rPr>
        <w:tab/>
      </w:r>
      <w:r w:rsidRPr="0049590F">
        <w:rPr>
          <w:rFonts w:cstheme="minorHAnsi"/>
        </w:rPr>
        <w:tab/>
      </w:r>
      <w:r w:rsidRPr="0049590F">
        <w:rPr>
          <w:rFonts w:cstheme="minorHAnsi"/>
        </w:rPr>
        <w:tab/>
      </w:r>
      <w:r w:rsidRPr="0049590F">
        <w:rPr>
          <w:rFonts w:cstheme="minorHAnsi"/>
        </w:rPr>
        <w:tab/>
        <w:t>149</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2006</w:t>
      </w:r>
      <w:r w:rsidRPr="0049590F">
        <w:rPr>
          <w:rFonts w:cstheme="minorHAnsi"/>
        </w:rPr>
        <w:tab/>
      </w:r>
      <w:r w:rsidRPr="0049590F">
        <w:rPr>
          <w:rFonts w:cstheme="minorHAnsi"/>
        </w:rPr>
        <w:tab/>
      </w:r>
      <w:r w:rsidRPr="0049590F">
        <w:rPr>
          <w:rFonts w:cstheme="minorHAnsi"/>
        </w:rPr>
        <w:tab/>
        <w:t xml:space="preserve"> 639</w:t>
      </w:r>
      <w:r w:rsidRPr="0049590F">
        <w:rPr>
          <w:rFonts w:cstheme="minorHAnsi"/>
        </w:rPr>
        <w:tab/>
      </w:r>
      <w:r w:rsidRPr="0049590F">
        <w:rPr>
          <w:rFonts w:cstheme="minorHAnsi"/>
        </w:rPr>
        <w:tab/>
      </w:r>
      <w:r w:rsidRPr="0049590F">
        <w:rPr>
          <w:rFonts w:cstheme="minorHAnsi"/>
        </w:rPr>
        <w:tab/>
      </w:r>
      <w:r w:rsidRPr="0049590F">
        <w:rPr>
          <w:rFonts w:cstheme="minorHAnsi"/>
        </w:rPr>
        <w:tab/>
        <w:t xml:space="preserve"> 687</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2007</w:t>
      </w:r>
      <w:r w:rsidRPr="0049590F">
        <w:rPr>
          <w:rFonts w:cstheme="minorHAnsi"/>
        </w:rPr>
        <w:tab/>
      </w:r>
      <w:r w:rsidRPr="0049590F">
        <w:rPr>
          <w:rFonts w:cstheme="minorHAnsi"/>
        </w:rPr>
        <w:tab/>
      </w:r>
      <w:r w:rsidRPr="0049590F">
        <w:rPr>
          <w:rFonts w:cstheme="minorHAnsi"/>
        </w:rPr>
        <w:tab/>
        <w:t>1069</w:t>
      </w:r>
      <w:r w:rsidRPr="0049590F">
        <w:rPr>
          <w:rFonts w:cstheme="minorHAnsi"/>
        </w:rPr>
        <w:tab/>
      </w:r>
      <w:r w:rsidRPr="0049590F">
        <w:rPr>
          <w:rFonts w:cstheme="minorHAnsi"/>
        </w:rPr>
        <w:tab/>
      </w:r>
      <w:r w:rsidRPr="0049590F">
        <w:rPr>
          <w:rFonts w:cstheme="minorHAnsi"/>
        </w:rPr>
        <w:tab/>
      </w:r>
      <w:r w:rsidRPr="0049590F">
        <w:rPr>
          <w:rFonts w:cstheme="minorHAnsi"/>
        </w:rPr>
        <w:tab/>
        <w:t>1094</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2008</w:t>
      </w:r>
      <w:r w:rsidRPr="0049590F">
        <w:rPr>
          <w:rFonts w:cstheme="minorHAnsi"/>
        </w:rPr>
        <w:tab/>
      </w:r>
      <w:r w:rsidRPr="0049590F">
        <w:rPr>
          <w:rFonts w:cstheme="minorHAnsi"/>
        </w:rPr>
        <w:tab/>
      </w:r>
      <w:r w:rsidRPr="0049590F">
        <w:rPr>
          <w:rFonts w:cstheme="minorHAnsi"/>
        </w:rPr>
        <w:tab/>
        <w:t>1100</w:t>
      </w:r>
      <w:r w:rsidRPr="0049590F">
        <w:rPr>
          <w:rFonts w:cstheme="minorHAnsi"/>
        </w:rPr>
        <w:tab/>
      </w:r>
      <w:r w:rsidRPr="0049590F">
        <w:rPr>
          <w:rFonts w:cstheme="minorHAnsi"/>
        </w:rPr>
        <w:tab/>
      </w:r>
      <w:r w:rsidRPr="0049590F">
        <w:rPr>
          <w:rFonts w:cstheme="minorHAnsi"/>
        </w:rPr>
        <w:tab/>
      </w:r>
      <w:r w:rsidRPr="0049590F">
        <w:rPr>
          <w:rFonts w:cstheme="minorHAnsi"/>
        </w:rPr>
        <w:tab/>
        <w:t>1130</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2009</w:t>
      </w:r>
      <w:r w:rsidRPr="0049590F">
        <w:rPr>
          <w:rFonts w:cstheme="minorHAnsi"/>
        </w:rPr>
        <w:tab/>
      </w:r>
      <w:r w:rsidRPr="0049590F">
        <w:rPr>
          <w:rFonts w:cstheme="minorHAnsi"/>
        </w:rPr>
        <w:tab/>
      </w:r>
      <w:r w:rsidRPr="0049590F">
        <w:rPr>
          <w:rFonts w:cstheme="minorHAnsi"/>
        </w:rPr>
        <w:tab/>
        <w:t>1336</w:t>
      </w:r>
      <w:r w:rsidRPr="0049590F">
        <w:rPr>
          <w:rFonts w:cstheme="minorHAnsi"/>
        </w:rPr>
        <w:tab/>
      </w:r>
      <w:r w:rsidRPr="0049590F">
        <w:rPr>
          <w:rFonts w:cstheme="minorHAnsi"/>
        </w:rPr>
        <w:tab/>
      </w:r>
      <w:r w:rsidRPr="0049590F">
        <w:rPr>
          <w:rFonts w:cstheme="minorHAnsi"/>
        </w:rPr>
        <w:tab/>
      </w:r>
      <w:r w:rsidRPr="0049590F">
        <w:rPr>
          <w:rFonts w:cstheme="minorHAnsi"/>
        </w:rPr>
        <w:tab/>
        <w:t>1365</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2010</w:t>
      </w:r>
      <w:r w:rsidRPr="0049590F">
        <w:rPr>
          <w:rFonts w:cstheme="minorHAnsi"/>
        </w:rPr>
        <w:tab/>
      </w:r>
      <w:r w:rsidRPr="0049590F">
        <w:rPr>
          <w:rFonts w:cstheme="minorHAnsi"/>
        </w:rPr>
        <w:tab/>
      </w:r>
      <w:r w:rsidRPr="0049590F">
        <w:rPr>
          <w:rFonts w:cstheme="minorHAnsi"/>
        </w:rPr>
        <w:tab/>
        <w:t>1758</w:t>
      </w:r>
      <w:r w:rsidRPr="0049590F">
        <w:rPr>
          <w:rFonts w:cstheme="minorHAnsi"/>
        </w:rPr>
        <w:tab/>
      </w:r>
      <w:r w:rsidRPr="0049590F">
        <w:rPr>
          <w:rFonts w:cstheme="minorHAnsi"/>
        </w:rPr>
        <w:tab/>
      </w:r>
      <w:r w:rsidRPr="0049590F">
        <w:rPr>
          <w:rFonts w:cstheme="minorHAnsi"/>
        </w:rPr>
        <w:tab/>
      </w:r>
      <w:r w:rsidRPr="0049590F">
        <w:rPr>
          <w:rFonts w:cstheme="minorHAnsi"/>
        </w:rPr>
        <w:tab/>
        <w:t>1792</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2011</w:t>
      </w:r>
      <w:r w:rsidRPr="0049590F">
        <w:rPr>
          <w:rFonts w:cstheme="minorHAnsi"/>
        </w:rPr>
        <w:tab/>
      </w:r>
      <w:r w:rsidRPr="0049590F">
        <w:rPr>
          <w:rFonts w:cstheme="minorHAnsi"/>
        </w:rPr>
        <w:tab/>
      </w:r>
      <w:r w:rsidRPr="0049590F">
        <w:rPr>
          <w:rFonts w:cstheme="minorHAnsi"/>
        </w:rPr>
        <w:tab/>
        <w:t>1127</w:t>
      </w:r>
      <w:r w:rsidRPr="0049590F">
        <w:rPr>
          <w:rFonts w:cstheme="minorHAnsi"/>
        </w:rPr>
        <w:tab/>
      </w:r>
      <w:r w:rsidRPr="0049590F">
        <w:rPr>
          <w:rFonts w:cstheme="minorHAnsi"/>
        </w:rPr>
        <w:tab/>
      </w:r>
      <w:r w:rsidRPr="0049590F">
        <w:rPr>
          <w:rFonts w:cstheme="minorHAnsi"/>
        </w:rPr>
        <w:tab/>
      </w:r>
      <w:r w:rsidRPr="0049590F">
        <w:rPr>
          <w:rFonts w:cstheme="minorHAnsi"/>
        </w:rPr>
        <w:tab/>
        <w:t>1144</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2012</w:t>
      </w:r>
      <w:r w:rsidRPr="0049590F">
        <w:rPr>
          <w:rFonts w:cstheme="minorHAnsi"/>
        </w:rPr>
        <w:tab/>
      </w:r>
      <w:r w:rsidRPr="0049590F">
        <w:rPr>
          <w:rFonts w:cstheme="minorHAnsi"/>
        </w:rPr>
        <w:tab/>
      </w:r>
      <w:r w:rsidRPr="0049590F">
        <w:rPr>
          <w:rFonts w:cstheme="minorHAnsi"/>
        </w:rPr>
        <w:tab/>
        <w:t xml:space="preserve">  844</w:t>
      </w:r>
      <w:r w:rsidRPr="0049590F">
        <w:rPr>
          <w:rFonts w:cstheme="minorHAnsi"/>
        </w:rPr>
        <w:tab/>
      </w:r>
      <w:r w:rsidRPr="0049590F">
        <w:rPr>
          <w:rFonts w:cstheme="minorHAnsi"/>
        </w:rPr>
        <w:tab/>
      </w:r>
      <w:r w:rsidRPr="0049590F">
        <w:rPr>
          <w:rFonts w:cstheme="minorHAnsi"/>
        </w:rPr>
        <w:tab/>
      </w:r>
      <w:r w:rsidRPr="0049590F">
        <w:rPr>
          <w:rFonts w:cstheme="minorHAnsi"/>
        </w:rPr>
        <w:tab/>
        <w:t xml:space="preserve">  855</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2013</w:t>
      </w:r>
      <w:r w:rsidRPr="0049590F">
        <w:rPr>
          <w:rFonts w:cstheme="minorHAnsi"/>
        </w:rPr>
        <w:tab/>
      </w:r>
      <w:r w:rsidRPr="0049590F">
        <w:rPr>
          <w:rFonts w:cstheme="minorHAnsi"/>
        </w:rPr>
        <w:tab/>
      </w:r>
      <w:r w:rsidRPr="0049590F">
        <w:rPr>
          <w:rFonts w:cstheme="minorHAnsi"/>
        </w:rPr>
        <w:tab/>
        <w:t xml:space="preserve">  827</w:t>
      </w:r>
      <w:r w:rsidRPr="0049590F">
        <w:rPr>
          <w:rFonts w:cstheme="minorHAnsi"/>
        </w:rPr>
        <w:tab/>
      </w:r>
      <w:r w:rsidRPr="0049590F">
        <w:rPr>
          <w:rFonts w:cstheme="minorHAnsi"/>
        </w:rPr>
        <w:tab/>
      </w:r>
      <w:r w:rsidRPr="0049590F">
        <w:rPr>
          <w:rFonts w:cstheme="minorHAnsi"/>
        </w:rPr>
        <w:tab/>
      </w:r>
      <w:r w:rsidRPr="0049590F">
        <w:rPr>
          <w:rFonts w:cstheme="minorHAnsi"/>
        </w:rPr>
        <w:tab/>
        <w:t xml:space="preserve">  839</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2014</w:t>
      </w:r>
      <w:r w:rsidRPr="0049590F">
        <w:rPr>
          <w:rFonts w:cstheme="minorHAnsi"/>
        </w:rPr>
        <w:tab/>
      </w:r>
      <w:r w:rsidRPr="0049590F">
        <w:rPr>
          <w:rFonts w:cstheme="minorHAnsi"/>
        </w:rPr>
        <w:tab/>
      </w:r>
      <w:r w:rsidRPr="0049590F">
        <w:rPr>
          <w:rFonts w:cstheme="minorHAnsi"/>
        </w:rPr>
        <w:tab/>
        <w:t xml:space="preserve">  757</w:t>
      </w:r>
      <w:r w:rsidRPr="0049590F">
        <w:rPr>
          <w:rFonts w:cstheme="minorHAnsi"/>
        </w:rPr>
        <w:tab/>
      </w:r>
      <w:r w:rsidRPr="0049590F">
        <w:rPr>
          <w:rFonts w:cstheme="minorHAnsi"/>
        </w:rPr>
        <w:tab/>
      </w:r>
      <w:r w:rsidRPr="0049590F">
        <w:rPr>
          <w:rFonts w:cstheme="minorHAnsi"/>
        </w:rPr>
        <w:tab/>
      </w:r>
      <w:r w:rsidRPr="0049590F">
        <w:rPr>
          <w:rFonts w:cstheme="minorHAnsi"/>
        </w:rPr>
        <w:tab/>
        <w:t xml:space="preserve">  772</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2015</w:t>
      </w:r>
      <w:r w:rsidRPr="0049590F">
        <w:rPr>
          <w:rFonts w:cstheme="minorHAnsi"/>
        </w:rPr>
        <w:tab/>
      </w:r>
      <w:r w:rsidRPr="0049590F">
        <w:rPr>
          <w:rFonts w:cstheme="minorHAnsi"/>
        </w:rPr>
        <w:tab/>
      </w:r>
      <w:r w:rsidRPr="0049590F">
        <w:rPr>
          <w:rFonts w:cstheme="minorHAnsi"/>
        </w:rPr>
        <w:tab/>
        <w:t xml:space="preserve">  907</w:t>
      </w:r>
      <w:r w:rsidRPr="0049590F">
        <w:rPr>
          <w:rFonts w:cstheme="minorHAnsi"/>
        </w:rPr>
        <w:tab/>
      </w:r>
      <w:r w:rsidRPr="0049590F">
        <w:rPr>
          <w:rFonts w:cstheme="minorHAnsi"/>
        </w:rPr>
        <w:tab/>
      </w:r>
      <w:r w:rsidRPr="0049590F">
        <w:rPr>
          <w:rFonts w:cstheme="minorHAnsi"/>
        </w:rPr>
        <w:tab/>
      </w:r>
      <w:r w:rsidRPr="0049590F">
        <w:rPr>
          <w:rFonts w:cstheme="minorHAnsi"/>
        </w:rPr>
        <w:tab/>
        <w:t xml:space="preserve">  926</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2016</w:t>
      </w:r>
      <w:r w:rsidRPr="0049590F">
        <w:rPr>
          <w:rFonts w:cstheme="minorHAnsi"/>
        </w:rPr>
        <w:tab/>
      </w:r>
      <w:r w:rsidRPr="0049590F">
        <w:rPr>
          <w:rFonts w:cstheme="minorHAnsi"/>
        </w:rPr>
        <w:tab/>
      </w:r>
      <w:r w:rsidRPr="0049590F">
        <w:rPr>
          <w:rFonts w:cstheme="minorHAnsi"/>
        </w:rPr>
        <w:tab/>
        <w:t xml:space="preserve">  993</w:t>
      </w:r>
      <w:r w:rsidRPr="0049590F">
        <w:rPr>
          <w:rFonts w:cstheme="minorHAnsi"/>
        </w:rPr>
        <w:tab/>
      </w:r>
      <w:r w:rsidRPr="0049590F">
        <w:rPr>
          <w:rFonts w:cstheme="minorHAnsi"/>
        </w:rPr>
        <w:tab/>
      </w:r>
      <w:r w:rsidRPr="0049590F">
        <w:rPr>
          <w:rFonts w:cstheme="minorHAnsi"/>
        </w:rPr>
        <w:tab/>
      </w:r>
      <w:r w:rsidRPr="0049590F">
        <w:rPr>
          <w:rFonts w:cstheme="minorHAnsi"/>
        </w:rPr>
        <w:tab/>
        <w:t>1019</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2017</w:t>
      </w:r>
      <w:r w:rsidRPr="0049590F">
        <w:rPr>
          <w:rFonts w:cstheme="minorHAnsi"/>
        </w:rPr>
        <w:tab/>
      </w:r>
      <w:r w:rsidRPr="0049590F">
        <w:rPr>
          <w:rFonts w:cstheme="minorHAnsi"/>
        </w:rPr>
        <w:tab/>
      </w:r>
      <w:r w:rsidRPr="0049590F">
        <w:rPr>
          <w:rFonts w:cstheme="minorHAnsi"/>
        </w:rPr>
        <w:tab/>
        <w:t xml:space="preserve">    22</w:t>
      </w:r>
      <w:r w:rsidRPr="0049590F">
        <w:rPr>
          <w:rFonts w:cstheme="minorHAnsi"/>
        </w:rPr>
        <w:tab/>
      </w:r>
      <w:r w:rsidRPr="0049590F">
        <w:rPr>
          <w:rFonts w:cstheme="minorHAnsi"/>
        </w:rPr>
        <w:tab/>
      </w:r>
      <w:r w:rsidRPr="0049590F">
        <w:rPr>
          <w:rFonts w:cstheme="minorHAnsi"/>
        </w:rPr>
        <w:tab/>
      </w:r>
      <w:r w:rsidRPr="0049590F">
        <w:rPr>
          <w:rFonts w:cstheme="minorHAnsi"/>
        </w:rPr>
        <w:tab/>
        <w:t xml:space="preserve">    26</w:t>
      </w:r>
      <w:r w:rsidRPr="0049590F">
        <w:rPr>
          <w:rFonts w:cstheme="minorHAnsi"/>
        </w:rPr>
        <w:tab/>
      </w:r>
      <w:r w:rsidRPr="0049590F">
        <w:rPr>
          <w:rFonts w:cstheme="minorHAnsi"/>
        </w:rPr>
        <w:tab/>
      </w:r>
      <w:r w:rsidRPr="0049590F">
        <w:rPr>
          <w:rFonts w:cstheme="minorHAnsi"/>
        </w:rPr>
        <w:tab/>
      </w:r>
      <w:r w:rsidRPr="0049590F">
        <w:rPr>
          <w:rFonts w:cstheme="minorHAnsi"/>
        </w:rPr>
        <w:tab/>
      </w:r>
    </w:p>
    <w:p w:rsidR="0049590F" w:rsidRPr="0049590F" w:rsidRDefault="0049590F" w:rsidP="0049590F">
      <w:pPr>
        <w:jc w:val="both"/>
        <w:rPr>
          <w:rFonts w:cstheme="minorHAnsi"/>
        </w:rPr>
      </w:pPr>
      <w:r w:rsidRPr="0049590F">
        <w:rPr>
          <w:rFonts w:cstheme="minorHAnsi"/>
        </w:rPr>
        <w:t>Total</w:t>
      </w:r>
      <w:r w:rsidRPr="0049590F">
        <w:rPr>
          <w:rFonts w:cstheme="minorHAnsi"/>
        </w:rPr>
        <w:tab/>
      </w:r>
      <w:r w:rsidRPr="0049590F">
        <w:rPr>
          <w:rFonts w:cstheme="minorHAnsi"/>
        </w:rPr>
        <w:tab/>
        <w:t xml:space="preserve">           11.507</w:t>
      </w:r>
      <w:r w:rsidRPr="0049590F">
        <w:rPr>
          <w:rFonts w:cstheme="minorHAnsi"/>
        </w:rPr>
        <w:tab/>
      </w:r>
      <w:r w:rsidRPr="0049590F">
        <w:rPr>
          <w:rFonts w:cstheme="minorHAnsi"/>
        </w:rPr>
        <w:tab/>
      </w:r>
      <w:r w:rsidRPr="0049590F">
        <w:rPr>
          <w:rFonts w:cstheme="minorHAnsi"/>
        </w:rPr>
        <w:tab/>
        <w:t xml:space="preserve">          11.798</w:t>
      </w:r>
    </w:p>
    <w:p w:rsidR="000C4DE8" w:rsidRDefault="000C4DE8" w:rsidP="00FE6400">
      <w:pPr>
        <w:jc w:val="both"/>
        <w:rPr>
          <w:rFonts w:cstheme="minorHAnsi"/>
        </w:rPr>
      </w:pPr>
      <w:bookmarkStart w:id="0" w:name="_GoBack"/>
      <w:bookmarkEnd w:id="0"/>
      <w:r>
        <w:rPr>
          <w:rFonts w:cstheme="minorHAnsi"/>
        </w:rPr>
        <w:lastRenderedPageBreak/>
        <w:t xml:space="preserve">Por último la comisión encuentra </w:t>
      </w:r>
      <w:r w:rsidR="00FE6400" w:rsidRPr="00FE6400">
        <w:rPr>
          <w:rFonts w:cstheme="minorHAnsi"/>
        </w:rPr>
        <w:t xml:space="preserve">múltiples oportunidades de mejora </w:t>
      </w:r>
      <w:r>
        <w:rPr>
          <w:rFonts w:cstheme="minorHAnsi"/>
        </w:rPr>
        <w:t xml:space="preserve">en </w:t>
      </w:r>
      <w:r w:rsidR="00FE6400" w:rsidRPr="00FE6400">
        <w:rPr>
          <w:rFonts w:cstheme="minorHAnsi"/>
        </w:rPr>
        <w:t>el modelo de gestión</w:t>
      </w:r>
      <w:r>
        <w:rPr>
          <w:rFonts w:cstheme="minorHAnsi"/>
        </w:rPr>
        <w:t xml:space="preserve"> y en el</w:t>
      </w:r>
      <w:r w:rsidR="00FE6400" w:rsidRPr="00FE6400">
        <w:rPr>
          <w:rFonts w:cstheme="minorHAnsi"/>
        </w:rPr>
        <w:t xml:space="preserve"> sistema de información. </w:t>
      </w:r>
    </w:p>
    <w:p w:rsidR="00F55F13" w:rsidRDefault="000C4DE8" w:rsidP="00FE6400">
      <w:pPr>
        <w:jc w:val="both"/>
        <w:rPr>
          <w:rFonts w:cstheme="minorHAnsi"/>
        </w:rPr>
      </w:pPr>
      <w:r w:rsidRPr="000C4DE8">
        <w:rPr>
          <w:rFonts w:cstheme="minorHAnsi"/>
          <w:i/>
        </w:rPr>
        <w:t>“</w:t>
      </w:r>
      <w:r w:rsidR="00FE6400" w:rsidRPr="000C4DE8">
        <w:rPr>
          <w:rFonts w:cstheme="minorHAnsi"/>
          <w:i/>
        </w:rPr>
        <w:t xml:space="preserve">Para el primero se recomiendan medidas tendientes a incorporar buenas prácticas internacionales que enfatizan la gestión de los tiempos de espera, en base a procesos organizacionales que precisen el rol del médico contralor y favorezcan mecanismos de comunicación y </w:t>
      </w:r>
      <w:proofErr w:type="spellStart"/>
      <w:r w:rsidR="00FE6400" w:rsidRPr="000C4DE8">
        <w:rPr>
          <w:rFonts w:cstheme="minorHAnsi"/>
          <w:i/>
        </w:rPr>
        <w:t>contactabilidad</w:t>
      </w:r>
      <w:proofErr w:type="spellEnd"/>
      <w:r w:rsidR="00FE6400" w:rsidRPr="000C4DE8">
        <w:rPr>
          <w:rFonts w:cstheme="minorHAnsi"/>
          <w:i/>
        </w:rPr>
        <w:t xml:space="preserve"> con los pacientes, que refuercen el rol Rector del Ministerio de Salud, que generen mayor cobertura de atención a grupos con menor acceso y que la atención de pacientes derivados se base en protocolos que contengan criterios de priorización centrados en el paciente, tales como tiempos máximos de antigüedad por patología, asociado a criterio clínico de gravedad y discapacidad generada, así como criterios sociales relacionados con el deterioro de la situación de salud del paciente y sus costos asociados. Para el segundo se recomiendan acciones orientadas a mejorar los estándares de información relacionados con las mediciones de monitoreo y evaluación de la gestión de tiempos y listas de espera, formalizar el procesamiento de datos y la mejora de la calidad de los datos,  profesionalizar la producción de información traspasándola al Departamento de Estadísticas del Ministerio y rediseñar el sistema informático, introduciendo mejoras al software que apoyen los procesos de trabajo con alertas y validaciones internas de datos, además de corregir los problemas actuales que presenta</w:t>
      </w:r>
      <w:r w:rsidRPr="000C4DE8">
        <w:rPr>
          <w:rFonts w:cstheme="minorHAnsi"/>
          <w:i/>
        </w:rPr>
        <w:t>”</w:t>
      </w:r>
      <w:r w:rsidR="00FE6400" w:rsidRPr="00FE6400">
        <w:rPr>
          <w:rFonts w:cstheme="minorHAnsi"/>
        </w:rPr>
        <w:t>.</w:t>
      </w:r>
    </w:p>
    <w:p w:rsidR="00FE6400" w:rsidRDefault="000C4DE8" w:rsidP="00EE61DE">
      <w:pPr>
        <w:jc w:val="both"/>
        <w:rPr>
          <w:rFonts w:cstheme="minorHAnsi"/>
        </w:rPr>
      </w:pPr>
      <w:r>
        <w:rPr>
          <w:rFonts w:cstheme="minorHAnsi"/>
        </w:rPr>
        <w:t xml:space="preserve">Cabe destacar entonces que la comisión detecta irregularidades en las cifras de fallecimientos, vacíos de información, problemas con la gestión y con el manejo de la información. </w:t>
      </w:r>
    </w:p>
    <w:p w:rsidR="000C4DE8" w:rsidRDefault="000C4DE8" w:rsidP="00EE61DE">
      <w:pPr>
        <w:jc w:val="both"/>
        <w:rPr>
          <w:rFonts w:cstheme="minorHAnsi"/>
        </w:rPr>
      </w:pPr>
      <w:r>
        <w:rPr>
          <w:rFonts w:cstheme="minorHAnsi"/>
        </w:rPr>
        <w:t>Por otra parte, un factor que no es suficientemente analizado por la Comisión: es la de falta de médicos cirujanos en Chile, fundamentalmente en el sector público, siendo éste un problema analizado por el ejecutivo y el legislativo, la sociedad civil y las autoridades municipales.</w:t>
      </w:r>
    </w:p>
    <w:p w:rsidR="000C4DE8" w:rsidRDefault="00A0071F" w:rsidP="00EE61DE">
      <w:pPr>
        <w:jc w:val="both"/>
        <w:rPr>
          <w:rFonts w:cstheme="minorHAnsi"/>
        </w:rPr>
      </w:pPr>
      <w:r>
        <w:rPr>
          <w:rFonts w:cstheme="minorHAnsi"/>
        </w:rPr>
        <w:t>Dice el informe:</w:t>
      </w:r>
    </w:p>
    <w:p w:rsidR="00A0071F" w:rsidRPr="00A0071F" w:rsidRDefault="00A0071F" w:rsidP="00A0071F">
      <w:pPr>
        <w:jc w:val="both"/>
        <w:rPr>
          <w:rFonts w:cstheme="minorHAnsi"/>
          <w:i/>
        </w:rPr>
      </w:pPr>
      <w:r w:rsidRPr="00A0071F">
        <w:rPr>
          <w:rFonts w:cstheme="minorHAnsi"/>
          <w:i/>
        </w:rPr>
        <w:t xml:space="preserve">Las Consultas de Especialidad (Totales) corresponden a 7.892.231 en el año 2016, lo que representa un aumento de 10,4% con respecto al 2012. </w:t>
      </w:r>
      <w:r>
        <w:rPr>
          <w:rFonts w:cstheme="minorHAnsi"/>
          <w:i/>
        </w:rPr>
        <w:t xml:space="preserve"> </w:t>
      </w:r>
      <w:r w:rsidRPr="00A0071F">
        <w:rPr>
          <w:rFonts w:cstheme="minorHAnsi"/>
          <w:b/>
          <w:i/>
        </w:rPr>
        <w:t>Estos incrementos coinciden con estrategias de mejora en la Gestión de la devolución de Médicos que completan sus programas de formación de especialidad y deben cumplir con el período asistencial obligatorio. También contribuye el desarrollo de proyectos de inversión sectorial con apertura de nuevos Hospitales, entre otras estrategias.</w:t>
      </w:r>
      <w:r w:rsidRPr="00A0071F">
        <w:rPr>
          <w:rFonts w:cstheme="minorHAnsi"/>
          <w:i/>
        </w:rPr>
        <w:t xml:space="preserve"> </w:t>
      </w:r>
    </w:p>
    <w:p w:rsidR="00A0071F" w:rsidRPr="00A0071F" w:rsidRDefault="00A0071F" w:rsidP="00A0071F">
      <w:pPr>
        <w:jc w:val="both"/>
        <w:rPr>
          <w:rFonts w:cstheme="minorHAnsi"/>
          <w:i/>
        </w:rPr>
      </w:pPr>
      <w:r w:rsidRPr="00A0071F">
        <w:rPr>
          <w:rFonts w:cstheme="minorHAnsi"/>
          <w:i/>
        </w:rPr>
        <w:t>En el RNLE para el mismo año (2016), se registran 2.593.418 derivaciones para Consulta Nueva de Especialidad, lo que representa un 32,8% del total de Producción (consultas nuevas y repetidas) de este tipo de prestación para ese año. De ellas se resolvió 45%.</w:t>
      </w:r>
    </w:p>
    <w:p w:rsidR="00A0071F" w:rsidRPr="00A0071F" w:rsidRDefault="00A0071F" w:rsidP="00A0071F">
      <w:pPr>
        <w:jc w:val="both"/>
        <w:rPr>
          <w:rFonts w:cstheme="minorHAnsi"/>
          <w:i/>
        </w:rPr>
      </w:pPr>
      <w:r w:rsidRPr="00A0071F">
        <w:rPr>
          <w:rFonts w:cstheme="minorHAnsi"/>
          <w:i/>
        </w:rPr>
        <w:t>En Cirugías Mayores, Ambulatorias y no Ambulatorias, incluyendo las de Urgencia, el año 2016 la producción fue de 575.948, mostrando un aumento de 31.615 cirugías de este tipo con respecto al año 2012. En el RNLE la demanda ese año fue de 334.998 derivaciones, de las cuales se resolvió un 30%.</w:t>
      </w:r>
    </w:p>
    <w:p w:rsidR="00A0071F" w:rsidRDefault="00A0071F" w:rsidP="00EE61DE">
      <w:pPr>
        <w:jc w:val="both"/>
        <w:rPr>
          <w:rFonts w:cstheme="minorHAnsi"/>
        </w:rPr>
      </w:pPr>
      <w:r>
        <w:rPr>
          <w:rFonts w:cstheme="minorHAnsi"/>
        </w:rPr>
        <w:t>La comisión aborda como un aspecto colateral, la temática de la falta de médicos, en relación a los parámetros de la OCDE y no de los parámetros de la región (donde hay una clara desventaja en relación a algunos países):</w:t>
      </w:r>
    </w:p>
    <w:p w:rsidR="00A0071F" w:rsidRPr="00A0071F" w:rsidRDefault="00A0071F" w:rsidP="00EE61DE">
      <w:pPr>
        <w:jc w:val="both"/>
        <w:rPr>
          <w:rFonts w:cstheme="minorHAnsi"/>
          <w:i/>
        </w:rPr>
      </w:pPr>
      <w:r w:rsidRPr="00A0071F">
        <w:rPr>
          <w:rFonts w:cstheme="minorHAnsi"/>
          <w:i/>
        </w:rPr>
        <w:lastRenderedPageBreak/>
        <w:t>Sin embargo, también debe señalarse que, en términos comparativos con los estándares de la Organización para la Cooperación y el Desarrollo Económico (OCDE) que Chile integra, los recursos con que actualmente cuenta el sistema de salud chileno muestran importantes déficits en áreas críticas como médicos por mil habitantes y camas hospitalarias totales (sumadas públicas y privadas). Esta situación estructural agrega mayor dificultad a la gestión de los tiempos de espera.</w:t>
      </w:r>
    </w:p>
    <w:p w:rsidR="00A0071F" w:rsidRDefault="00A0071F" w:rsidP="00EE61DE">
      <w:pPr>
        <w:jc w:val="both"/>
        <w:rPr>
          <w:rFonts w:cstheme="minorHAnsi"/>
        </w:rPr>
      </w:pPr>
      <w:r>
        <w:rPr>
          <w:rFonts w:cstheme="minorHAnsi"/>
        </w:rPr>
        <w:t>En ese sentido, es necesario explorar posibles conflictos de intereses entre quienes integran la comisión e instituciones que han cuestionado repetidamente la formación de médicos titulados en el extranjero (dirección de EUNACOM, ASOFAMECH y Colegio Médico).</w:t>
      </w:r>
    </w:p>
    <w:p w:rsidR="00A0071F" w:rsidRDefault="00A0071F" w:rsidP="00EE61DE">
      <w:pPr>
        <w:jc w:val="both"/>
        <w:rPr>
          <w:rFonts w:cstheme="minorHAnsi"/>
        </w:rPr>
      </w:pPr>
    </w:p>
    <w:p w:rsidR="00A0071F" w:rsidRDefault="00A0071F" w:rsidP="00A0071F">
      <w:pPr>
        <w:pStyle w:val="Prrafodelista"/>
        <w:numPr>
          <w:ilvl w:val="0"/>
          <w:numId w:val="2"/>
        </w:numPr>
        <w:jc w:val="both"/>
        <w:rPr>
          <w:rFonts w:cstheme="minorHAnsi"/>
        </w:rPr>
      </w:pPr>
      <w:r>
        <w:rPr>
          <w:rFonts w:cstheme="minorHAnsi"/>
        </w:rPr>
        <w:t>INFORME DE CONTRALORÍA GENERAL DE LA REPÚBLICA</w:t>
      </w:r>
      <w:r w:rsidR="00A32107">
        <w:rPr>
          <w:rFonts w:cstheme="minorHAnsi"/>
        </w:rPr>
        <w:t xml:space="preserve"> (9 de agosto de 2017)</w:t>
      </w:r>
    </w:p>
    <w:p w:rsidR="00A32107" w:rsidRDefault="00A32107" w:rsidP="00A32107">
      <w:pPr>
        <w:jc w:val="both"/>
        <w:rPr>
          <w:rFonts w:cstheme="minorHAnsi"/>
        </w:rPr>
      </w:pPr>
    </w:p>
    <w:p w:rsidR="00A32107" w:rsidRDefault="00A32107" w:rsidP="00A32107">
      <w:pPr>
        <w:jc w:val="both"/>
        <w:rPr>
          <w:rFonts w:cstheme="minorHAnsi"/>
        </w:rPr>
      </w:pPr>
      <w:r>
        <w:rPr>
          <w:rFonts w:cstheme="minorHAnsi"/>
        </w:rPr>
        <w:t>Se realiza una fiscalización de las garantías GES y de las cirugía no GES, generándose un informe consolidado de 23 centros hospitalarios de Chile. Ello en respuesta a solicitudes de diversos parlamentarios, a las propias potestades de Contraloría y atendiendo a los compromisos asumidos por Chile en el plano de su pertenencia al sistema de Naciones Unidas</w:t>
      </w:r>
      <w:r w:rsidR="00596705">
        <w:rPr>
          <w:rFonts w:cstheme="minorHAnsi"/>
        </w:rPr>
        <w:t>.</w:t>
      </w:r>
    </w:p>
    <w:p w:rsidR="00596705" w:rsidRDefault="00596705" w:rsidP="00A32107">
      <w:pPr>
        <w:jc w:val="both"/>
        <w:rPr>
          <w:rFonts w:cstheme="minorHAnsi"/>
        </w:rPr>
      </w:pPr>
    </w:p>
    <w:p w:rsidR="00596705" w:rsidRDefault="00596705" w:rsidP="00A32107">
      <w:pPr>
        <w:jc w:val="both"/>
        <w:rPr>
          <w:rFonts w:cstheme="minorHAnsi"/>
        </w:rPr>
      </w:pPr>
    </w:p>
    <w:p w:rsidR="00A32107" w:rsidRPr="00A32107" w:rsidRDefault="00A32107" w:rsidP="00A32107">
      <w:pPr>
        <w:jc w:val="both"/>
        <w:rPr>
          <w:rFonts w:cstheme="minorHAnsi"/>
        </w:rPr>
      </w:pPr>
    </w:p>
    <w:p w:rsidR="00A0071F" w:rsidRDefault="00596705" w:rsidP="00A0071F">
      <w:pPr>
        <w:jc w:val="both"/>
        <w:rPr>
          <w:rFonts w:cstheme="minorHAnsi"/>
        </w:rPr>
      </w:pPr>
      <w:r w:rsidRPr="00596705">
        <w:rPr>
          <w:rFonts w:cstheme="minorHAnsi"/>
          <w:noProof/>
          <w:lang w:eastAsia="es-CL"/>
        </w:rPr>
        <w:drawing>
          <wp:inline distT="0" distB="0" distL="0" distR="0">
            <wp:extent cx="5612130" cy="3566183"/>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566183"/>
                    </a:xfrm>
                    <a:prstGeom prst="rect">
                      <a:avLst/>
                    </a:prstGeom>
                    <a:noFill/>
                    <a:ln>
                      <a:noFill/>
                    </a:ln>
                  </pic:spPr>
                </pic:pic>
              </a:graphicData>
            </a:graphic>
          </wp:inline>
        </w:drawing>
      </w:r>
    </w:p>
    <w:p w:rsidR="00596705" w:rsidRDefault="00596705" w:rsidP="00A0071F">
      <w:pPr>
        <w:jc w:val="both"/>
        <w:rPr>
          <w:rFonts w:cstheme="minorHAnsi"/>
        </w:rPr>
      </w:pPr>
    </w:p>
    <w:p w:rsidR="00596705" w:rsidRDefault="00596705" w:rsidP="00A0071F">
      <w:pPr>
        <w:jc w:val="both"/>
        <w:rPr>
          <w:rFonts w:cstheme="minorHAnsi"/>
        </w:rPr>
      </w:pPr>
    </w:p>
    <w:p w:rsidR="00596705" w:rsidRDefault="00596705" w:rsidP="00A0071F">
      <w:pPr>
        <w:jc w:val="both"/>
        <w:rPr>
          <w:rFonts w:cstheme="minorHAnsi"/>
        </w:rPr>
      </w:pPr>
      <w:r w:rsidRPr="00596705">
        <w:rPr>
          <w:rFonts w:cstheme="minorHAnsi"/>
          <w:noProof/>
          <w:lang w:eastAsia="es-CL"/>
        </w:rPr>
        <w:drawing>
          <wp:inline distT="0" distB="0" distL="0" distR="0">
            <wp:extent cx="5612130" cy="35481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548180"/>
                    </a:xfrm>
                    <a:prstGeom prst="rect">
                      <a:avLst/>
                    </a:prstGeom>
                    <a:noFill/>
                    <a:ln>
                      <a:noFill/>
                    </a:ln>
                  </pic:spPr>
                </pic:pic>
              </a:graphicData>
            </a:graphic>
          </wp:inline>
        </w:drawing>
      </w:r>
    </w:p>
    <w:p w:rsidR="00596705" w:rsidRDefault="00596705" w:rsidP="00A0071F">
      <w:pPr>
        <w:jc w:val="both"/>
        <w:rPr>
          <w:rFonts w:cstheme="minorHAnsi"/>
        </w:rPr>
      </w:pPr>
    </w:p>
    <w:p w:rsidR="00596705" w:rsidRDefault="006233F9" w:rsidP="00A0071F">
      <w:pPr>
        <w:jc w:val="both"/>
        <w:rPr>
          <w:rFonts w:cstheme="minorHAnsi"/>
        </w:rPr>
      </w:pPr>
      <w:r w:rsidRPr="006233F9">
        <w:rPr>
          <w:rFonts w:cstheme="minorHAnsi"/>
          <w:noProof/>
          <w:lang w:eastAsia="es-CL"/>
        </w:rPr>
        <w:lastRenderedPageBreak/>
        <w:drawing>
          <wp:inline distT="0" distB="0" distL="0" distR="0">
            <wp:extent cx="5612130" cy="4501676"/>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501676"/>
                    </a:xfrm>
                    <a:prstGeom prst="rect">
                      <a:avLst/>
                    </a:prstGeom>
                    <a:noFill/>
                    <a:ln>
                      <a:noFill/>
                    </a:ln>
                  </pic:spPr>
                </pic:pic>
              </a:graphicData>
            </a:graphic>
          </wp:inline>
        </w:drawing>
      </w:r>
    </w:p>
    <w:p w:rsidR="00596705" w:rsidRDefault="00596705" w:rsidP="00A0071F">
      <w:pPr>
        <w:jc w:val="both"/>
        <w:rPr>
          <w:rFonts w:cstheme="minorHAnsi"/>
        </w:rPr>
      </w:pPr>
    </w:p>
    <w:p w:rsidR="006233F9" w:rsidRDefault="006233F9" w:rsidP="00A0071F">
      <w:pPr>
        <w:jc w:val="both"/>
        <w:rPr>
          <w:rFonts w:cstheme="minorHAnsi"/>
        </w:rPr>
      </w:pPr>
      <w:r>
        <w:rPr>
          <w:rFonts w:cstheme="minorHAnsi"/>
        </w:rPr>
        <w:t>Cabe considerar que los 23 centros hospitalarios - correspondientes a 22 servicios de salud – tienen 60 días de plazo para responder a la CGR la modalidad mediante la cual se van a solucionar las irregularidades detectadas. Han sido informadas ambas comisiones de salud de diputados y senadores, además del MINSAL.</w:t>
      </w:r>
    </w:p>
    <w:p w:rsidR="0049590F" w:rsidRPr="0049590F" w:rsidRDefault="0049590F" w:rsidP="0049590F">
      <w:pPr>
        <w:jc w:val="both"/>
        <w:rPr>
          <w:rFonts w:cstheme="minorHAnsi"/>
        </w:rPr>
      </w:pPr>
    </w:p>
    <w:p w:rsidR="006233F9" w:rsidRDefault="006233F9" w:rsidP="00A0071F">
      <w:pPr>
        <w:jc w:val="both"/>
        <w:rPr>
          <w:rFonts w:cstheme="minorHAnsi"/>
        </w:rPr>
      </w:pPr>
      <w:r>
        <w:rPr>
          <w:rFonts w:cstheme="minorHAnsi"/>
        </w:rPr>
        <w:t xml:space="preserve">Este informe de Contraloría devela problemáticas en la gestión – que también pueden corresponder a la falta de recursos humanos suficientes y a su idoneidad - que complementan lo </w:t>
      </w:r>
      <w:r w:rsidR="000E5370">
        <w:rPr>
          <w:rFonts w:cstheme="minorHAnsi"/>
        </w:rPr>
        <w:t xml:space="preserve">planteado por la comisión asesora de MINSAL. Y que si bien su objeto de estudio, la modalidad de investigación y los plazos no son similares, tienden a coincidir en la grave problemática que afecta a la Salud Pública en Chile y la falta de garantías para cumplir con el derecho básico de atención oportuna a la salud. Ello constituye además, un componente fundamental de la tan mencionada </w:t>
      </w:r>
      <w:r w:rsidR="000E5370" w:rsidRPr="000E5370">
        <w:rPr>
          <w:rFonts w:cstheme="minorHAnsi"/>
          <w:b/>
        </w:rPr>
        <w:t xml:space="preserve">calidad de atención en salud. </w:t>
      </w:r>
      <w:r w:rsidR="000E5370">
        <w:rPr>
          <w:rFonts w:cstheme="minorHAnsi"/>
        </w:rPr>
        <w:t xml:space="preserve"> </w:t>
      </w:r>
      <w:r>
        <w:rPr>
          <w:rFonts w:cstheme="minorHAnsi"/>
        </w:rPr>
        <w:t xml:space="preserve"> </w:t>
      </w:r>
    </w:p>
    <w:p w:rsidR="000E5370" w:rsidRDefault="000E5370" w:rsidP="00A0071F">
      <w:pPr>
        <w:jc w:val="both"/>
        <w:rPr>
          <w:rFonts w:cstheme="minorHAnsi"/>
        </w:rPr>
      </w:pPr>
    </w:p>
    <w:p w:rsidR="000C4DE8" w:rsidRDefault="000E5370" w:rsidP="00EE61DE">
      <w:pPr>
        <w:jc w:val="both"/>
        <w:rPr>
          <w:rFonts w:cstheme="minorHAnsi"/>
        </w:rPr>
      </w:pP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Carlos Güida</w:t>
      </w:r>
    </w:p>
    <w:p w:rsidR="00AB5D04" w:rsidRPr="00EE61DE" w:rsidRDefault="00AB5D04" w:rsidP="00EE61DE">
      <w:pPr>
        <w:jc w:val="both"/>
        <w:rPr>
          <w:rFonts w:cstheme="minorHAnsi"/>
        </w:rPr>
      </w:pPr>
    </w:p>
    <w:p w:rsidR="00AB5D04" w:rsidRPr="00EE61DE" w:rsidRDefault="00AB5D04" w:rsidP="00EE61DE">
      <w:pPr>
        <w:jc w:val="both"/>
        <w:rPr>
          <w:rFonts w:cstheme="minorHAnsi"/>
        </w:rPr>
      </w:pPr>
    </w:p>
    <w:p w:rsidR="00AB5D04" w:rsidRPr="00EE61DE" w:rsidRDefault="00AB5D04" w:rsidP="00EE61DE">
      <w:pPr>
        <w:jc w:val="both"/>
        <w:rPr>
          <w:rFonts w:cstheme="minorHAnsi"/>
        </w:rPr>
      </w:pPr>
    </w:p>
    <w:p w:rsidR="00AB5D04" w:rsidRPr="00EE61DE" w:rsidRDefault="00AB5D04" w:rsidP="00EE61DE">
      <w:pPr>
        <w:jc w:val="both"/>
        <w:rPr>
          <w:rFonts w:cstheme="minorHAnsi"/>
        </w:rPr>
      </w:pPr>
    </w:p>
    <w:p w:rsidR="00AB5D04" w:rsidRPr="00EE61DE" w:rsidRDefault="00AB5D04" w:rsidP="00EE61DE">
      <w:pPr>
        <w:jc w:val="both"/>
        <w:rPr>
          <w:rFonts w:cstheme="minorHAnsi"/>
        </w:rPr>
      </w:pPr>
      <w:r w:rsidRPr="00EE61DE">
        <w:rPr>
          <w:rFonts w:cstheme="minorHAnsi"/>
        </w:rPr>
        <w:t xml:space="preserve"> </w:t>
      </w:r>
    </w:p>
    <w:p w:rsidR="00AB5D04" w:rsidRPr="00EE61DE" w:rsidRDefault="00AB5D04" w:rsidP="00EE61DE">
      <w:pPr>
        <w:jc w:val="both"/>
        <w:rPr>
          <w:rFonts w:cstheme="minorHAnsi"/>
        </w:rPr>
      </w:pPr>
    </w:p>
    <w:p w:rsidR="00AB5D04" w:rsidRPr="00EE61DE" w:rsidRDefault="00AB5D04" w:rsidP="00EE61DE">
      <w:pPr>
        <w:jc w:val="both"/>
        <w:rPr>
          <w:rFonts w:cstheme="minorHAnsi"/>
        </w:rPr>
      </w:pPr>
    </w:p>
    <w:p w:rsidR="00B83C32" w:rsidRPr="00EE61DE" w:rsidRDefault="005800DA" w:rsidP="00EE61DE">
      <w:pPr>
        <w:jc w:val="both"/>
        <w:rPr>
          <w:rFonts w:cstheme="minorHAnsi"/>
          <w:b/>
        </w:rPr>
      </w:pPr>
      <w:r w:rsidRPr="00EE61DE">
        <w:rPr>
          <w:rFonts w:cstheme="minorHAnsi"/>
          <w:b/>
        </w:rPr>
        <w:tab/>
      </w:r>
      <w:r w:rsidRPr="00EE61DE">
        <w:rPr>
          <w:rFonts w:cstheme="minorHAnsi"/>
          <w:b/>
        </w:rPr>
        <w:tab/>
      </w:r>
      <w:r w:rsidRPr="00EE61DE">
        <w:rPr>
          <w:rFonts w:cstheme="minorHAnsi"/>
          <w:b/>
        </w:rPr>
        <w:tab/>
      </w:r>
      <w:r w:rsidRPr="00EE61DE">
        <w:rPr>
          <w:rFonts w:cstheme="minorHAnsi"/>
          <w:b/>
        </w:rPr>
        <w:tab/>
      </w:r>
    </w:p>
    <w:sectPr w:rsidR="00B83C32" w:rsidRPr="00EE61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105CB1"/>
    <w:multiLevelType w:val="hybridMultilevel"/>
    <w:tmpl w:val="9D50B7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6278668B"/>
    <w:multiLevelType w:val="hybridMultilevel"/>
    <w:tmpl w:val="ABF2DA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632"/>
    <w:rsid w:val="000C4DE8"/>
    <w:rsid w:val="000E5370"/>
    <w:rsid w:val="0049590F"/>
    <w:rsid w:val="005800DA"/>
    <w:rsid w:val="00596705"/>
    <w:rsid w:val="006233F9"/>
    <w:rsid w:val="00655632"/>
    <w:rsid w:val="00A0071F"/>
    <w:rsid w:val="00A32107"/>
    <w:rsid w:val="00A86669"/>
    <w:rsid w:val="00AB5D04"/>
    <w:rsid w:val="00B43AB1"/>
    <w:rsid w:val="00B77D54"/>
    <w:rsid w:val="00B83C32"/>
    <w:rsid w:val="00C01FDB"/>
    <w:rsid w:val="00CA1A6A"/>
    <w:rsid w:val="00DB10FA"/>
    <w:rsid w:val="00EE61DE"/>
    <w:rsid w:val="00F55F13"/>
    <w:rsid w:val="00FE640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B9EE71-3764-422C-BCB4-7C23F0F2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B5D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2010</Words>
  <Characters>11059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dc:creator>
  <cp:keywords/>
  <dc:description/>
  <cp:lastModifiedBy>Alejandro</cp:lastModifiedBy>
  <cp:revision>2</cp:revision>
  <dcterms:created xsi:type="dcterms:W3CDTF">2017-09-05T09:32:00Z</dcterms:created>
  <dcterms:modified xsi:type="dcterms:W3CDTF">2017-09-05T09:32:00Z</dcterms:modified>
</cp:coreProperties>
</file>