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1BD" w:rsidRDefault="00CC31BD">
      <w:pPr>
        <w:rPr>
          <w:sz w:val="24"/>
          <w:szCs w:val="24"/>
          <w:lang w:val="es-CL"/>
        </w:rPr>
      </w:pPr>
      <w:bookmarkStart w:id="0" w:name="_GoBack"/>
      <w:bookmarkEnd w:id="0"/>
    </w:p>
    <w:p w:rsidR="00CC31BD" w:rsidRDefault="00CC31BD">
      <w:pPr>
        <w:rPr>
          <w:sz w:val="24"/>
          <w:szCs w:val="24"/>
          <w:lang w:val="es-CL"/>
        </w:rPr>
      </w:pPr>
    </w:p>
    <w:p w:rsidR="00CC31BD" w:rsidRDefault="00CC31BD">
      <w:pPr>
        <w:rPr>
          <w:sz w:val="24"/>
          <w:szCs w:val="24"/>
          <w:lang w:val="es-CL"/>
        </w:rPr>
      </w:pPr>
    </w:p>
    <w:p w:rsidR="00CC31BD" w:rsidRPr="00CC31BD" w:rsidRDefault="00CC31BD" w:rsidP="00CC31BD">
      <w:pPr>
        <w:jc w:val="center"/>
        <w:rPr>
          <w:b/>
          <w:sz w:val="28"/>
          <w:szCs w:val="28"/>
          <w:lang w:val="es-CL"/>
        </w:rPr>
      </w:pPr>
      <w:r w:rsidRPr="00CC31BD">
        <w:rPr>
          <w:b/>
          <w:sz w:val="28"/>
          <w:szCs w:val="28"/>
          <w:lang w:val="es-CL"/>
        </w:rPr>
        <w:t>Indicaciones</w:t>
      </w:r>
    </w:p>
    <w:p w:rsidR="00CC31BD" w:rsidRPr="00CC31BD" w:rsidRDefault="00CC31BD" w:rsidP="00CC31BD">
      <w:pPr>
        <w:jc w:val="center"/>
        <w:rPr>
          <w:b/>
          <w:sz w:val="28"/>
          <w:szCs w:val="28"/>
          <w:lang w:val="es-CL"/>
        </w:rPr>
      </w:pPr>
    </w:p>
    <w:p w:rsidR="00CC31BD" w:rsidRPr="00CC31BD" w:rsidRDefault="00CC31BD" w:rsidP="00CC31BD">
      <w:pPr>
        <w:jc w:val="center"/>
        <w:rPr>
          <w:b/>
          <w:sz w:val="28"/>
          <w:szCs w:val="28"/>
          <w:lang w:val="es-CL"/>
        </w:rPr>
      </w:pPr>
    </w:p>
    <w:p w:rsidR="00CC31BD" w:rsidRPr="00CC31BD" w:rsidRDefault="00CC31BD" w:rsidP="00CC31BD">
      <w:pPr>
        <w:jc w:val="center"/>
        <w:rPr>
          <w:b/>
          <w:sz w:val="28"/>
          <w:szCs w:val="28"/>
          <w:lang w:val="es-CL"/>
        </w:rPr>
      </w:pPr>
      <w:r w:rsidRPr="00CC31BD">
        <w:rPr>
          <w:b/>
          <w:sz w:val="28"/>
          <w:szCs w:val="28"/>
          <w:lang w:val="es-CL"/>
        </w:rPr>
        <w:t>Proyecto Sobre Derecho de las Mujeres a una vida libre de Violencia</w:t>
      </w:r>
    </w:p>
    <w:p w:rsidR="00CC31BD" w:rsidRPr="00CC31BD" w:rsidRDefault="00CC31BD" w:rsidP="00CC31BD">
      <w:pPr>
        <w:jc w:val="center"/>
        <w:rPr>
          <w:b/>
          <w:sz w:val="28"/>
          <w:szCs w:val="28"/>
          <w:lang w:val="es-CL"/>
        </w:rPr>
      </w:pPr>
    </w:p>
    <w:p w:rsidR="00CC31BD" w:rsidRPr="00CC31BD" w:rsidRDefault="00CC31BD" w:rsidP="00CC31BD">
      <w:pPr>
        <w:ind w:left="1416" w:firstLine="708"/>
        <w:rPr>
          <w:b/>
          <w:sz w:val="28"/>
          <w:szCs w:val="28"/>
          <w:lang w:val="es-CL"/>
        </w:rPr>
      </w:pPr>
      <w:r w:rsidRPr="00CC31BD">
        <w:rPr>
          <w:b/>
          <w:sz w:val="28"/>
          <w:szCs w:val="28"/>
          <w:lang w:val="es-CL"/>
        </w:rPr>
        <w:t xml:space="preserve">                           Boletín 11077-07</w:t>
      </w:r>
    </w:p>
    <w:p w:rsidR="00CC31BD" w:rsidRPr="00CC31BD" w:rsidRDefault="00CC31BD" w:rsidP="00CC31BD">
      <w:pPr>
        <w:jc w:val="center"/>
        <w:rPr>
          <w:b/>
          <w:sz w:val="28"/>
          <w:szCs w:val="28"/>
          <w:lang w:val="es-CL"/>
        </w:rPr>
      </w:pPr>
    </w:p>
    <w:p w:rsidR="00CC31BD" w:rsidRPr="00CC31BD" w:rsidRDefault="00CC31BD">
      <w:pPr>
        <w:rPr>
          <w:b/>
          <w:sz w:val="28"/>
          <w:szCs w:val="28"/>
          <w:lang w:val="es-CL"/>
        </w:rPr>
      </w:pPr>
    </w:p>
    <w:p w:rsidR="00CC31BD" w:rsidRPr="00CC31BD" w:rsidRDefault="00CC31BD">
      <w:pPr>
        <w:rPr>
          <w:b/>
          <w:sz w:val="28"/>
          <w:szCs w:val="28"/>
          <w:lang w:val="es-CL"/>
        </w:rPr>
      </w:pPr>
    </w:p>
    <w:p w:rsidR="00CC31BD" w:rsidRPr="00CC31BD" w:rsidRDefault="00CC31BD">
      <w:pPr>
        <w:rPr>
          <w:b/>
          <w:sz w:val="28"/>
          <w:szCs w:val="28"/>
          <w:lang w:val="es-CL"/>
        </w:rPr>
      </w:pPr>
    </w:p>
    <w:p w:rsidR="00CC31BD" w:rsidRPr="00CC31BD" w:rsidRDefault="00CC31BD">
      <w:pPr>
        <w:rPr>
          <w:b/>
          <w:sz w:val="28"/>
          <w:szCs w:val="28"/>
          <w:lang w:val="es-CL"/>
        </w:rPr>
      </w:pPr>
    </w:p>
    <w:p w:rsidR="00CC31BD" w:rsidRPr="00CC31BD" w:rsidRDefault="00CC31BD">
      <w:pPr>
        <w:rPr>
          <w:b/>
          <w:sz w:val="28"/>
          <w:szCs w:val="28"/>
          <w:lang w:val="es-CL"/>
        </w:rPr>
      </w:pPr>
    </w:p>
    <w:p w:rsidR="00CC31BD" w:rsidRPr="00CC31BD" w:rsidRDefault="00CC31BD" w:rsidP="00CC31BD">
      <w:pPr>
        <w:jc w:val="center"/>
        <w:rPr>
          <w:b/>
          <w:sz w:val="28"/>
          <w:szCs w:val="28"/>
          <w:lang w:val="es-CL"/>
        </w:rPr>
      </w:pPr>
      <w:r w:rsidRPr="00CC31BD">
        <w:rPr>
          <w:b/>
          <w:sz w:val="28"/>
          <w:szCs w:val="28"/>
          <w:lang w:val="es-CL"/>
        </w:rPr>
        <w:t>Leonardo Estradé-Brancoli</w:t>
      </w:r>
    </w:p>
    <w:p w:rsidR="00CC31BD" w:rsidRPr="00CC31BD" w:rsidRDefault="00CC31BD" w:rsidP="00CC31BD">
      <w:pPr>
        <w:jc w:val="center"/>
        <w:rPr>
          <w:b/>
          <w:sz w:val="28"/>
          <w:szCs w:val="28"/>
          <w:lang w:val="es-CL"/>
        </w:rPr>
      </w:pPr>
    </w:p>
    <w:p w:rsidR="00CC31BD" w:rsidRPr="00CC31BD" w:rsidRDefault="00CC31BD" w:rsidP="00CC31BD">
      <w:pPr>
        <w:jc w:val="center"/>
        <w:rPr>
          <w:b/>
          <w:sz w:val="28"/>
          <w:szCs w:val="28"/>
          <w:lang w:val="es-CL"/>
        </w:rPr>
      </w:pPr>
    </w:p>
    <w:p w:rsidR="00CC31BD" w:rsidRPr="00CC31BD" w:rsidRDefault="00CC31BD" w:rsidP="00CC31BD">
      <w:pPr>
        <w:jc w:val="center"/>
        <w:rPr>
          <w:b/>
          <w:sz w:val="28"/>
          <w:szCs w:val="28"/>
          <w:lang w:val="es-CL"/>
        </w:rPr>
      </w:pPr>
      <w:r w:rsidRPr="00CC31BD">
        <w:rPr>
          <w:b/>
          <w:sz w:val="28"/>
          <w:szCs w:val="28"/>
          <w:lang w:val="es-CL"/>
        </w:rPr>
        <w:t>Asesor Legislativo</w:t>
      </w:r>
    </w:p>
    <w:p w:rsidR="00CC31BD" w:rsidRPr="00CC31BD" w:rsidRDefault="00CC31BD" w:rsidP="00CC31BD">
      <w:pPr>
        <w:jc w:val="center"/>
        <w:rPr>
          <w:b/>
          <w:sz w:val="28"/>
          <w:szCs w:val="28"/>
          <w:lang w:val="es-CL"/>
        </w:rPr>
      </w:pPr>
    </w:p>
    <w:p w:rsidR="00CC31BD" w:rsidRPr="00CC31BD" w:rsidRDefault="00CC31BD" w:rsidP="00CC31BD">
      <w:pPr>
        <w:jc w:val="center"/>
        <w:rPr>
          <w:b/>
          <w:sz w:val="28"/>
          <w:szCs w:val="28"/>
          <w:lang w:val="es-CL"/>
        </w:rPr>
      </w:pPr>
    </w:p>
    <w:p w:rsidR="00CC31BD" w:rsidRPr="00CC31BD" w:rsidRDefault="00CC31BD" w:rsidP="00CC31BD">
      <w:pPr>
        <w:jc w:val="center"/>
        <w:rPr>
          <w:b/>
          <w:sz w:val="28"/>
          <w:szCs w:val="28"/>
          <w:lang w:val="es-CL"/>
        </w:rPr>
      </w:pPr>
    </w:p>
    <w:p w:rsidR="00CC31BD" w:rsidRPr="00CC31BD" w:rsidRDefault="00CC31BD" w:rsidP="00CC31BD">
      <w:pPr>
        <w:jc w:val="center"/>
        <w:rPr>
          <w:b/>
          <w:sz w:val="28"/>
          <w:szCs w:val="28"/>
          <w:lang w:val="es-CL"/>
        </w:rPr>
      </w:pPr>
    </w:p>
    <w:p w:rsidR="00CC31BD" w:rsidRPr="00CC31BD" w:rsidRDefault="00CC31BD" w:rsidP="00CC31BD">
      <w:pPr>
        <w:jc w:val="center"/>
        <w:rPr>
          <w:b/>
          <w:sz w:val="28"/>
          <w:szCs w:val="28"/>
          <w:lang w:val="es-CL"/>
        </w:rPr>
      </w:pPr>
    </w:p>
    <w:p w:rsidR="00CC31BD" w:rsidRPr="00CC31BD" w:rsidRDefault="00CC31BD" w:rsidP="00CC31BD">
      <w:pPr>
        <w:jc w:val="center"/>
        <w:rPr>
          <w:b/>
          <w:sz w:val="28"/>
          <w:szCs w:val="28"/>
          <w:lang w:val="es-CL"/>
        </w:rPr>
      </w:pPr>
      <w:r w:rsidRPr="00CC31BD">
        <w:rPr>
          <w:b/>
          <w:sz w:val="28"/>
          <w:szCs w:val="28"/>
          <w:lang w:val="es-CL"/>
        </w:rPr>
        <w:t>2 de enero de 2017</w:t>
      </w:r>
    </w:p>
    <w:p w:rsidR="00CC31BD" w:rsidRPr="00CC31BD" w:rsidRDefault="00CC31BD">
      <w:pPr>
        <w:rPr>
          <w:b/>
          <w:sz w:val="28"/>
          <w:szCs w:val="28"/>
          <w:lang w:val="es-CL"/>
        </w:rPr>
      </w:pPr>
    </w:p>
    <w:p w:rsidR="00CC31BD" w:rsidRDefault="00CC31BD">
      <w:pPr>
        <w:rPr>
          <w:sz w:val="24"/>
          <w:szCs w:val="24"/>
          <w:lang w:val="es-CL"/>
        </w:rPr>
      </w:pPr>
    </w:p>
    <w:p w:rsidR="00CC31BD" w:rsidRDefault="00CC31BD">
      <w:pPr>
        <w:rPr>
          <w:sz w:val="24"/>
          <w:szCs w:val="24"/>
          <w:lang w:val="es-CL"/>
        </w:rPr>
      </w:pPr>
    </w:p>
    <w:p w:rsidR="00CC31BD" w:rsidRDefault="00CC31BD">
      <w:pPr>
        <w:rPr>
          <w:sz w:val="24"/>
          <w:szCs w:val="24"/>
          <w:lang w:val="es-CL"/>
        </w:rPr>
      </w:pPr>
    </w:p>
    <w:p w:rsidR="00CC31BD" w:rsidRDefault="00CC31BD">
      <w:pPr>
        <w:rPr>
          <w:sz w:val="24"/>
          <w:szCs w:val="24"/>
          <w:lang w:val="es-CL"/>
        </w:rPr>
      </w:pPr>
    </w:p>
    <w:p w:rsidR="00CC31BD" w:rsidRDefault="00CC31BD">
      <w:pPr>
        <w:rPr>
          <w:sz w:val="24"/>
          <w:szCs w:val="24"/>
          <w:lang w:val="es-CL"/>
        </w:rPr>
      </w:pPr>
    </w:p>
    <w:p w:rsidR="00CC31BD" w:rsidRDefault="00CC31BD">
      <w:pPr>
        <w:rPr>
          <w:sz w:val="24"/>
          <w:szCs w:val="24"/>
          <w:lang w:val="es-CL"/>
        </w:rPr>
      </w:pPr>
    </w:p>
    <w:p w:rsidR="00CC31BD" w:rsidRDefault="00CC31BD">
      <w:pPr>
        <w:rPr>
          <w:sz w:val="24"/>
          <w:szCs w:val="24"/>
          <w:lang w:val="es-CL"/>
        </w:rPr>
      </w:pPr>
    </w:p>
    <w:p w:rsidR="00CC31BD" w:rsidRDefault="00CC31BD">
      <w:pPr>
        <w:rPr>
          <w:sz w:val="24"/>
          <w:szCs w:val="24"/>
          <w:lang w:val="es-CL"/>
        </w:rPr>
      </w:pPr>
    </w:p>
    <w:p w:rsidR="00CC31BD" w:rsidRDefault="00CC31BD">
      <w:pPr>
        <w:rPr>
          <w:sz w:val="24"/>
          <w:szCs w:val="24"/>
          <w:lang w:val="es-CL"/>
        </w:rPr>
      </w:pPr>
    </w:p>
    <w:p w:rsidR="00CC31BD" w:rsidRDefault="00CC31BD">
      <w:pPr>
        <w:rPr>
          <w:sz w:val="24"/>
          <w:szCs w:val="24"/>
          <w:lang w:val="es-CL"/>
        </w:rPr>
      </w:pPr>
    </w:p>
    <w:p w:rsidR="00CC31BD" w:rsidRDefault="00CC31BD">
      <w:pPr>
        <w:rPr>
          <w:sz w:val="24"/>
          <w:szCs w:val="24"/>
          <w:lang w:val="es-CL"/>
        </w:rPr>
      </w:pPr>
    </w:p>
    <w:p w:rsidR="00CC31BD" w:rsidRDefault="00CC31BD">
      <w:pPr>
        <w:rPr>
          <w:sz w:val="24"/>
          <w:szCs w:val="24"/>
          <w:lang w:val="es-CL"/>
        </w:rPr>
      </w:pPr>
    </w:p>
    <w:p w:rsidR="00CC31BD" w:rsidRDefault="00CC31BD">
      <w:pPr>
        <w:rPr>
          <w:sz w:val="24"/>
          <w:szCs w:val="24"/>
          <w:lang w:val="es-CL"/>
        </w:rPr>
      </w:pPr>
    </w:p>
    <w:p w:rsidR="00CC31BD" w:rsidRDefault="00CC31BD">
      <w:pPr>
        <w:rPr>
          <w:sz w:val="24"/>
          <w:szCs w:val="24"/>
          <w:lang w:val="es-CL"/>
        </w:rPr>
      </w:pPr>
    </w:p>
    <w:p w:rsidR="00CC31BD" w:rsidRDefault="00CC31BD">
      <w:pPr>
        <w:rPr>
          <w:sz w:val="24"/>
          <w:szCs w:val="24"/>
          <w:lang w:val="es-CL"/>
        </w:rPr>
      </w:pPr>
    </w:p>
    <w:p w:rsidR="00CC31BD" w:rsidRDefault="00CC31BD">
      <w:pPr>
        <w:rPr>
          <w:sz w:val="24"/>
          <w:szCs w:val="24"/>
          <w:lang w:val="es-CL"/>
        </w:rPr>
      </w:pPr>
    </w:p>
    <w:p w:rsidR="00CC31BD" w:rsidRDefault="00CC31BD">
      <w:pPr>
        <w:rPr>
          <w:sz w:val="24"/>
          <w:szCs w:val="24"/>
          <w:lang w:val="es-CL"/>
        </w:rPr>
      </w:pPr>
    </w:p>
    <w:p w:rsidR="00CC31BD" w:rsidRDefault="00CC31BD">
      <w:pPr>
        <w:rPr>
          <w:sz w:val="24"/>
          <w:szCs w:val="24"/>
          <w:lang w:val="es-CL"/>
        </w:rPr>
      </w:pPr>
    </w:p>
    <w:p w:rsidR="00CC31BD" w:rsidRDefault="00CC31BD">
      <w:pPr>
        <w:rPr>
          <w:sz w:val="24"/>
          <w:szCs w:val="24"/>
          <w:lang w:val="es-CL"/>
        </w:rPr>
      </w:pPr>
    </w:p>
    <w:p w:rsidR="00CC31BD" w:rsidRDefault="00CC31BD">
      <w:pPr>
        <w:rPr>
          <w:sz w:val="24"/>
          <w:szCs w:val="24"/>
          <w:lang w:val="es-CL"/>
        </w:rPr>
      </w:pPr>
    </w:p>
    <w:p w:rsidR="00CC31BD" w:rsidRDefault="00CC31BD">
      <w:pPr>
        <w:rPr>
          <w:sz w:val="24"/>
          <w:szCs w:val="24"/>
          <w:lang w:val="es-CL"/>
        </w:rPr>
      </w:pPr>
    </w:p>
    <w:p w:rsidR="00CC31BD" w:rsidRDefault="00CC31BD">
      <w:pPr>
        <w:rPr>
          <w:sz w:val="24"/>
          <w:szCs w:val="24"/>
          <w:lang w:val="es-CL"/>
        </w:rPr>
      </w:pPr>
    </w:p>
    <w:p w:rsidR="00CC31BD" w:rsidRDefault="00CC31BD">
      <w:pPr>
        <w:rPr>
          <w:sz w:val="24"/>
          <w:szCs w:val="24"/>
          <w:lang w:val="es-CL"/>
        </w:rPr>
      </w:pPr>
    </w:p>
    <w:p w:rsidR="00CC31BD" w:rsidRDefault="00CC31BD">
      <w:pPr>
        <w:rPr>
          <w:sz w:val="24"/>
          <w:szCs w:val="24"/>
          <w:lang w:val="es-CL"/>
        </w:rPr>
      </w:pPr>
    </w:p>
    <w:p w:rsidR="004D4B16" w:rsidRPr="00CC31BD" w:rsidRDefault="00A50ECE">
      <w:pPr>
        <w:rPr>
          <w:b/>
          <w:sz w:val="24"/>
          <w:szCs w:val="24"/>
          <w:lang w:val="es-CL"/>
        </w:rPr>
      </w:pPr>
      <w:r w:rsidRPr="00CC31BD">
        <w:rPr>
          <w:b/>
          <w:sz w:val="24"/>
          <w:szCs w:val="24"/>
          <w:lang w:val="es-CL"/>
        </w:rPr>
        <w:t>Indicaciones Proyecto Sobre Derecho de las Mujeres a una vida libre de Violencia</w:t>
      </w:r>
    </w:p>
    <w:p w:rsidR="00A50ECE" w:rsidRPr="00CC31BD" w:rsidRDefault="00A50ECE">
      <w:pPr>
        <w:rPr>
          <w:b/>
          <w:sz w:val="24"/>
          <w:szCs w:val="24"/>
          <w:lang w:val="es-CL"/>
        </w:rPr>
      </w:pPr>
    </w:p>
    <w:p w:rsidR="00A50ECE" w:rsidRPr="00CC31BD" w:rsidRDefault="00A50ECE" w:rsidP="00A237AF">
      <w:pPr>
        <w:ind w:left="1416" w:firstLine="708"/>
        <w:rPr>
          <w:b/>
          <w:sz w:val="24"/>
          <w:szCs w:val="24"/>
          <w:lang w:val="es-CL"/>
        </w:rPr>
      </w:pPr>
      <w:r w:rsidRPr="00CC31BD">
        <w:rPr>
          <w:b/>
          <w:sz w:val="24"/>
          <w:szCs w:val="24"/>
          <w:lang w:val="es-CL"/>
        </w:rPr>
        <w:t>Boletín 11077-07</w:t>
      </w:r>
    </w:p>
    <w:p w:rsidR="00725502" w:rsidRPr="00CC31BD" w:rsidRDefault="00725502">
      <w:pPr>
        <w:rPr>
          <w:b/>
          <w:sz w:val="24"/>
          <w:szCs w:val="24"/>
          <w:lang w:val="es-CL"/>
        </w:rPr>
      </w:pPr>
    </w:p>
    <w:p w:rsidR="00A237AF" w:rsidRPr="00CC31BD" w:rsidRDefault="00A237AF">
      <w:pPr>
        <w:rPr>
          <w:b/>
          <w:sz w:val="24"/>
          <w:szCs w:val="24"/>
          <w:lang w:val="es-CL"/>
        </w:rPr>
      </w:pPr>
    </w:p>
    <w:p w:rsidR="00A237AF" w:rsidRPr="00725502" w:rsidRDefault="00A237AF">
      <w:pPr>
        <w:rPr>
          <w:sz w:val="24"/>
          <w:szCs w:val="24"/>
          <w:lang w:val="es-CL"/>
        </w:rPr>
      </w:pPr>
    </w:p>
    <w:p w:rsidR="00725502" w:rsidRDefault="00725502" w:rsidP="00725502">
      <w:pPr>
        <w:ind w:left="1560" w:firstLine="708"/>
        <w:rPr>
          <w:sz w:val="24"/>
          <w:szCs w:val="24"/>
          <w:u w:val="single"/>
          <w:lang w:val="es-CL"/>
        </w:rPr>
      </w:pPr>
      <w:r w:rsidRPr="00725502">
        <w:rPr>
          <w:sz w:val="24"/>
          <w:szCs w:val="24"/>
          <w:u w:val="single"/>
          <w:lang w:val="es-CL"/>
        </w:rPr>
        <w:t>Al Artículo 28</w:t>
      </w:r>
    </w:p>
    <w:p w:rsidR="009079D8" w:rsidRDefault="009079D8" w:rsidP="00725502">
      <w:pPr>
        <w:ind w:left="1560" w:firstLine="708"/>
        <w:rPr>
          <w:sz w:val="24"/>
          <w:szCs w:val="24"/>
          <w:u w:val="single"/>
          <w:lang w:val="es-CL"/>
        </w:rPr>
      </w:pPr>
    </w:p>
    <w:p w:rsidR="009079D8" w:rsidRDefault="009079D8" w:rsidP="00725502">
      <w:pPr>
        <w:ind w:left="1560" w:firstLine="708"/>
        <w:rPr>
          <w:sz w:val="24"/>
          <w:szCs w:val="24"/>
          <w:u w:val="single"/>
          <w:lang w:val="es-CL"/>
        </w:rPr>
      </w:pPr>
    </w:p>
    <w:p w:rsidR="009079D8" w:rsidRDefault="009079D8" w:rsidP="00725502">
      <w:pPr>
        <w:ind w:left="1560" w:firstLine="708"/>
        <w:rPr>
          <w:sz w:val="24"/>
          <w:szCs w:val="24"/>
          <w:lang w:val="es-CL"/>
        </w:rPr>
      </w:pPr>
      <w:r w:rsidRPr="009079D8">
        <w:rPr>
          <w:sz w:val="24"/>
          <w:szCs w:val="24"/>
          <w:lang w:val="es-CL"/>
        </w:rPr>
        <w:t>El nu</w:t>
      </w:r>
      <w:r>
        <w:rPr>
          <w:sz w:val="24"/>
          <w:szCs w:val="24"/>
          <w:lang w:val="es-CL"/>
        </w:rPr>
        <w:t>meral 3 se sustituye por el sigu</w:t>
      </w:r>
      <w:r w:rsidRPr="009079D8">
        <w:rPr>
          <w:sz w:val="24"/>
          <w:szCs w:val="24"/>
          <w:lang w:val="es-CL"/>
        </w:rPr>
        <w:t>iente</w:t>
      </w:r>
    </w:p>
    <w:p w:rsidR="009079D8" w:rsidRDefault="009079D8" w:rsidP="00725502">
      <w:pPr>
        <w:ind w:left="1560" w:firstLine="708"/>
        <w:rPr>
          <w:sz w:val="24"/>
          <w:szCs w:val="24"/>
          <w:lang w:val="es-CL"/>
        </w:rPr>
      </w:pPr>
    </w:p>
    <w:p w:rsidR="009079D8" w:rsidRPr="009079D8" w:rsidRDefault="00A237AF" w:rsidP="00A237AF">
      <w:pPr>
        <w:spacing w:line="360" w:lineRule="auto"/>
        <w:ind w:firstLine="708"/>
        <w:rPr>
          <w:sz w:val="24"/>
          <w:szCs w:val="24"/>
          <w:lang w:val="es-CL"/>
        </w:rPr>
      </w:pPr>
      <w:r>
        <w:rPr>
          <w:sz w:val="24"/>
          <w:szCs w:val="24"/>
          <w:lang w:val="es-CL"/>
        </w:rPr>
        <w:t xml:space="preserve">                          </w:t>
      </w:r>
      <w:r w:rsidR="009079D8">
        <w:rPr>
          <w:sz w:val="24"/>
          <w:szCs w:val="24"/>
          <w:lang w:val="es-CL"/>
        </w:rPr>
        <w:t>Reemplázase en el artículo 3° la frase “en especial contra la mujer, los adultos mayores y  los niños” por “sea que se cometiere en contra de niño, niña o adolescente, mujer, hombre o persona adulta mayor</w:t>
      </w:r>
      <w:r>
        <w:rPr>
          <w:sz w:val="24"/>
          <w:szCs w:val="24"/>
          <w:lang w:val="es-CL"/>
        </w:rPr>
        <w:t>, en especial si cualquiera de ellos fuere discapacitado”.</w:t>
      </w:r>
      <w:r w:rsidR="009079D8">
        <w:rPr>
          <w:sz w:val="24"/>
          <w:szCs w:val="24"/>
          <w:lang w:val="es-CL"/>
        </w:rPr>
        <w:t xml:space="preserve"> </w:t>
      </w:r>
    </w:p>
    <w:p w:rsidR="00725502" w:rsidRPr="00725502" w:rsidRDefault="00725502">
      <w:pPr>
        <w:rPr>
          <w:sz w:val="24"/>
          <w:szCs w:val="24"/>
          <w:lang w:val="es-CL"/>
        </w:rPr>
      </w:pPr>
    </w:p>
    <w:p w:rsidR="00A50ECE" w:rsidRPr="00725502" w:rsidRDefault="00A50ECE" w:rsidP="00A50ECE">
      <w:pPr>
        <w:autoSpaceDE w:val="0"/>
        <w:autoSpaceDN w:val="0"/>
        <w:adjustRightInd w:val="0"/>
        <w:spacing w:line="360" w:lineRule="auto"/>
        <w:ind w:firstLine="2268"/>
        <w:rPr>
          <w:rFonts w:cs="Arial"/>
          <w:sz w:val="24"/>
          <w:szCs w:val="24"/>
          <w:lang w:val="es-CL"/>
        </w:rPr>
      </w:pPr>
      <w:r w:rsidRPr="00725502">
        <w:rPr>
          <w:rFonts w:cs="Arial"/>
          <w:sz w:val="24"/>
          <w:szCs w:val="24"/>
          <w:lang w:val="es-CL"/>
        </w:rPr>
        <w:t>Agrégase el siguiente nuevo numeral después del n° 6:</w:t>
      </w:r>
    </w:p>
    <w:p w:rsidR="004F4347" w:rsidRPr="00725502" w:rsidRDefault="004F4347">
      <w:pPr>
        <w:rPr>
          <w:sz w:val="24"/>
          <w:szCs w:val="24"/>
          <w:lang w:val="es-CL"/>
        </w:rPr>
      </w:pPr>
    </w:p>
    <w:p w:rsidR="004F4347" w:rsidRPr="00725502" w:rsidRDefault="004F4347" w:rsidP="004F4347">
      <w:pPr>
        <w:autoSpaceDE w:val="0"/>
        <w:autoSpaceDN w:val="0"/>
        <w:adjustRightInd w:val="0"/>
        <w:spacing w:line="360" w:lineRule="auto"/>
        <w:ind w:firstLine="2268"/>
        <w:rPr>
          <w:rFonts w:cs="Arial"/>
          <w:sz w:val="24"/>
          <w:szCs w:val="24"/>
          <w:lang w:val="es-CL"/>
        </w:rPr>
      </w:pPr>
      <w:r w:rsidRPr="00725502">
        <w:rPr>
          <w:rFonts w:cs="Arial"/>
          <w:sz w:val="24"/>
          <w:szCs w:val="24"/>
          <w:lang w:val="es-CL"/>
        </w:rPr>
        <w:t>.-Agrégase, a continuación del artículo 7º, los siguientes nuevos artículos 7 bis, 7 ter, 7 quáter y 7 quinquies:</w:t>
      </w:r>
    </w:p>
    <w:p w:rsidR="00A50ECE" w:rsidRPr="00725502" w:rsidRDefault="00A50ECE" w:rsidP="004F4347">
      <w:pPr>
        <w:autoSpaceDE w:val="0"/>
        <w:autoSpaceDN w:val="0"/>
        <w:adjustRightInd w:val="0"/>
        <w:spacing w:line="360" w:lineRule="auto"/>
        <w:ind w:firstLine="2268"/>
        <w:rPr>
          <w:rFonts w:cs="Arial"/>
          <w:sz w:val="24"/>
          <w:szCs w:val="24"/>
          <w:lang w:val="es-CL"/>
        </w:rPr>
      </w:pPr>
    </w:p>
    <w:p w:rsidR="004F4347" w:rsidRPr="00725502" w:rsidRDefault="004F4347" w:rsidP="004F4347">
      <w:pPr>
        <w:autoSpaceDE w:val="0"/>
        <w:autoSpaceDN w:val="0"/>
        <w:adjustRightInd w:val="0"/>
        <w:spacing w:line="360" w:lineRule="auto"/>
        <w:ind w:firstLine="2268"/>
        <w:rPr>
          <w:rFonts w:cs="Arial"/>
          <w:sz w:val="24"/>
          <w:szCs w:val="24"/>
          <w:lang w:val="es-CL"/>
        </w:rPr>
      </w:pPr>
      <w:r w:rsidRPr="00725502">
        <w:rPr>
          <w:rFonts w:cs="Arial"/>
          <w:sz w:val="24"/>
          <w:szCs w:val="24"/>
          <w:lang w:val="es-CL"/>
        </w:rPr>
        <w:t>“Artículo 7 bis.- Orden de protección. Cuando exista una situación de riesgo para una o más personas de sufrir un maltrato constitutivo de violencia intrafamiliar, el tribunal, de oficio o a solicitud de alguna de las víctimas o de cualquier persona en su nombre, dictará una orden de protección en favor de aquéllas.</w:t>
      </w:r>
    </w:p>
    <w:p w:rsidR="00A50ECE" w:rsidRPr="00725502" w:rsidRDefault="00A50ECE" w:rsidP="004F4347">
      <w:pPr>
        <w:autoSpaceDE w:val="0"/>
        <w:autoSpaceDN w:val="0"/>
        <w:adjustRightInd w:val="0"/>
        <w:spacing w:line="360" w:lineRule="auto"/>
        <w:ind w:firstLine="2268"/>
        <w:rPr>
          <w:rFonts w:cs="Arial"/>
          <w:sz w:val="24"/>
          <w:szCs w:val="24"/>
          <w:lang w:val="es-CL"/>
        </w:rPr>
      </w:pPr>
    </w:p>
    <w:p w:rsidR="004F4347" w:rsidRPr="00725502" w:rsidRDefault="004F4347" w:rsidP="004F4347">
      <w:pPr>
        <w:autoSpaceDE w:val="0"/>
        <w:autoSpaceDN w:val="0"/>
        <w:adjustRightInd w:val="0"/>
        <w:spacing w:line="360" w:lineRule="auto"/>
        <w:ind w:firstLine="2268"/>
        <w:rPr>
          <w:rFonts w:cs="Arial"/>
          <w:sz w:val="24"/>
          <w:szCs w:val="24"/>
          <w:lang w:val="es-CL"/>
        </w:rPr>
      </w:pPr>
      <w:r w:rsidRPr="00725502">
        <w:rPr>
          <w:rFonts w:cs="Arial"/>
          <w:sz w:val="24"/>
          <w:szCs w:val="24"/>
          <w:lang w:val="es-CL"/>
        </w:rPr>
        <w:t xml:space="preserve">La orden podrá requerirse ante cualquier tribunal, ante los organismos mencionados en el artículo 173 del Código Procesal Penal, en las oficinas de atención a la víctima o en establecimientos sanitarios, los que deberán remitirla en forma inmediata ante el juzgado de familia más cercano, el que si correspondiere, la derivará al que sea competente, sin perjuicio de adoptar las medidas a que se refiere el inciso segundo del artículo 81 de la ley N°19.968. </w:t>
      </w:r>
    </w:p>
    <w:p w:rsidR="00A50ECE" w:rsidRPr="00725502" w:rsidRDefault="00A50ECE" w:rsidP="004F4347">
      <w:pPr>
        <w:autoSpaceDE w:val="0"/>
        <w:autoSpaceDN w:val="0"/>
        <w:adjustRightInd w:val="0"/>
        <w:spacing w:line="360" w:lineRule="auto"/>
        <w:ind w:firstLine="2268"/>
        <w:rPr>
          <w:rFonts w:cs="Arial"/>
          <w:sz w:val="24"/>
          <w:szCs w:val="24"/>
          <w:lang w:val="es-CL"/>
        </w:rPr>
      </w:pPr>
    </w:p>
    <w:p w:rsidR="004F4347" w:rsidRPr="00725502" w:rsidRDefault="004F4347" w:rsidP="004F4347">
      <w:pPr>
        <w:autoSpaceDE w:val="0"/>
        <w:autoSpaceDN w:val="0"/>
        <w:adjustRightInd w:val="0"/>
        <w:spacing w:line="360" w:lineRule="auto"/>
        <w:ind w:firstLine="2268"/>
        <w:rPr>
          <w:rFonts w:cs="Arial"/>
          <w:sz w:val="24"/>
          <w:szCs w:val="24"/>
          <w:lang w:val="es-CL"/>
        </w:rPr>
      </w:pPr>
      <w:r w:rsidRPr="00725502">
        <w:rPr>
          <w:rFonts w:cs="Arial"/>
          <w:sz w:val="24"/>
          <w:szCs w:val="24"/>
          <w:lang w:val="es-CL"/>
        </w:rPr>
        <w:t>La presentación respectiva no se sujetará a formalidad alguna. Los servicios públicos referidos deberán proveer de formularios estandarizados, simples y fácilmente comprensibles para su presentación”.</w:t>
      </w:r>
    </w:p>
    <w:p w:rsidR="004F4347" w:rsidRPr="00725502" w:rsidRDefault="004F4347" w:rsidP="004F4347">
      <w:pPr>
        <w:autoSpaceDE w:val="0"/>
        <w:autoSpaceDN w:val="0"/>
        <w:adjustRightInd w:val="0"/>
        <w:spacing w:line="360" w:lineRule="auto"/>
        <w:ind w:firstLine="2268"/>
        <w:rPr>
          <w:rFonts w:cs="Arial"/>
          <w:sz w:val="24"/>
          <w:szCs w:val="24"/>
          <w:lang w:val="es-CL"/>
        </w:rPr>
      </w:pPr>
    </w:p>
    <w:p w:rsidR="004F4347" w:rsidRPr="00725502" w:rsidRDefault="004F4347" w:rsidP="004F4347">
      <w:pPr>
        <w:autoSpaceDE w:val="0"/>
        <w:autoSpaceDN w:val="0"/>
        <w:adjustRightInd w:val="0"/>
        <w:spacing w:line="360" w:lineRule="auto"/>
        <w:ind w:firstLine="2268"/>
        <w:rPr>
          <w:rFonts w:cs="Arial"/>
          <w:sz w:val="24"/>
          <w:szCs w:val="24"/>
          <w:lang w:val="es-CL"/>
        </w:rPr>
      </w:pPr>
      <w:r w:rsidRPr="00725502">
        <w:rPr>
          <w:rFonts w:cs="Arial"/>
          <w:sz w:val="24"/>
          <w:szCs w:val="24"/>
          <w:lang w:val="es-CL"/>
        </w:rPr>
        <w:lastRenderedPageBreak/>
        <w:t>“Artículo 7 ter. Tramitación de la orden de protección. Ingresada la solicitud al tribunal competente, éste convocará a una audiencia urgente a la víctima o su representante legal y al agresor, quienes podrán hacerse representar por su respectivo abogado.</w:t>
      </w:r>
    </w:p>
    <w:p w:rsidR="00A50ECE" w:rsidRPr="00725502" w:rsidRDefault="00A50ECE" w:rsidP="004F4347">
      <w:pPr>
        <w:autoSpaceDE w:val="0"/>
        <w:autoSpaceDN w:val="0"/>
        <w:adjustRightInd w:val="0"/>
        <w:spacing w:line="360" w:lineRule="auto"/>
        <w:ind w:firstLine="2268"/>
        <w:rPr>
          <w:rFonts w:cs="Arial"/>
          <w:sz w:val="24"/>
          <w:szCs w:val="24"/>
          <w:lang w:val="es-CL"/>
        </w:rPr>
      </w:pPr>
    </w:p>
    <w:p w:rsidR="004F4347" w:rsidRPr="00725502" w:rsidRDefault="004F4347" w:rsidP="004F4347">
      <w:pPr>
        <w:autoSpaceDE w:val="0"/>
        <w:autoSpaceDN w:val="0"/>
        <w:adjustRightInd w:val="0"/>
        <w:spacing w:line="360" w:lineRule="auto"/>
        <w:ind w:firstLine="2268"/>
        <w:rPr>
          <w:rFonts w:cs="Arial"/>
          <w:sz w:val="24"/>
          <w:szCs w:val="24"/>
          <w:lang w:val="es-CL"/>
        </w:rPr>
      </w:pPr>
      <w:r w:rsidRPr="00725502">
        <w:rPr>
          <w:rFonts w:cs="Arial"/>
          <w:sz w:val="24"/>
          <w:szCs w:val="24"/>
          <w:lang w:val="es-CL"/>
        </w:rPr>
        <w:t>La audiencia deberá desarrollarse dentro de los cinco días siguientes a la presentación de la solicitud, plazo que podrá extenderse hasta en 5 días con el objeto de que ésta coincida con cualquier otra que deba desarrollarse entre las partes ante el mismo tribunal.</w:t>
      </w:r>
    </w:p>
    <w:p w:rsidR="00A50ECE" w:rsidRPr="00725502" w:rsidRDefault="00A50ECE" w:rsidP="004F4347">
      <w:pPr>
        <w:autoSpaceDE w:val="0"/>
        <w:autoSpaceDN w:val="0"/>
        <w:adjustRightInd w:val="0"/>
        <w:spacing w:line="360" w:lineRule="auto"/>
        <w:ind w:firstLine="2268"/>
        <w:rPr>
          <w:rFonts w:cs="Arial"/>
          <w:sz w:val="24"/>
          <w:szCs w:val="24"/>
          <w:lang w:val="es-CL"/>
        </w:rPr>
      </w:pPr>
    </w:p>
    <w:p w:rsidR="004F4347" w:rsidRPr="00725502" w:rsidRDefault="004F4347" w:rsidP="004F4347">
      <w:pPr>
        <w:autoSpaceDE w:val="0"/>
        <w:autoSpaceDN w:val="0"/>
        <w:adjustRightInd w:val="0"/>
        <w:spacing w:line="360" w:lineRule="auto"/>
        <w:ind w:firstLine="2268"/>
        <w:rPr>
          <w:rFonts w:cs="Arial"/>
          <w:sz w:val="24"/>
          <w:szCs w:val="24"/>
          <w:lang w:val="es-CL"/>
        </w:rPr>
      </w:pPr>
      <w:r w:rsidRPr="00725502">
        <w:rPr>
          <w:rFonts w:cs="Arial"/>
          <w:sz w:val="24"/>
          <w:szCs w:val="24"/>
          <w:lang w:val="es-CL"/>
        </w:rPr>
        <w:t>En la realización de la audiencia, el tribunal adoptará las medidas para evitar la confrontación entre la víctima y el agresor y los restantes miembros de la familia que asistan; para tal efecto, podrá tomar las declaraciones por separado”.</w:t>
      </w:r>
    </w:p>
    <w:p w:rsidR="004F4347" w:rsidRPr="00725502" w:rsidRDefault="004F4347" w:rsidP="004F4347">
      <w:pPr>
        <w:autoSpaceDE w:val="0"/>
        <w:autoSpaceDN w:val="0"/>
        <w:adjustRightInd w:val="0"/>
        <w:spacing w:line="360" w:lineRule="auto"/>
        <w:ind w:firstLine="2268"/>
        <w:rPr>
          <w:rFonts w:cs="Arial"/>
          <w:sz w:val="24"/>
          <w:szCs w:val="24"/>
          <w:lang w:val="es-CL"/>
        </w:rPr>
      </w:pPr>
    </w:p>
    <w:p w:rsidR="004F4347" w:rsidRPr="00725502" w:rsidRDefault="004F4347" w:rsidP="004F4347">
      <w:pPr>
        <w:autoSpaceDE w:val="0"/>
        <w:autoSpaceDN w:val="0"/>
        <w:adjustRightInd w:val="0"/>
        <w:spacing w:line="360" w:lineRule="auto"/>
        <w:ind w:firstLine="2268"/>
        <w:rPr>
          <w:rFonts w:cs="Arial"/>
          <w:sz w:val="24"/>
          <w:szCs w:val="24"/>
          <w:lang w:val="es-CL"/>
        </w:rPr>
      </w:pPr>
      <w:r w:rsidRPr="00725502">
        <w:rPr>
          <w:rFonts w:cs="Arial"/>
          <w:sz w:val="24"/>
          <w:szCs w:val="24"/>
          <w:lang w:val="es-CL"/>
        </w:rPr>
        <w:t xml:space="preserve">“Artículo 7 quáter. Contenido de la orden de protección. Culminada la audiencia el tribunal resolverá, sin más trámite, acerca de la orden de protección solicitada. </w:t>
      </w:r>
    </w:p>
    <w:p w:rsidR="00A50ECE" w:rsidRPr="00725502" w:rsidRDefault="00A50ECE" w:rsidP="004F4347">
      <w:pPr>
        <w:autoSpaceDE w:val="0"/>
        <w:autoSpaceDN w:val="0"/>
        <w:adjustRightInd w:val="0"/>
        <w:spacing w:line="360" w:lineRule="auto"/>
        <w:ind w:firstLine="2268"/>
        <w:rPr>
          <w:rFonts w:cs="Arial"/>
          <w:sz w:val="24"/>
          <w:szCs w:val="24"/>
          <w:lang w:val="es-CL"/>
        </w:rPr>
      </w:pPr>
    </w:p>
    <w:p w:rsidR="004F4347" w:rsidRPr="00725502" w:rsidRDefault="004F4347" w:rsidP="004F4347">
      <w:pPr>
        <w:autoSpaceDE w:val="0"/>
        <w:autoSpaceDN w:val="0"/>
        <w:adjustRightInd w:val="0"/>
        <w:spacing w:line="360" w:lineRule="auto"/>
        <w:ind w:firstLine="2268"/>
        <w:rPr>
          <w:rFonts w:cs="Arial"/>
          <w:sz w:val="24"/>
          <w:szCs w:val="24"/>
          <w:lang w:val="es-CL"/>
        </w:rPr>
      </w:pPr>
      <w:r w:rsidRPr="00725502">
        <w:rPr>
          <w:rFonts w:cs="Arial"/>
          <w:sz w:val="24"/>
          <w:szCs w:val="24"/>
          <w:lang w:val="es-CL"/>
        </w:rPr>
        <w:t>Si ella es acogida su resolución deberá:</w:t>
      </w:r>
    </w:p>
    <w:p w:rsidR="004F4347" w:rsidRPr="00725502" w:rsidRDefault="004F4347" w:rsidP="004F4347">
      <w:pPr>
        <w:autoSpaceDE w:val="0"/>
        <w:autoSpaceDN w:val="0"/>
        <w:adjustRightInd w:val="0"/>
        <w:spacing w:line="360" w:lineRule="auto"/>
        <w:ind w:firstLine="2268"/>
        <w:rPr>
          <w:rFonts w:cs="Arial"/>
          <w:sz w:val="24"/>
          <w:szCs w:val="24"/>
          <w:lang w:val="es-CL"/>
        </w:rPr>
      </w:pPr>
      <w:r w:rsidRPr="00725502">
        <w:rPr>
          <w:rFonts w:cs="Arial"/>
          <w:sz w:val="24"/>
          <w:szCs w:val="24"/>
          <w:lang w:val="es-CL"/>
        </w:rPr>
        <w:t>a).-Imponer una o más medidas cautelares o de protección o extenderlas, si ya se hubieran decretado;</w:t>
      </w:r>
    </w:p>
    <w:p w:rsidR="004F4347" w:rsidRPr="00725502" w:rsidRDefault="004F4347" w:rsidP="004F4347">
      <w:pPr>
        <w:autoSpaceDE w:val="0"/>
        <w:autoSpaceDN w:val="0"/>
        <w:adjustRightInd w:val="0"/>
        <w:spacing w:line="360" w:lineRule="auto"/>
        <w:ind w:firstLine="2268"/>
        <w:rPr>
          <w:rFonts w:cs="Arial"/>
          <w:sz w:val="24"/>
          <w:szCs w:val="24"/>
          <w:lang w:val="es-CL"/>
        </w:rPr>
      </w:pPr>
      <w:r w:rsidRPr="00725502">
        <w:rPr>
          <w:rFonts w:cs="Arial"/>
          <w:sz w:val="24"/>
          <w:szCs w:val="24"/>
          <w:lang w:val="es-CL"/>
        </w:rPr>
        <w:t>b).-Iniciar el procedimiento por violencia intrafamiliar, si se tratare de la situación descrita en el artículo 5º o remitirlos al juzgado de garantía competente, en el caso de las señaladas en el artículo 14;</w:t>
      </w:r>
    </w:p>
    <w:p w:rsidR="004F4347" w:rsidRPr="00725502" w:rsidRDefault="004F4347" w:rsidP="004F4347">
      <w:pPr>
        <w:autoSpaceDE w:val="0"/>
        <w:autoSpaceDN w:val="0"/>
        <w:adjustRightInd w:val="0"/>
        <w:spacing w:line="360" w:lineRule="auto"/>
        <w:ind w:firstLine="2268"/>
        <w:rPr>
          <w:rFonts w:cs="Arial"/>
          <w:sz w:val="24"/>
          <w:szCs w:val="24"/>
          <w:lang w:val="es-CL"/>
        </w:rPr>
      </w:pPr>
      <w:r w:rsidRPr="00725502">
        <w:rPr>
          <w:rFonts w:cs="Arial"/>
          <w:sz w:val="24"/>
          <w:szCs w:val="24"/>
          <w:lang w:val="es-CL"/>
        </w:rPr>
        <w:t xml:space="preserve">c).-Adoptar las medidas adicionales de tipo civil que complementen la orden de protección, tales como </w:t>
      </w:r>
      <w:r w:rsidRPr="00725502">
        <w:rPr>
          <w:rFonts w:cs="Arial"/>
          <w:iCs/>
          <w:sz w:val="24"/>
          <w:szCs w:val="24"/>
          <w:lang w:val="es-CL"/>
        </w:rPr>
        <w:t xml:space="preserve">la regulación de las situaciones previstas en los numerales 2) al 5) del inciso primero del artículo 92 de la ley N°19.968; </w:t>
      </w:r>
    </w:p>
    <w:p w:rsidR="004F4347" w:rsidRPr="00725502" w:rsidRDefault="004F4347" w:rsidP="004F4347">
      <w:pPr>
        <w:autoSpaceDE w:val="0"/>
        <w:autoSpaceDN w:val="0"/>
        <w:adjustRightInd w:val="0"/>
        <w:spacing w:line="360" w:lineRule="auto"/>
        <w:ind w:firstLine="2268"/>
        <w:rPr>
          <w:rFonts w:cs="Arial"/>
          <w:sz w:val="24"/>
          <w:szCs w:val="24"/>
          <w:lang w:val="es-CL"/>
        </w:rPr>
      </w:pPr>
      <w:r w:rsidRPr="00725502">
        <w:rPr>
          <w:rFonts w:cs="Arial"/>
          <w:sz w:val="24"/>
          <w:szCs w:val="24"/>
          <w:lang w:val="es-CL"/>
        </w:rPr>
        <w:t>d).-Comunicar la dictación de la orden de protección a los organismos policiales, establecimientos sanitarios y oficinas de ayuda de la comuna en que la víctima tenga su domicilio, y</w:t>
      </w:r>
    </w:p>
    <w:p w:rsidR="004F4347" w:rsidRPr="00725502" w:rsidRDefault="004F4347" w:rsidP="004F4347">
      <w:pPr>
        <w:autoSpaceDE w:val="0"/>
        <w:autoSpaceDN w:val="0"/>
        <w:adjustRightInd w:val="0"/>
        <w:spacing w:line="360" w:lineRule="auto"/>
        <w:ind w:firstLine="2268"/>
        <w:rPr>
          <w:rFonts w:cs="Arial"/>
          <w:sz w:val="24"/>
          <w:szCs w:val="24"/>
          <w:lang w:val="es-CL"/>
        </w:rPr>
      </w:pPr>
      <w:r w:rsidRPr="00725502">
        <w:rPr>
          <w:rFonts w:cs="Arial"/>
          <w:sz w:val="24"/>
          <w:szCs w:val="24"/>
          <w:lang w:val="es-CL"/>
        </w:rPr>
        <w:t>e).-Informar a la víctima del procedimiento a seguir en caso de no cumplirse las medidas cautelares dispuestas”.</w:t>
      </w:r>
    </w:p>
    <w:p w:rsidR="004F4347" w:rsidRPr="00725502" w:rsidRDefault="004F4347" w:rsidP="004F4347">
      <w:pPr>
        <w:autoSpaceDE w:val="0"/>
        <w:autoSpaceDN w:val="0"/>
        <w:adjustRightInd w:val="0"/>
        <w:spacing w:line="360" w:lineRule="auto"/>
        <w:ind w:firstLine="2268"/>
        <w:rPr>
          <w:rFonts w:cs="Arial"/>
          <w:sz w:val="24"/>
          <w:szCs w:val="24"/>
          <w:lang w:val="es-CL"/>
        </w:rPr>
      </w:pPr>
    </w:p>
    <w:p w:rsidR="004F4347" w:rsidRPr="00725502" w:rsidRDefault="004F4347" w:rsidP="00A50ECE">
      <w:pPr>
        <w:autoSpaceDE w:val="0"/>
        <w:autoSpaceDN w:val="0"/>
        <w:adjustRightInd w:val="0"/>
        <w:spacing w:line="360" w:lineRule="auto"/>
        <w:ind w:firstLine="2268"/>
        <w:rPr>
          <w:rFonts w:cs="Arial"/>
          <w:iCs/>
          <w:sz w:val="24"/>
          <w:szCs w:val="24"/>
          <w:lang w:val="es-CL"/>
        </w:rPr>
      </w:pPr>
      <w:r w:rsidRPr="00725502">
        <w:rPr>
          <w:rFonts w:cs="Arial"/>
          <w:sz w:val="24"/>
          <w:szCs w:val="24"/>
          <w:lang w:val="es-CL"/>
        </w:rPr>
        <w:t xml:space="preserve">“Artículo 7 quinquies.- Asistencia social y protección a las víctimas. </w:t>
      </w:r>
      <w:r w:rsidRPr="00725502">
        <w:rPr>
          <w:rFonts w:cs="Arial"/>
          <w:iCs/>
          <w:sz w:val="24"/>
          <w:szCs w:val="24"/>
          <w:lang w:val="es-CL"/>
        </w:rPr>
        <w:t xml:space="preserve">La orden de protección otorga a la víctima, además de las acciones </w:t>
      </w:r>
      <w:r w:rsidRPr="00725502">
        <w:rPr>
          <w:rFonts w:cs="Arial"/>
          <w:iCs/>
          <w:sz w:val="24"/>
          <w:szCs w:val="24"/>
          <w:lang w:val="es-CL"/>
        </w:rPr>
        <w:lastRenderedPageBreak/>
        <w:t>cautelares y civil señaladas en el artículo precedente, un estatuto integral de atención que comprende recibir de los servicios públicos la asistencia y protección social que su situación requiera.</w:t>
      </w:r>
    </w:p>
    <w:p w:rsidR="00A50ECE" w:rsidRPr="00725502" w:rsidRDefault="00A50ECE" w:rsidP="00A50ECE">
      <w:pPr>
        <w:spacing w:line="360" w:lineRule="auto"/>
        <w:rPr>
          <w:rFonts w:cs="Arial"/>
          <w:sz w:val="24"/>
          <w:szCs w:val="24"/>
          <w:lang w:val="es-CL"/>
        </w:rPr>
      </w:pPr>
    </w:p>
    <w:p w:rsidR="004F4347" w:rsidRDefault="00A50ECE" w:rsidP="00A50ECE">
      <w:pPr>
        <w:spacing w:line="360" w:lineRule="auto"/>
        <w:ind w:firstLine="708"/>
        <w:rPr>
          <w:rFonts w:cs="Arial"/>
          <w:sz w:val="24"/>
          <w:szCs w:val="24"/>
          <w:lang w:val="es-CL"/>
        </w:rPr>
      </w:pPr>
      <w:r w:rsidRPr="00725502">
        <w:rPr>
          <w:rFonts w:cs="Arial"/>
          <w:sz w:val="24"/>
          <w:szCs w:val="24"/>
          <w:lang w:val="es-CL"/>
        </w:rPr>
        <w:t xml:space="preserve">                           </w:t>
      </w:r>
      <w:r w:rsidR="004F4347" w:rsidRPr="00725502">
        <w:rPr>
          <w:rFonts w:cs="Arial"/>
          <w:sz w:val="24"/>
          <w:szCs w:val="24"/>
          <w:lang w:val="es-CL"/>
        </w:rPr>
        <w:t>Los organismos del Estado involucrados procurarán brindar una atención inmediata a las víctimas en cuyo favor se haya dictado una orden de protección.”.</w:t>
      </w:r>
    </w:p>
    <w:p w:rsidR="00725502" w:rsidRDefault="00725502" w:rsidP="00A50ECE">
      <w:pPr>
        <w:spacing w:line="360" w:lineRule="auto"/>
        <w:ind w:firstLine="708"/>
        <w:rPr>
          <w:rFonts w:cs="Arial"/>
          <w:sz w:val="24"/>
          <w:szCs w:val="24"/>
          <w:lang w:val="es-CL"/>
        </w:rPr>
      </w:pPr>
    </w:p>
    <w:p w:rsidR="00A237AF" w:rsidRDefault="00A237AF" w:rsidP="00A237AF">
      <w:pPr>
        <w:ind w:firstLine="708"/>
        <w:rPr>
          <w:sz w:val="24"/>
          <w:szCs w:val="24"/>
          <w:lang w:val="es-CL"/>
        </w:rPr>
      </w:pPr>
      <w:r>
        <w:rPr>
          <w:sz w:val="24"/>
          <w:szCs w:val="24"/>
          <w:lang w:val="es-CL"/>
        </w:rPr>
        <w:t>Agrégase el siguiente nuevo numeral después del n° 9</w:t>
      </w:r>
    </w:p>
    <w:p w:rsidR="00725502" w:rsidRDefault="00725502" w:rsidP="00A50ECE">
      <w:pPr>
        <w:spacing w:line="360" w:lineRule="auto"/>
        <w:ind w:firstLine="708"/>
        <w:rPr>
          <w:rFonts w:cs="Arial"/>
          <w:sz w:val="24"/>
          <w:szCs w:val="24"/>
          <w:lang w:val="es-CL"/>
        </w:rPr>
      </w:pPr>
    </w:p>
    <w:p w:rsidR="00A237AF" w:rsidRDefault="00A237AF" w:rsidP="00A50ECE">
      <w:pPr>
        <w:spacing w:line="360" w:lineRule="auto"/>
        <w:ind w:firstLine="708"/>
        <w:rPr>
          <w:rFonts w:cs="Arial"/>
          <w:sz w:val="24"/>
          <w:szCs w:val="24"/>
          <w:lang w:val="es-CL"/>
        </w:rPr>
      </w:pPr>
      <w:r>
        <w:rPr>
          <w:rFonts w:cs="Arial"/>
          <w:sz w:val="24"/>
          <w:szCs w:val="24"/>
          <w:lang w:val="es-CL"/>
        </w:rPr>
        <w:t>Agrégase el siguiente artículo 14 ter</w:t>
      </w:r>
    </w:p>
    <w:p w:rsidR="00A237AF" w:rsidRDefault="00A237AF" w:rsidP="00A50ECE">
      <w:pPr>
        <w:spacing w:line="360" w:lineRule="auto"/>
        <w:ind w:firstLine="708"/>
        <w:rPr>
          <w:rFonts w:cs="Arial"/>
          <w:sz w:val="24"/>
          <w:szCs w:val="24"/>
          <w:lang w:val="es-CL"/>
        </w:rPr>
      </w:pPr>
    </w:p>
    <w:p w:rsidR="00A237AF" w:rsidRDefault="00A237AF" w:rsidP="00A50ECE">
      <w:pPr>
        <w:spacing w:line="360" w:lineRule="auto"/>
        <w:ind w:firstLine="708"/>
        <w:rPr>
          <w:rFonts w:cs="Arial"/>
          <w:sz w:val="24"/>
          <w:szCs w:val="24"/>
          <w:lang w:val="es-CL"/>
        </w:rPr>
      </w:pPr>
      <w:r>
        <w:rPr>
          <w:rFonts w:cs="Arial"/>
          <w:sz w:val="24"/>
          <w:szCs w:val="24"/>
          <w:lang w:val="es-CL"/>
        </w:rPr>
        <w:t>“Artículo 14 ter. Es circunstancia agravante del delito contemplado en el artículo 14 de esta ley, que éste sea cometido en presencia de menores de edad.”.</w:t>
      </w:r>
    </w:p>
    <w:p w:rsidR="00725502" w:rsidRDefault="00725502" w:rsidP="00A50ECE">
      <w:pPr>
        <w:spacing w:line="360" w:lineRule="auto"/>
        <w:ind w:firstLine="708"/>
        <w:rPr>
          <w:rFonts w:cs="Arial"/>
          <w:sz w:val="24"/>
          <w:szCs w:val="24"/>
          <w:lang w:val="es-CL"/>
        </w:rPr>
      </w:pPr>
    </w:p>
    <w:p w:rsidR="00725502" w:rsidRDefault="00725502" w:rsidP="00A237AF">
      <w:pPr>
        <w:ind w:left="1416" w:firstLine="708"/>
        <w:rPr>
          <w:sz w:val="24"/>
          <w:szCs w:val="24"/>
          <w:u w:val="single"/>
          <w:lang w:val="es-CL"/>
        </w:rPr>
      </w:pPr>
      <w:r w:rsidRPr="00725502">
        <w:rPr>
          <w:sz w:val="24"/>
          <w:szCs w:val="24"/>
          <w:u w:val="single"/>
          <w:lang w:val="es-CL"/>
        </w:rPr>
        <w:t>Al Artículo 2</w:t>
      </w:r>
      <w:r>
        <w:rPr>
          <w:sz w:val="24"/>
          <w:szCs w:val="24"/>
          <w:u w:val="single"/>
          <w:lang w:val="es-CL"/>
        </w:rPr>
        <w:t>9</w:t>
      </w:r>
    </w:p>
    <w:p w:rsidR="00725502" w:rsidRPr="00725502" w:rsidRDefault="00725502" w:rsidP="00725502">
      <w:pPr>
        <w:rPr>
          <w:sz w:val="24"/>
          <w:szCs w:val="24"/>
          <w:u w:val="single"/>
          <w:lang w:val="es-CL"/>
        </w:rPr>
      </w:pPr>
    </w:p>
    <w:p w:rsidR="00725502" w:rsidRDefault="00725502" w:rsidP="00725502">
      <w:pPr>
        <w:spacing w:line="360" w:lineRule="auto"/>
        <w:ind w:firstLine="708"/>
        <w:rPr>
          <w:rFonts w:cs="Arial"/>
          <w:sz w:val="24"/>
          <w:szCs w:val="24"/>
          <w:lang w:val="es-CL"/>
        </w:rPr>
      </w:pPr>
    </w:p>
    <w:p w:rsidR="00725502" w:rsidRDefault="00725502" w:rsidP="00A237AF">
      <w:pPr>
        <w:spacing w:line="360" w:lineRule="auto"/>
        <w:ind w:left="1416" w:firstLine="708"/>
        <w:rPr>
          <w:rFonts w:cs="Arial"/>
          <w:sz w:val="24"/>
          <w:szCs w:val="24"/>
          <w:lang w:val="es-CL"/>
        </w:rPr>
      </w:pPr>
      <w:r>
        <w:rPr>
          <w:rFonts w:cs="Arial"/>
          <w:sz w:val="24"/>
          <w:szCs w:val="24"/>
          <w:lang w:val="es-CL"/>
        </w:rPr>
        <w:t>En el numeral 3</w:t>
      </w:r>
    </w:p>
    <w:p w:rsidR="00725502" w:rsidRDefault="00725502" w:rsidP="00725502">
      <w:pPr>
        <w:spacing w:line="360" w:lineRule="auto"/>
        <w:ind w:firstLine="708"/>
        <w:rPr>
          <w:rFonts w:cs="Arial"/>
          <w:sz w:val="24"/>
          <w:szCs w:val="24"/>
          <w:lang w:val="es-CL"/>
        </w:rPr>
      </w:pPr>
      <w:r>
        <w:rPr>
          <w:rFonts w:cs="Arial"/>
          <w:sz w:val="24"/>
          <w:szCs w:val="24"/>
          <w:lang w:val="es-CL"/>
        </w:rPr>
        <w:t>Reemplázase en el artículo 93 la frase “”de Chile” por “o la Policía de Investigaciones”.</w:t>
      </w:r>
    </w:p>
    <w:p w:rsidR="00725502" w:rsidRDefault="00725502" w:rsidP="00725502">
      <w:pPr>
        <w:spacing w:line="360" w:lineRule="auto"/>
        <w:ind w:firstLine="708"/>
        <w:rPr>
          <w:rFonts w:cs="Arial"/>
          <w:sz w:val="24"/>
          <w:szCs w:val="24"/>
          <w:lang w:val="es-CL"/>
        </w:rPr>
      </w:pPr>
    </w:p>
    <w:p w:rsidR="00725502" w:rsidRDefault="00725502" w:rsidP="00A237AF">
      <w:pPr>
        <w:spacing w:line="360" w:lineRule="auto"/>
        <w:ind w:left="1416" w:firstLine="708"/>
        <w:rPr>
          <w:rFonts w:cs="Arial"/>
          <w:sz w:val="24"/>
          <w:szCs w:val="24"/>
          <w:lang w:val="es-CL"/>
        </w:rPr>
      </w:pPr>
      <w:r>
        <w:rPr>
          <w:rFonts w:cs="Arial"/>
          <w:sz w:val="24"/>
          <w:szCs w:val="24"/>
          <w:lang w:val="es-CL"/>
        </w:rPr>
        <w:t>En el numeral 4</w:t>
      </w:r>
    </w:p>
    <w:p w:rsidR="00725502" w:rsidRPr="00725502" w:rsidRDefault="00725502" w:rsidP="00725502">
      <w:pPr>
        <w:spacing w:line="360" w:lineRule="auto"/>
        <w:ind w:firstLine="708"/>
        <w:rPr>
          <w:rFonts w:cs="Arial"/>
          <w:sz w:val="24"/>
          <w:szCs w:val="24"/>
          <w:lang w:val="es-CL"/>
        </w:rPr>
      </w:pPr>
      <w:r>
        <w:rPr>
          <w:rFonts w:cs="Arial"/>
          <w:sz w:val="24"/>
          <w:szCs w:val="24"/>
          <w:lang w:val="es-CL"/>
        </w:rPr>
        <w:t>Reemplázase en el artículo 93 bis la frase “”de Chile” por “o la Policía de Investigaciones”.</w:t>
      </w:r>
    </w:p>
    <w:p w:rsidR="00725502" w:rsidRDefault="00725502" w:rsidP="00A50ECE">
      <w:pPr>
        <w:spacing w:line="360" w:lineRule="auto"/>
        <w:ind w:firstLine="708"/>
        <w:rPr>
          <w:rFonts w:cs="Arial"/>
          <w:sz w:val="24"/>
          <w:szCs w:val="24"/>
          <w:lang w:val="es-CL"/>
        </w:rPr>
      </w:pPr>
    </w:p>
    <w:p w:rsidR="00725502" w:rsidRDefault="00725502" w:rsidP="00A50ECE">
      <w:pPr>
        <w:spacing w:line="360" w:lineRule="auto"/>
        <w:ind w:firstLine="708"/>
        <w:rPr>
          <w:rFonts w:cs="Arial"/>
          <w:sz w:val="24"/>
          <w:szCs w:val="24"/>
          <w:lang w:val="es-CL"/>
        </w:rPr>
      </w:pPr>
    </w:p>
    <w:p w:rsidR="00725502" w:rsidRPr="00725502" w:rsidRDefault="00725502" w:rsidP="00A237AF">
      <w:pPr>
        <w:ind w:left="1416" w:firstLine="708"/>
        <w:rPr>
          <w:sz w:val="24"/>
          <w:szCs w:val="24"/>
          <w:u w:val="single"/>
          <w:lang w:val="es-CL"/>
        </w:rPr>
      </w:pPr>
      <w:r w:rsidRPr="00725502">
        <w:rPr>
          <w:sz w:val="24"/>
          <w:szCs w:val="24"/>
          <w:u w:val="single"/>
          <w:lang w:val="es-CL"/>
        </w:rPr>
        <w:t xml:space="preserve">Al Artículo </w:t>
      </w:r>
      <w:r w:rsidR="009079D8">
        <w:rPr>
          <w:sz w:val="24"/>
          <w:szCs w:val="24"/>
          <w:u w:val="single"/>
          <w:lang w:val="es-CL"/>
        </w:rPr>
        <w:t>30</w:t>
      </w:r>
    </w:p>
    <w:p w:rsidR="00725502" w:rsidRDefault="00725502" w:rsidP="00A50ECE">
      <w:pPr>
        <w:spacing w:line="360" w:lineRule="auto"/>
        <w:ind w:firstLine="708"/>
        <w:rPr>
          <w:rFonts w:cs="Arial"/>
          <w:sz w:val="24"/>
          <w:szCs w:val="24"/>
          <w:lang w:val="es-CL"/>
        </w:rPr>
      </w:pPr>
    </w:p>
    <w:p w:rsidR="009079D8" w:rsidRDefault="009079D8" w:rsidP="00A237AF">
      <w:pPr>
        <w:spacing w:line="360" w:lineRule="auto"/>
        <w:ind w:left="1416" w:firstLine="708"/>
        <w:rPr>
          <w:rFonts w:cs="Arial"/>
          <w:sz w:val="24"/>
          <w:szCs w:val="24"/>
          <w:lang w:val="es-CL"/>
        </w:rPr>
      </w:pPr>
      <w:r>
        <w:rPr>
          <w:rFonts w:cs="Arial"/>
          <w:sz w:val="24"/>
          <w:szCs w:val="24"/>
          <w:lang w:val="es-CL"/>
        </w:rPr>
        <w:t>En el numeral 1</w:t>
      </w:r>
    </w:p>
    <w:p w:rsidR="009079D8" w:rsidRPr="00725502" w:rsidRDefault="009079D8" w:rsidP="00A50ECE">
      <w:pPr>
        <w:spacing w:line="360" w:lineRule="auto"/>
        <w:ind w:firstLine="708"/>
        <w:rPr>
          <w:rFonts w:cs="Arial"/>
          <w:sz w:val="24"/>
          <w:szCs w:val="24"/>
          <w:lang w:val="es-CL"/>
        </w:rPr>
      </w:pPr>
      <w:r>
        <w:rPr>
          <w:rFonts w:cs="Arial"/>
          <w:sz w:val="24"/>
          <w:szCs w:val="24"/>
          <w:lang w:val="es-CL"/>
        </w:rPr>
        <w:t>Reemplázase el guarismo “161-C” por la frase “161 quater”</w:t>
      </w:r>
      <w:r w:rsidR="00A237AF">
        <w:rPr>
          <w:rFonts w:cs="Arial"/>
          <w:sz w:val="24"/>
          <w:szCs w:val="24"/>
          <w:lang w:val="es-CL"/>
        </w:rPr>
        <w:t>, pasando los artículos 161 A y B a ser 161 bis y ter respectivamente.</w:t>
      </w:r>
    </w:p>
    <w:sectPr w:rsidR="009079D8" w:rsidRPr="007255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B4"/>
    <w:rsid w:val="001262C5"/>
    <w:rsid w:val="00416BFF"/>
    <w:rsid w:val="004D4B16"/>
    <w:rsid w:val="004F4347"/>
    <w:rsid w:val="007061B4"/>
    <w:rsid w:val="00725502"/>
    <w:rsid w:val="009079D8"/>
    <w:rsid w:val="00A237AF"/>
    <w:rsid w:val="00A50ECE"/>
    <w:rsid w:val="00B7367E"/>
    <w:rsid w:val="00CC3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6</cp:revision>
  <dcterms:created xsi:type="dcterms:W3CDTF">2017-12-20T00:25:00Z</dcterms:created>
  <dcterms:modified xsi:type="dcterms:W3CDTF">2018-02-08T20:25:00Z</dcterms:modified>
</cp:coreProperties>
</file>