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C0E2D" w14:textId="77777777" w:rsidR="00F72FC2" w:rsidRPr="003E04D6" w:rsidRDefault="00ED04B2" w:rsidP="003E04D6">
      <w:pPr>
        <w:jc w:val="center"/>
        <w:rPr>
          <w:b/>
          <w:sz w:val="22"/>
          <w:szCs w:val="22"/>
        </w:rPr>
      </w:pPr>
      <w:bookmarkStart w:id="0" w:name="_GoBack"/>
      <w:bookmarkEnd w:id="0"/>
      <w:r w:rsidRPr="003E04D6">
        <w:rPr>
          <w:b/>
          <w:sz w:val="22"/>
          <w:szCs w:val="22"/>
        </w:rPr>
        <w:t>MINUTA</w:t>
      </w:r>
    </w:p>
    <w:p w14:paraId="49189DB4" w14:textId="77777777" w:rsidR="00ED04B2" w:rsidRPr="003E04D6" w:rsidRDefault="00ED04B2" w:rsidP="003E04D6">
      <w:pPr>
        <w:jc w:val="center"/>
        <w:rPr>
          <w:b/>
          <w:sz w:val="22"/>
          <w:szCs w:val="22"/>
        </w:rPr>
      </w:pPr>
      <w:r w:rsidRPr="003E04D6">
        <w:rPr>
          <w:b/>
          <w:sz w:val="22"/>
          <w:szCs w:val="22"/>
        </w:rPr>
        <w:t>PROYECTO DE LEY DE MITÍLIDOS Y OTROS CULTIVO QUE NO SON DE PECES</w:t>
      </w:r>
    </w:p>
    <w:p w14:paraId="5066D58F" w14:textId="77777777" w:rsidR="00ED04B2" w:rsidRPr="002A0418" w:rsidRDefault="00ED04B2" w:rsidP="002A0418">
      <w:pPr>
        <w:jc w:val="both"/>
        <w:rPr>
          <w:sz w:val="22"/>
          <w:szCs w:val="22"/>
        </w:rPr>
      </w:pPr>
    </w:p>
    <w:p w14:paraId="141BC09E" w14:textId="4C9F11C1" w:rsidR="00ED04B2" w:rsidRPr="002A0418" w:rsidRDefault="00ED04B2" w:rsidP="002A0418">
      <w:pPr>
        <w:jc w:val="both"/>
        <w:rPr>
          <w:sz w:val="22"/>
          <w:szCs w:val="22"/>
        </w:rPr>
      </w:pPr>
      <w:r w:rsidRPr="002A0418">
        <w:rPr>
          <w:sz w:val="22"/>
          <w:szCs w:val="22"/>
        </w:rPr>
        <w:t>El proyecto de ley de mitílidos contiene la siguientes materias:</w:t>
      </w:r>
    </w:p>
    <w:p w14:paraId="07B935EF" w14:textId="77777777" w:rsidR="00ED04B2" w:rsidRPr="002A0418" w:rsidRDefault="00ED04B2" w:rsidP="002A0418">
      <w:pPr>
        <w:jc w:val="both"/>
        <w:rPr>
          <w:sz w:val="22"/>
          <w:szCs w:val="22"/>
        </w:rPr>
      </w:pPr>
    </w:p>
    <w:p w14:paraId="6756BEB4" w14:textId="506FC89D" w:rsidR="00ED04B2" w:rsidRPr="002A0418" w:rsidRDefault="003E04D6" w:rsidP="003E04D6">
      <w:pPr>
        <w:ind w:left="1276" w:hanging="567"/>
        <w:jc w:val="both"/>
        <w:rPr>
          <w:sz w:val="22"/>
          <w:szCs w:val="22"/>
        </w:rPr>
      </w:pPr>
      <w:r>
        <w:rPr>
          <w:sz w:val="22"/>
          <w:szCs w:val="22"/>
        </w:rPr>
        <w:t>a)</w:t>
      </w:r>
      <w:r>
        <w:rPr>
          <w:sz w:val="22"/>
          <w:szCs w:val="22"/>
        </w:rPr>
        <w:tab/>
      </w:r>
      <w:r w:rsidR="00ED04B2" w:rsidRPr="002A0418">
        <w:rPr>
          <w:sz w:val="22"/>
          <w:szCs w:val="22"/>
        </w:rPr>
        <w:t>Relocalización de otros cultivos distintos de salmones;</w:t>
      </w:r>
    </w:p>
    <w:p w14:paraId="05DEF807" w14:textId="44A6C452" w:rsidR="00ED04B2" w:rsidRDefault="003E04D6" w:rsidP="003E04D6">
      <w:pPr>
        <w:ind w:left="1276" w:hanging="567"/>
        <w:jc w:val="both"/>
        <w:rPr>
          <w:sz w:val="22"/>
          <w:szCs w:val="22"/>
        </w:rPr>
      </w:pPr>
      <w:r>
        <w:rPr>
          <w:sz w:val="22"/>
          <w:szCs w:val="22"/>
        </w:rPr>
        <w:t>b)</w:t>
      </w:r>
      <w:r>
        <w:rPr>
          <w:sz w:val="22"/>
          <w:szCs w:val="22"/>
        </w:rPr>
        <w:tab/>
      </w:r>
      <w:r w:rsidR="00ED04B2" w:rsidRPr="002A0418">
        <w:rPr>
          <w:sz w:val="22"/>
          <w:szCs w:val="22"/>
        </w:rPr>
        <w:t>Creación de la figura de los permisos para colecta de semillas;</w:t>
      </w:r>
    </w:p>
    <w:p w14:paraId="4CC66736" w14:textId="65BEE614" w:rsidR="003E04D6" w:rsidRPr="002A0418" w:rsidRDefault="003E04D6" w:rsidP="003E04D6">
      <w:pPr>
        <w:ind w:left="1276" w:hanging="567"/>
        <w:jc w:val="both"/>
        <w:rPr>
          <w:sz w:val="22"/>
          <w:szCs w:val="22"/>
        </w:rPr>
      </w:pPr>
      <w:r>
        <w:rPr>
          <w:sz w:val="22"/>
          <w:szCs w:val="22"/>
        </w:rPr>
        <w:t>c)</w:t>
      </w:r>
      <w:r>
        <w:rPr>
          <w:sz w:val="22"/>
          <w:szCs w:val="22"/>
        </w:rPr>
        <w:tab/>
        <w:t xml:space="preserve">Suspensión de la aplicación de la caducidad y de la elaboración de </w:t>
      </w:r>
      <w:proofErr w:type="spellStart"/>
      <w:r>
        <w:rPr>
          <w:sz w:val="22"/>
          <w:szCs w:val="22"/>
        </w:rPr>
        <w:t>INFAs</w:t>
      </w:r>
      <w:proofErr w:type="spellEnd"/>
      <w:r>
        <w:rPr>
          <w:sz w:val="22"/>
          <w:szCs w:val="22"/>
        </w:rPr>
        <w:t xml:space="preserve"> para centros que no son de salmones (compromiso con Contraloría);</w:t>
      </w:r>
    </w:p>
    <w:p w14:paraId="3D3EAC43" w14:textId="3C684E7C" w:rsidR="00ED04B2" w:rsidRDefault="003E04D6" w:rsidP="000F4C09">
      <w:pPr>
        <w:ind w:left="1276" w:hanging="567"/>
        <w:jc w:val="both"/>
        <w:rPr>
          <w:sz w:val="22"/>
          <w:szCs w:val="22"/>
        </w:rPr>
      </w:pPr>
      <w:r>
        <w:rPr>
          <w:sz w:val="22"/>
          <w:szCs w:val="22"/>
        </w:rPr>
        <w:t>d)</w:t>
      </w:r>
      <w:r>
        <w:rPr>
          <w:sz w:val="22"/>
          <w:szCs w:val="22"/>
        </w:rPr>
        <w:tab/>
      </w:r>
      <w:r w:rsidR="000F4C09" w:rsidRPr="000F4C09">
        <w:rPr>
          <w:sz w:val="22"/>
          <w:szCs w:val="22"/>
        </w:rPr>
        <w:t xml:space="preserve">Apertura de tramitación de </w:t>
      </w:r>
      <w:r w:rsidR="004566EC">
        <w:rPr>
          <w:sz w:val="22"/>
          <w:szCs w:val="22"/>
        </w:rPr>
        <w:t xml:space="preserve">solicitudes </w:t>
      </w:r>
      <w:r w:rsidR="000F4C09" w:rsidRPr="000F4C09">
        <w:rPr>
          <w:sz w:val="22"/>
          <w:szCs w:val="22"/>
        </w:rPr>
        <w:t xml:space="preserve"> </w:t>
      </w:r>
      <w:r w:rsidR="004566EC">
        <w:rPr>
          <w:sz w:val="22"/>
          <w:szCs w:val="22"/>
        </w:rPr>
        <w:t xml:space="preserve">de otros cultivos </w:t>
      </w:r>
      <w:r w:rsidR="000F4C09" w:rsidRPr="000F4C09">
        <w:rPr>
          <w:sz w:val="22"/>
          <w:szCs w:val="22"/>
        </w:rPr>
        <w:t xml:space="preserve">paralizadas por el cierre de </w:t>
      </w:r>
      <w:proofErr w:type="spellStart"/>
      <w:r w:rsidR="004566EC">
        <w:rPr>
          <w:sz w:val="22"/>
          <w:szCs w:val="22"/>
        </w:rPr>
        <w:t>aaceso</w:t>
      </w:r>
      <w:proofErr w:type="spellEnd"/>
      <w:r w:rsidR="004566EC">
        <w:rPr>
          <w:sz w:val="22"/>
          <w:szCs w:val="22"/>
        </w:rPr>
        <w:t xml:space="preserve"> a concesiones de </w:t>
      </w:r>
      <w:r w:rsidR="000F4C09" w:rsidRPr="000F4C09">
        <w:rPr>
          <w:sz w:val="22"/>
          <w:szCs w:val="22"/>
        </w:rPr>
        <w:t>salmones</w:t>
      </w:r>
      <w:r w:rsidR="000F4C09">
        <w:rPr>
          <w:sz w:val="22"/>
          <w:szCs w:val="22"/>
        </w:rPr>
        <w:t>.</w:t>
      </w:r>
    </w:p>
    <w:p w14:paraId="3BFE836B" w14:textId="77777777" w:rsidR="000F4C09" w:rsidRPr="000F4C09" w:rsidRDefault="000F4C09" w:rsidP="000F4C09">
      <w:pPr>
        <w:ind w:left="1276" w:hanging="567"/>
        <w:jc w:val="both"/>
        <w:rPr>
          <w:sz w:val="22"/>
          <w:szCs w:val="22"/>
        </w:rPr>
      </w:pPr>
    </w:p>
    <w:p w14:paraId="79590EF3" w14:textId="3A2EAC1D" w:rsidR="00471CC1" w:rsidRPr="003E04D6" w:rsidRDefault="003E04D6" w:rsidP="002A0418">
      <w:pPr>
        <w:jc w:val="both"/>
        <w:rPr>
          <w:b/>
          <w:sz w:val="22"/>
          <w:szCs w:val="22"/>
        </w:rPr>
      </w:pPr>
      <w:r>
        <w:rPr>
          <w:b/>
          <w:sz w:val="22"/>
          <w:szCs w:val="22"/>
        </w:rPr>
        <w:t>A.</w:t>
      </w:r>
      <w:r>
        <w:rPr>
          <w:b/>
          <w:sz w:val="22"/>
          <w:szCs w:val="22"/>
        </w:rPr>
        <w:tab/>
      </w:r>
      <w:r w:rsidR="00471CC1" w:rsidRPr="003E04D6">
        <w:rPr>
          <w:b/>
          <w:sz w:val="22"/>
          <w:szCs w:val="22"/>
        </w:rPr>
        <w:t>R</w:t>
      </w:r>
      <w:r>
        <w:rPr>
          <w:b/>
          <w:sz w:val="22"/>
          <w:szCs w:val="22"/>
        </w:rPr>
        <w:t>elocalización de otros cultivos</w:t>
      </w:r>
    </w:p>
    <w:p w14:paraId="77BD149C" w14:textId="77777777" w:rsidR="00471CC1" w:rsidRPr="002A0418" w:rsidRDefault="00471CC1" w:rsidP="002A0418">
      <w:pPr>
        <w:jc w:val="both"/>
        <w:rPr>
          <w:sz w:val="22"/>
          <w:szCs w:val="22"/>
        </w:rPr>
      </w:pPr>
    </w:p>
    <w:p w14:paraId="7A406569" w14:textId="1B843638" w:rsidR="003E04D6" w:rsidRPr="003E04D6" w:rsidRDefault="00471CC1" w:rsidP="003E04D6">
      <w:pPr>
        <w:pStyle w:val="Prrafodelista"/>
        <w:numPr>
          <w:ilvl w:val="0"/>
          <w:numId w:val="3"/>
        </w:numPr>
        <w:ind w:left="709" w:hanging="709"/>
        <w:jc w:val="both"/>
        <w:rPr>
          <w:sz w:val="22"/>
          <w:szCs w:val="22"/>
        </w:rPr>
      </w:pPr>
      <w:r w:rsidRPr="003E04D6">
        <w:rPr>
          <w:sz w:val="22"/>
          <w:szCs w:val="22"/>
        </w:rPr>
        <w:t>Se establece la posibilidad de relocalizar centros de cultivos que no sean de salmones, por los problemas de emplazamiento que se presentan derivados de las complejidades cartográficas históricas (de la época en que se otorgaron las concesiones).</w:t>
      </w:r>
    </w:p>
    <w:p w14:paraId="460FB6DB" w14:textId="77777777" w:rsidR="003E04D6" w:rsidRDefault="003E04D6" w:rsidP="003E04D6">
      <w:pPr>
        <w:pStyle w:val="Prrafodelista"/>
        <w:ind w:left="709" w:hanging="709"/>
        <w:jc w:val="both"/>
        <w:rPr>
          <w:sz w:val="22"/>
          <w:szCs w:val="22"/>
        </w:rPr>
      </w:pPr>
    </w:p>
    <w:p w14:paraId="2E9CD095" w14:textId="77777777" w:rsidR="003E04D6" w:rsidRDefault="00471CC1" w:rsidP="002A0418">
      <w:pPr>
        <w:pStyle w:val="Prrafodelista"/>
        <w:numPr>
          <w:ilvl w:val="0"/>
          <w:numId w:val="3"/>
        </w:numPr>
        <w:ind w:left="709" w:hanging="709"/>
        <w:jc w:val="both"/>
        <w:rPr>
          <w:sz w:val="22"/>
          <w:szCs w:val="22"/>
        </w:rPr>
      </w:pPr>
      <w:r w:rsidRPr="003E04D6">
        <w:rPr>
          <w:sz w:val="22"/>
          <w:szCs w:val="22"/>
        </w:rPr>
        <w:t xml:space="preserve">Si bien el proyecto de ley favorecerá especialmente a los </w:t>
      </w:r>
      <w:proofErr w:type="spellStart"/>
      <w:r w:rsidRPr="003E04D6">
        <w:rPr>
          <w:sz w:val="22"/>
          <w:szCs w:val="22"/>
        </w:rPr>
        <w:t>mitilicultores</w:t>
      </w:r>
      <w:proofErr w:type="spellEnd"/>
      <w:r w:rsidRPr="003E04D6">
        <w:rPr>
          <w:sz w:val="22"/>
          <w:szCs w:val="22"/>
        </w:rPr>
        <w:t xml:space="preserve"> porque son quienes presentan problemas de emplazamiento, el texto ha sido elaborado para todos los cultivos que no son de peces (porque la relocalización de ellos ya está en la ley) y, por ende, permitirá resolver situaciones de emplazamiento respecto de todos los demás cultivos.</w:t>
      </w:r>
    </w:p>
    <w:p w14:paraId="3C683B03" w14:textId="77777777" w:rsidR="003E04D6" w:rsidRPr="003E04D6" w:rsidRDefault="003E04D6" w:rsidP="003E04D6">
      <w:pPr>
        <w:jc w:val="both"/>
        <w:rPr>
          <w:sz w:val="22"/>
          <w:szCs w:val="22"/>
        </w:rPr>
      </w:pPr>
    </w:p>
    <w:p w14:paraId="743B0D5C" w14:textId="42B0C862" w:rsidR="00471CC1" w:rsidRPr="003E04D6" w:rsidRDefault="00471CC1" w:rsidP="002A0418">
      <w:pPr>
        <w:pStyle w:val="Prrafodelista"/>
        <w:numPr>
          <w:ilvl w:val="0"/>
          <w:numId w:val="3"/>
        </w:numPr>
        <w:ind w:left="709" w:hanging="709"/>
        <w:jc w:val="both"/>
        <w:rPr>
          <w:sz w:val="22"/>
          <w:szCs w:val="22"/>
        </w:rPr>
      </w:pPr>
      <w:r w:rsidRPr="003E04D6">
        <w:rPr>
          <w:sz w:val="22"/>
          <w:szCs w:val="22"/>
        </w:rPr>
        <w:t xml:space="preserve">Atendido que este segmento cuenta con menores recursos </w:t>
      </w:r>
      <w:r w:rsidR="004566EC">
        <w:rPr>
          <w:sz w:val="22"/>
          <w:szCs w:val="22"/>
        </w:rPr>
        <w:t xml:space="preserve">económicos, </w:t>
      </w:r>
      <w:r w:rsidRPr="003E04D6">
        <w:rPr>
          <w:sz w:val="22"/>
          <w:szCs w:val="22"/>
        </w:rPr>
        <w:t>se contempla que sea la Subsecretaría la que propondrá la relocalización de las concesiones que se encuentren en una misma área, de modo de facilitar la tramitación</w:t>
      </w:r>
      <w:r w:rsidR="004566EC">
        <w:rPr>
          <w:sz w:val="22"/>
          <w:szCs w:val="22"/>
        </w:rPr>
        <w:t>,</w:t>
      </w:r>
      <w:r w:rsidRPr="003E04D6">
        <w:rPr>
          <w:sz w:val="22"/>
          <w:szCs w:val="22"/>
        </w:rPr>
        <w:t xml:space="preserve"> evitando sobreposiciones de solicitudes y demoras injustificadas (problemas surgidos con las relocalizaciones de salmones).</w:t>
      </w:r>
      <w:r w:rsidR="002A0418" w:rsidRPr="003E04D6">
        <w:rPr>
          <w:sz w:val="22"/>
          <w:szCs w:val="22"/>
        </w:rPr>
        <w:t xml:space="preserve"> La propuesta atenderá a motivos ambientales, sanitarios o de ordenamiento territorial en determinada área, pudiendo disminuir las distancias conforme al reglamento.</w:t>
      </w:r>
    </w:p>
    <w:p w14:paraId="4FCD6633" w14:textId="77777777" w:rsidR="00471CC1" w:rsidRPr="002A0418" w:rsidRDefault="00471CC1" w:rsidP="002A0418">
      <w:pPr>
        <w:jc w:val="both"/>
        <w:rPr>
          <w:sz w:val="22"/>
          <w:szCs w:val="22"/>
        </w:rPr>
      </w:pPr>
    </w:p>
    <w:p w14:paraId="2BA148D7" w14:textId="24991C0E" w:rsidR="002A0418" w:rsidRPr="002A0418" w:rsidRDefault="003E04D6" w:rsidP="002A0418">
      <w:pPr>
        <w:jc w:val="both"/>
        <w:rPr>
          <w:b/>
          <w:sz w:val="22"/>
          <w:szCs w:val="22"/>
        </w:rPr>
      </w:pPr>
      <w:r>
        <w:rPr>
          <w:b/>
          <w:sz w:val="22"/>
          <w:szCs w:val="22"/>
        </w:rPr>
        <w:t>B.</w:t>
      </w:r>
      <w:r>
        <w:rPr>
          <w:b/>
          <w:sz w:val="22"/>
          <w:szCs w:val="22"/>
        </w:rPr>
        <w:tab/>
      </w:r>
      <w:r w:rsidR="002A0418" w:rsidRPr="002A0418">
        <w:rPr>
          <w:b/>
          <w:sz w:val="22"/>
          <w:szCs w:val="22"/>
        </w:rPr>
        <w:t>Permisos especiales de colecta de semillas</w:t>
      </w:r>
    </w:p>
    <w:p w14:paraId="7BEBED21" w14:textId="77777777" w:rsidR="002A0418" w:rsidRPr="002A0418" w:rsidRDefault="002A0418" w:rsidP="002A0418">
      <w:pPr>
        <w:jc w:val="both"/>
        <w:rPr>
          <w:sz w:val="22"/>
          <w:szCs w:val="22"/>
        </w:rPr>
      </w:pPr>
    </w:p>
    <w:p w14:paraId="59172FA2" w14:textId="45E6C44B" w:rsidR="004566EC" w:rsidRPr="004566EC" w:rsidRDefault="002A0418" w:rsidP="004566EC">
      <w:pPr>
        <w:pStyle w:val="Prrafodelista"/>
        <w:numPr>
          <w:ilvl w:val="0"/>
          <w:numId w:val="4"/>
        </w:numPr>
        <w:ind w:left="709" w:hanging="709"/>
        <w:jc w:val="both"/>
        <w:rPr>
          <w:sz w:val="22"/>
          <w:szCs w:val="22"/>
        </w:rPr>
      </w:pPr>
      <w:r w:rsidRPr="009B4420">
        <w:rPr>
          <w:sz w:val="22"/>
          <w:szCs w:val="22"/>
        </w:rPr>
        <w:t>Se crea la figura de permiso especial para colecta de semillas fuera de las concesiones de acuicultura. Estos permisos especiales entregarán el derecho de uso y goce de porciones de mar y fondo para la instalación de colectores de semillas.</w:t>
      </w:r>
      <w:r w:rsidR="004566EC">
        <w:rPr>
          <w:sz w:val="22"/>
          <w:szCs w:val="22"/>
        </w:rPr>
        <w:t xml:space="preserve"> (Esta actividad históricamente se ha realizado con permisos de escasa importancia otorgados por </w:t>
      </w:r>
      <w:proofErr w:type="spellStart"/>
      <w:r w:rsidR="004566EC">
        <w:rPr>
          <w:sz w:val="22"/>
          <w:szCs w:val="22"/>
        </w:rPr>
        <w:t>Directemar</w:t>
      </w:r>
      <w:proofErr w:type="spellEnd"/>
      <w:r w:rsidR="004566EC">
        <w:rPr>
          <w:sz w:val="22"/>
          <w:szCs w:val="22"/>
        </w:rPr>
        <w:t xml:space="preserve"> lo que no les da certeza porque duran hasta un año).</w:t>
      </w:r>
    </w:p>
    <w:p w14:paraId="23A9D875" w14:textId="77777777" w:rsidR="009B4420" w:rsidRPr="009B4420" w:rsidRDefault="009B4420" w:rsidP="009B4420">
      <w:pPr>
        <w:pStyle w:val="Prrafodelista"/>
        <w:ind w:left="709"/>
        <w:jc w:val="both"/>
        <w:rPr>
          <w:sz w:val="22"/>
          <w:szCs w:val="22"/>
        </w:rPr>
      </w:pPr>
    </w:p>
    <w:p w14:paraId="4D75FA35" w14:textId="2A7E8B83" w:rsidR="002A0418" w:rsidRPr="009B4420" w:rsidRDefault="002A0418" w:rsidP="002A0418">
      <w:pPr>
        <w:pStyle w:val="Prrafodelista"/>
        <w:numPr>
          <w:ilvl w:val="0"/>
          <w:numId w:val="4"/>
        </w:numPr>
        <w:ind w:left="709" w:hanging="709"/>
        <w:jc w:val="both"/>
        <w:rPr>
          <w:sz w:val="22"/>
          <w:szCs w:val="22"/>
        </w:rPr>
      </w:pPr>
      <w:r w:rsidRPr="009B4420">
        <w:rPr>
          <w:sz w:val="22"/>
          <w:szCs w:val="22"/>
        </w:rPr>
        <w:t>Estos permisos se otorgarán por un plazo de la destinación, serán renovables si se ha dado cumplimiento a las condiciones de ejercicio de la act</w:t>
      </w:r>
      <w:r w:rsidR="004566EC">
        <w:rPr>
          <w:sz w:val="22"/>
          <w:szCs w:val="22"/>
        </w:rPr>
        <w:t>ividad y siempre que no se haya reincidido</w:t>
      </w:r>
      <w:r w:rsidRPr="009B4420">
        <w:rPr>
          <w:sz w:val="22"/>
          <w:szCs w:val="22"/>
        </w:rPr>
        <w:t xml:space="preserve"> </w:t>
      </w:r>
      <w:r w:rsidR="004566EC">
        <w:rPr>
          <w:sz w:val="22"/>
          <w:szCs w:val="22"/>
        </w:rPr>
        <w:t>en</w:t>
      </w:r>
      <w:r w:rsidRPr="009B4420">
        <w:rPr>
          <w:sz w:val="22"/>
          <w:szCs w:val="22"/>
        </w:rPr>
        <w:t xml:space="preserve"> infracciones contra la normativa ambiental o sanitaria durante su vigencia. Estos permisos serán de dos tipos: </w:t>
      </w:r>
    </w:p>
    <w:p w14:paraId="18440FE9" w14:textId="77777777" w:rsidR="002A0418" w:rsidRDefault="002A0418" w:rsidP="002A0418">
      <w:pPr>
        <w:jc w:val="both"/>
        <w:rPr>
          <w:sz w:val="22"/>
          <w:szCs w:val="22"/>
        </w:rPr>
      </w:pPr>
    </w:p>
    <w:p w14:paraId="13053AF9" w14:textId="751E874F" w:rsidR="002A0418" w:rsidRPr="002A0418" w:rsidRDefault="002A0418" w:rsidP="009B4420">
      <w:pPr>
        <w:ind w:left="1134" w:hanging="425"/>
        <w:jc w:val="both"/>
        <w:rPr>
          <w:sz w:val="22"/>
          <w:szCs w:val="22"/>
        </w:rPr>
      </w:pPr>
      <w:r w:rsidRPr="002A0418">
        <w:rPr>
          <w:sz w:val="22"/>
          <w:szCs w:val="22"/>
        </w:rPr>
        <w:t>a)</w:t>
      </w:r>
      <w:r w:rsidRPr="002A0418">
        <w:rPr>
          <w:sz w:val="22"/>
          <w:szCs w:val="22"/>
        </w:rPr>
        <w:tab/>
      </w:r>
      <w:r w:rsidRPr="009B4420">
        <w:rPr>
          <w:sz w:val="22"/>
          <w:szCs w:val="22"/>
          <w:u w:val="single"/>
        </w:rPr>
        <w:t>En el caso de la X región:</w:t>
      </w:r>
      <w:r w:rsidRPr="002A0418">
        <w:rPr>
          <w:sz w:val="22"/>
          <w:szCs w:val="22"/>
        </w:rPr>
        <w:t xml:space="preserve"> se otorgarán permisos especiales a quienes acrediten la condición de titulares de permisos de escasa importancia qu</w:t>
      </w:r>
      <w:r w:rsidR="009B4420">
        <w:rPr>
          <w:sz w:val="22"/>
          <w:szCs w:val="22"/>
        </w:rPr>
        <w:t>e se califiquen como históricos.</w:t>
      </w:r>
    </w:p>
    <w:p w14:paraId="4AB41063" w14:textId="77777777" w:rsidR="002A0418" w:rsidRPr="002A0418" w:rsidRDefault="002A0418" w:rsidP="009B4420">
      <w:pPr>
        <w:ind w:left="1134" w:hanging="425"/>
        <w:jc w:val="both"/>
        <w:rPr>
          <w:sz w:val="22"/>
          <w:szCs w:val="22"/>
        </w:rPr>
      </w:pPr>
    </w:p>
    <w:p w14:paraId="50C23256" w14:textId="155DA3B1" w:rsidR="002A0418" w:rsidRPr="002A0418" w:rsidRDefault="002A0418" w:rsidP="009B4420">
      <w:pPr>
        <w:ind w:left="1134" w:hanging="425"/>
        <w:jc w:val="both"/>
        <w:rPr>
          <w:sz w:val="22"/>
          <w:szCs w:val="22"/>
        </w:rPr>
      </w:pPr>
      <w:r w:rsidRPr="002A0418">
        <w:rPr>
          <w:sz w:val="22"/>
          <w:szCs w:val="22"/>
        </w:rPr>
        <w:t>b)</w:t>
      </w:r>
      <w:r w:rsidRPr="002A0418">
        <w:rPr>
          <w:sz w:val="22"/>
          <w:szCs w:val="22"/>
        </w:rPr>
        <w:tab/>
      </w:r>
      <w:r w:rsidRPr="009B4420">
        <w:rPr>
          <w:sz w:val="22"/>
          <w:szCs w:val="22"/>
          <w:u w:val="single"/>
        </w:rPr>
        <w:t>En el resto de las regiones:</w:t>
      </w:r>
      <w:r w:rsidRPr="002A0418">
        <w:rPr>
          <w:sz w:val="22"/>
          <w:szCs w:val="22"/>
        </w:rPr>
        <w:t xml:space="preserve"> cada cinco años la Subsecretaría podrá realizar una propuesta de áreas que serán destinadas a colecta de semillas, previa consulta a la Autoridad Marítima </w:t>
      </w:r>
      <w:r>
        <w:rPr>
          <w:sz w:val="22"/>
          <w:szCs w:val="22"/>
        </w:rPr>
        <w:t>y</w:t>
      </w:r>
      <w:r w:rsidRPr="002A0418">
        <w:rPr>
          <w:sz w:val="22"/>
          <w:szCs w:val="22"/>
        </w:rPr>
        <w:t xml:space="preserve"> a la Comisión Regional de Uso del Borde Costero respectiva y habrá consulta </w:t>
      </w:r>
      <w:r w:rsidR="009B4420">
        <w:rPr>
          <w:sz w:val="22"/>
          <w:szCs w:val="22"/>
        </w:rPr>
        <w:t xml:space="preserve">pública </w:t>
      </w:r>
      <w:r w:rsidRPr="002A0418">
        <w:rPr>
          <w:sz w:val="22"/>
          <w:szCs w:val="22"/>
        </w:rPr>
        <w:t xml:space="preserve">mediante la publicación de la propuesta. La  propuesta resultante será remitida a la Subsecretaría para las Fuerzas Armadas, la que </w:t>
      </w:r>
      <w:r w:rsidRPr="002A0418">
        <w:rPr>
          <w:sz w:val="22"/>
          <w:szCs w:val="22"/>
        </w:rPr>
        <w:lastRenderedPageBreak/>
        <w:t>declarará el establecimiento de las áreas de colecta y las otorgará en destinación a la Subsecretaría. La destinación tendrá un plazo de 10 años y podrá ser renovada.</w:t>
      </w:r>
    </w:p>
    <w:p w14:paraId="4511FE62" w14:textId="77777777" w:rsidR="002A0418" w:rsidRPr="002A0418" w:rsidRDefault="002A0418" w:rsidP="002A0418">
      <w:pPr>
        <w:jc w:val="both"/>
        <w:rPr>
          <w:sz w:val="22"/>
          <w:szCs w:val="22"/>
        </w:rPr>
      </w:pPr>
    </w:p>
    <w:p w14:paraId="4D962258" w14:textId="708772A7" w:rsidR="009B4420" w:rsidRPr="009B4420" w:rsidRDefault="002A0418" w:rsidP="009B4420">
      <w:pPr>
        <w:pStyle w:val="Prrafodelista"/>
        <w:numPr>
          <w:ilvl w:val="0"/>
          <w:numId w:val="4"/>
        </w:numPr>
        <w:ind w:left="709" w:hanging="709"/>
        <w:jc w:val="both"/>
        <w:rPr>
          <w:sz w:val="22"/>
          <w:szCs w:val="22"/>
        </w:rPr>
      </w:pPr>
      <w:r w:rsidRPr="009B4420">
        <w:rPr>
          <w:sz w:val="22"/>
          <w:szCs w:val="22"/>
        </w:rPr>
        <w:t xml:space="preserve">Anualmente, en el período y bajo las condiciones señaladas en el reglamento, la Subsecretaría fijará al interior de las áreas de colecta, los polígonos que serán asignados a particulares para ejercer la colecta. </w:t>
      </w:r>
    </w:p>
    <w:p w14:paraId="45586857" w14:textId="77777777" w:rsidR="009B4420" w:rsidRDefault="009B4420" w:rsidP="009B4420">
      <w:pPr>
        <w:pStyle w:val="Prrafodelista"/>
        <w:ind w:left="709" w:hanging="709"/>
        <w:jc w:val="both"/>
        <w:rPr>
          <w:sz w:val="22"/>
          <w:szCs w:val="22"/>
        </w:rPr>
      </w:pPr>
    </w:p>
    <w:p w14:paraId="24D06F63" w14:textId="77777777" w:rsidR="009B4420" w:rsidRDefault="002A0418" w:rsidP="002A0418">
      <w:pPr>
        <w:pStyle w:val="Prrafodelista"/>
        <w:numPr>
          <w:ilvl w:val="0"/>
          <w:numId w:val="4"/>
        </w:numPr>
        <w:ind w:left="709" w:hanging="709"/>
        <w:jc w:val="both"/>
        <w:rPr>
          <w:sz w:val="22"/>
          <w:szCs w:val="22"/>
        </w:rPr>
      </w:pPr>
      <w:r w:rsidRPr="009B4420">
        <w:rPr>
          <w:sz w:val="22"/>
          <w:szCs w:val="22"/>
        </w:rPr>
        <w:t>No podrá ejercerse la actividad de colecta a través de permisos de escasa importancia y sólo podrá realizarse en áreas de manejo, concesiones de acuicultura o en virtud de permisos especiales de colecta.</w:t>
      </w:r>
    </w:p>
    <w:p w14:paraId="251D0C14" w14:textId="77777777" w:rsidR="009B4420" w:rsidRPr="009B4420" w:rsidRDefault="009B4420" w:rsidP="009B4420">
      <w:pPr>
        <w:jc w:val="both"/>
        <w:rPr>
          <w:sz w:val="22"/>
          <w:szCs w:val="22"/>
        </w:rPr>
      </w:pPr>
    </w:p>
    <w:p w14:paraId="24F504AC" w14:textId="6B4DDCD0" w:rsidR="002A0418" w:rsidRPr="009B4420" w:rsidRDefault="002A0418" w:rsidP="002A0418">
      <w:pPr>
        <w:pStyle w:val="Prrafodelista"/>
        <w:numPr>
          <w:ilvl w:val="0"/>
          <w:numId w:val="4"/>
        </w:numPr>
        <w:ind w:left="709" w:hanging="709"/>
        <w:jc w:val="both"/>
        <w:rPr>
          <w:sz w:val="22"/>
          <w:szCs w:val="22"/>
        </w:rPr>
      </w:pPr>
      <w:r w:rsidRPr="009B4420">
        <w:rPr>
          <w:sz w:val="22"/>
          <w:szCs w:val="22"/>
        </w:rPr>
        <w:t>Todos los titulares de permisos especiales, sean de la X región u otras regiones, deberán informar la actividad de colecta conforme al reglamento de información.</w:t>
      </w:r>
    </w:p>
    <w:p w14:paraId="1F61211C" w14:textId="77777777" w:rsidR="002A0418" w:rsidRPr="002A0418" w:rsidRDefault="002A0418" w:rsidP="002A0418">
      <w:pPr>
        <w:jc w:val="both"/>
        <w:rPr>
          <w:sz w:val="22"/>
          <w:szCs w:val="22"/>
        </w:rPr>
      </w:pPr>
    </w:p>
    <w:p w14:paraId="28A19EA8" w14:textId="3F8EC533" w:rsidR="003E04D6" w:rsidRPr="003E04D6" w:rsidRDefault="009B4420" w:rsidP="009B4420">
      <w:pPr>
        <w:ind w:left="709" w:hanging="709"/>
        <w:jc w:val="both"/>
        <w:rPr>
          <w:b/>
          <w:sz w:val="22"/>
          <w:szCs w:val="22"/>
        </w:rPr>
      </w:pPr>
      <w:r>
        <w:rPr>
          <w:b/>
          <w:sz w:val="22"/>
          <w:szCs w:val="22"/>
        </w:rPr>
        <w:t>C.</w:t>
      </w:r>
      <w:r>
        <w:rPr>
          <w:b/>
          <w:sz w:val="22"/>
          <w:szCs w:val="22"/>
        </w:rPr>
        <w:tab/>
      </w:r>
      <w:r w:rsidR="003E04D6">
        <w:rPr>
          <w:b/>
          <w:sz w:val="22"/>
          <w:szCs w:val="22"/>
        </w:rPr>
        <w:t xml:space="preserve">Suspensión de la aplicación de la causal de caducidad y de la elaboración de INFA (informes ambientales) de los centros de cultivo que no son de salmones por </w:t>
      </w:r>
      <w:proofErr w:type="spellStart"/>
      <w:r w:rsidR="003E04D6">
        <w:rPr>
          <w:b/>
          <w:sz w:val="22"/>
          <w:szCs w:val="22"/>
        </w:rPr>
        <w:t>Sernapesca</w:t>
      </w:r>
      <w:proofErr w:type="spellEnd"/>
    </w:p>
    <w:p w14:paraId="5B5060B7" w14:textId="77777777" w:rsidR="003E04D6" w:rsidRDefault="003E04D6" w:rsidP="002A0418">
      <w:pPr>
        <w:jc w:val="both"/>
        <w:rPr>
          <w:sz w:val="22"/>
          <w:szCs w:val="22"/>
        </w:rPr>
      </w:pPr>
    </w:p>
    <w:p w14:paraId="4E479B03" w14:textId="7729B2FE" w:rsidR="009B4420" w:rsidRPr="009B4420" w:rsidRDefault="002A0418" w:rsidP="009B4420">
      <w:pPr>
        <w:pStyle w:val="Prrafodelista"/>
        <w:numPr>
          <w:ilvl w:val="0"/>
          <w:numId w:val="5"/>
        </w:numPr>
        <w:ind w:left="709" w:hanging="709"/>
        <w:jc w:val="both"/>
        <w:rPr>
          <w:sz w:val="22"/>
          <w:szCs w:val="22"/>
        </w:rPr>
      </w:pPr>
      <w:r w:rsidRPr="009B4420">
        <w:rPr>
          <w:sz w:val="22"/>
          <w:szCs w:val="22"/>
        </w:rPr>
        <w:t>E</w:t>
      </w:r>
      <w:r w:rsidR="009B4420">
        <w:rPr>
          <w:sz w:val="22"/>
          <w:szCs w:val="22"/>
        </w:rPr>
        <w:t>n virtud de un</w:t>
      </w:r>
      <w:r w:rsidR="00ED04B2" w:rsidRPr="009B4420">
        <w:rPr>
          <w:sz w:val="22"/>
          <w:szCs w:val="22"/>
        </w:rPr>
        <w:t xml:space="preserve">a auditoría practicada por Contraloría en materia de acuicultura </w:t>
      </w:r>
      <w:proofErr w:type="spellStart"/>
      <w:r w:rsidR="00ED04B2" w:rsidRPr="009B4420">
        <w:rPr>
          <w:sz w:val="22"/>
          <w:szCs w:val="22"/>
        </w:rPr>
        <w:t>Sernapesca</w:t>
      </w:r>
      <w:proofErr w:type="spellEnd"/>
      <w:r w:rsidR="00ED04B2" w:rsidRPr="009B4420">
        <w:rPr>
          <w:sz w:val="22"/>
          <w:szCs w:val="22"/>
        </w:rPr>
        <w:t xml:space="preserve"> </w:t>
      </w:r>
      <w:r w:rsidR="009B4420">
        <w:rPr>
          <w:sz w:val="22"/>
          <w:szCs w:val="22"/>
        </w:rPr>
        <w:t xml:space="preserve">se </w:t>
      </w:r>
      <w:r w:rsidR="00ED04B2" w:rsidRPr="009B4420">
        <w:rPr>
          <w:sz w:val="22"/>
          <w:szCs w:val="22"/>
        </w:rPr>
        <w:t>debió levantar un procedimiento para declarar de oficio la caducidad de los centros de cultivo, encontrándose programada su aplicación para los centros de cultivo que no son de salmones a partir de junio de 2017. De aplicarse la caducidad de oficio 383 centros de cultivo de pequeños y medianos acuicultores serán caducados con el perjuicio que ello acarreará a este sector.</w:t>
      </w:r>
      <w:r w:rsidR="00D053F4">
        <w:rPr>
          <w:sz w:val="22"/>
          <w:szCs w:val="22"/>
        </w:rPr>
        <w:t xml:space="preserve"> </w:t>
      </w:r>
    </w:p>
    <w:p w14:paraId="23589CC8" w14:textId="77777777" w:rsidR="009B4420" w:rsidRPr="009B4420" w:rsidRDefault="009B4420" w:rsidP="009B4420">
      <w:pPr>
        <w:jc w:val="both"/>
        <w:rPr>
          <w:sz w:val="22"/>
          <w:szCs w:val="22"/>
        </w:rPr>
      </w:pPr>
    </w:p>
    <w:p w14:paraId="189E4300" w14:textId="5DD555FD" w:rsidR="00B44F4D" w:rsidRPr="009B4420" w:rsidRDefault="00D053F4" w:rsidP="002A0418">
      <w:pPr>
        <w:pStyle w:val="Prrafodelista"/>
        <w:numPr>
          <w:ilvl w:val="0"/>
          <w:numId w:val="5"/>
        </w:numPr>
        <w:ind w:left="709" w:hanging="709"/>
        <w:jc w:val="both"/>
        <w:rPr>
          <w:sz w:val="22"/>
          <w:szCs w:val="22"/>
        </w:rPr>
      </w:pPr>
      <w:r>
        <w:rPr>
          <w:sz w:val="22"/>
          <w:szCs w:val="22"/>
        </w:rPr>
        <w:t>S</w:t>
      </w:r>
      <w:r w:rsidR="00ED04B2" w:rsidRPr="009B4420">
        <w:rPr>
          <w:sz w:val="22"/>
          <w:szCs w:val="22"/>
        </w:rPr>
        <w:t xml:space="preserve">e plantea incorporar una disposición transitoria al proyecto antes individualizado que permita suspender la aplicación de la causal de caducidad por falta de operación hasta que se culmine el proceso de relocalización de concesiones. Asimismo, debería suspenderse por dicho plazo la elaboración de las INFA por parte de </w:t>
      </w:r>
      <w:proofErr w:type="spellStart"/>
      <w:r w:rsidR="00ED04B2" w:rsidRPr="009B4420">
        <w:rPr>
          <w:sz w:val="22"/>
          <w:szCs w:val="22"/>
        </w:rPr>
        <w:t>Sernapesca</w:t>
      </w:r>
      <w:proofErr w:type="spellEnd"/>
      <w:r w:rsidR="00B44F4D" w:rsidRPr="009B4420">
        <w:rPr>
          <w:sz w:val="22"/>
          <w:szCs w:val="22"/>
        </w:rPr>
        <w:t xml:space="preserve"> manteniendo por ahora el sistema existente</w:t>
      </w:r>
      <w:r w:rsidR="00ED04B2" w:rsidRPr="009B4420">
        <w:rPr>
          <w:sz w:val="22"/>
          <w:szCs w:val="22"/>
        </w:rPr>
        <w:t>.</w:t>
      </w:r>
      <w:r w:rsidR="00B44F4D" w:rsidRPr="009B4420">
        <w:rPr>
          <w:sz w:val="22"/>
          <w:szCs w:val="22"/>
        </w:rPr>
        <w:t xml:space="preserve"> </w:t>
      </w:r>
    </w:p>
    <w:p w14:paraId="0A7D186A" w14:textId="77777777" w:rsidR="00B44F4D" w:rsidRPr="002A0418" w:rsidRDefault="00B44F4D" w:rsidP="002A0418">
      <w:pPr>
        <w:jc w:val="both"/>
        <w:rPr>
          <w:sz w:val="22"/>
          <w:szCs w:val="22"/>
        </w:rPr>
      </w:pPr>
    </w:p>
    <w:p w14:paraId="32C78760" w14:textId="3E022083" w:rsidR="002A0418" w:rsidRDefault="009B4420" w:rsidP="002A0418">
      <w:pPr>
        <w:jc w:val="both"/>
        <w:rPr>
          <w:b/>
          <w:sz w:val="22"/>
          <w:szCs w:val="22"/>
        </w:rPr>
      </w:pPr>
      <w:r>
        <w:rPr>
          <w:b/>
          <w:sz w:val="22"/>
          <w:szCs w:val="22"/>
        </w:rPr>
        <w:t>D.</w:t>
      </w:r>
      <w:r>
        <w:rPr>
          <w:b/>
          <w:sz w:val="22"/>
          <w:szCs w:val="22"/>
        </w:rPr>
        <w:tab/>
      </w:r>
      <w:r w:rsidR="003E04D6">
        <w:rPr>
          <w:b/>
          <w:sz w:val="22"/>
          <w:szCs w:val="22"/>
        </w:rPr>
        <w:t>Apertura de tramitación de solicitudes paralizadas por el cierre de salmones</w:t>
      </w:r>
    </w:p>
    <w:p w14:paraId="4322DAF0" w14:textId="77777777" w:rsidR="003E04D6" w:rsidRPr="003E04D6" w:rsidRDefault="003E04D6" w:rsidP="002A0418">
      <w:pPr>
        <w:jc w:val="both"/>
        <w:rPr>
          <w:b/>
          <w:sz w:val="22"/>
          <w:szCs w:val="22"/>
        </w:rPr>
      </w:pPr>
    </w:p>
    <w:p w14:paraId="7C1E63EF" w14:textId="27080F6B" w:rsidR="00B44F4D" w:rsidRDefault="009B4420" w:rsidP="009B4420">
      <w:pPr>
        <w:pStyle w:val="Prrafodelista"/>
        <w:numPr>
          <w:ilvl w:val="0"/>
          <w:numId w:val="6"/>
        </w:numPr>
        <w:ind w:hanging="720"/>
        <w:jc w:val="both"/>
        <w:rPr>
          <w:sz w:val="22"/>
          <w:szCs w:val="22"/>
        </w:rPr>
      </w:pPr>
      <w:r w:rsidRPr="009B4420">
        <w:rPr>
          <w:sz w:val="22"/>
          <w:szCs w:val="22"/>
        </w:rPr>
        <w:t>Se establecen los casos de solicitudes que pueden ser tramitadas pese al cierre de acceso declarado para la región de Los Lagos ya que se trata de cultivos que no son de salmones y corresponden a cultivos de pequeña escala que han estado paralizados por un error en la redacción de la ley 20.583</w:t>
      </w:r>
      <w:r w:rsidR="00B44F4D" w:rsidRPr="009B4420">
        <w:rPr>
          <w:sz w:val="22"/>
          <w:szCs w:val="22"/>
        </w:rPr>
        <w:t>.</w:t>
      </w:r>
      <w:r w:rsidRPr="009B4420">
        <w:rPr>
          <w:sz w:val="22"/>
          <w:szCs w:val="22"/>
        </w:rPr>
        <w:t xml:space="preserve"> Tanto el senado como la cámara y los pescadores artesanales están esperando esta corrección para dar curso a las solicitudes.</w:t>
      </w:r>
    </w:p>
    <w:p w14:paraId="2A31838F" w14:textId="77777777" w:rsidR="009B4420" w:rsidRPr="009B4420" w:rsidRDefault="009B4420" w:rsidP="009B4420">
      <w:pPr>
        <w:ind w:hanging="720"/>
        <w:jc w:val="both"/>
        <w:rPr>
          <w:sz w:val="22"/>
          <w:szCs w:val="22"/>
        </w:rPr>
      </w:pPr>
    </w:p>
    <w:p w14:paraId="7A18DDF6" w14:textId="15928414" w:rsidR="009B4420" w:rsidRPr="009B4420" w:rsidRDefault="009B4420" w:rsidP="009B4420">
      <w:pPr>
        <w:pStyle w:val="Prrafodelista"/>
        <w:numPr>
          <w:ilvl w:val="0"/>
          <w:numId w:val="6"/>
        </w:numPr>
        <w:ind w:hanging="720"/>
        <w:jc w:val="both"/>
        <w:rPr>
          <w:sz w:val="22"/>
          <w:szCs w:val="22"/>
        </w:rPr>
      </w:pPr>
      <w:r>
        <w:rPr>
          <w:sz w:val="22"/>
          <w:szCs w:val="22"/>
        </w:rPr>
        <w:t>Hay una moción del senador Quinteros que va en el mismo</w:t>
      </w:r>
      <w:r w:rsidR="00D053F4">
        <w:rPr>
          <w:sz w:val="22"/>
          <w:szCs w:val="22"/>
        </w:rPr>
        <w:t xml:space="preserve"> sentido pero dado que no se sabía si avanzaría</w:t>
      </w:r>
      <w:r>
        <w:rPr>
          <w:sz w:val="22"/>
          <w:szCs w:val="22"/>
        </w:rPr>
        <w:t xml:space="preserve"> más rápido que esta iniciativa</w:t>
      </w:r>
      <w:r w:rsidR="00D053F4">
        <w:rPr>
          <w:sz w:val="22"/>
          <w:szCs w:val="22"/>
        </w:rPr>
        <w:t>,</w:t>
      </w:r>
      <w:r>
        <w:rPr>
          <w:sz w:val="22"/>
          <w:szCs w:val="22"/>
        </w:rPr>
        <w:t xml:space="preserve"> se incluyó.</w:t>
      </w:r>
    </w:p>
    <w:p w14:paraId="4C0FAD76" w14:textId="77777777" w:rsidR="009B4420" w:rsidRPr="002A0418" w:rsidRDefault="009B4420" w:rsidP="002A0418">
      <w:pPr>
        <w:jc w:val="both"/>
        <w:rPr>
          <w:sz w:val="22"/>
          <w:szCs w:val="22"/>
        </w:rPr>
      </w:pPr>
    </w:p>
    <w:sectPr w:rsidR="009B4420" w:rsidRPr="002A0418" w:rsidSect="00E35CAF">
      <w:headerReference w:type="default" r:id="rId8"/>
      <w:footerReference w:type="default" r:id="rId9"/>
      <w:pgSz w:w="12240" w:h="20160" w:code="5"/>
      <w:pgMar w:top="1418" w:right="1701" w:bottom="1418" w:left="1701" w:header="794" w:footer="26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CC802" w14:textId="77777777" w:rsidR="00896E30" w:rsidRDefault="00896E30" w:rsidP="00896E30">
      <w:r>
        <w:separator/>
      </w:r>
    </w:p>
  </w:endnote>
  <w:endnote w:type="continuationSeparator" w:id="0">
    <w:p w14:paraId="72257A8D" w14:textId="77777777" w:rsidR="00896E30" w:rsidRDefault="00896E30" w:rsidP="0089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776290"/>
      <w:docPartObj>
        <w:docPartGallery w:val="Page Numbers (Bottom of Page)"/>
        <w:docPartUnique/>
      </w:docPartObj>
    </w:sdtPr>
    <w:sdtEndPr/>
    <w:sdtContent>
      <w:sdt>
        <w:sdtPr>
          <w:id w:val="-1769616900"/>
          <w:docPartObj>
            <w:docPartGallery w:val="Page Numbers (Top of Page)"/>
            <w:docPartUnique/>
          </w:docPartObj>
        </w:sdtPr>
        <w:sdtEndPr/>
        <w:sdtContent>
          <w:p w14:paraId="59E271C1" w14:textId="555063D1" w:rsidR="00896E30" w:rsidRDefault="00896E30">
            <w:pPr>
              <w:pStyle w:val="Piedepgina"/>
              <w:jc w:val="right"/>
            </w:pPr>
            <w:r w:rsidRPr="00896E30">
              <w:rPr>
                <w:sz w:val="20"/>
                <w:szCs w:val="20"/>
                <w:lang w:val="es-ES"/>
              </w:rPr>
              <w:t xml:space="preserve">Valeria Ramírez J. Abogado. </w:t>
            </w:r>
            <w:hyperlink r:id="rId1" w:history="1">
              <w:r w:rsidRPr="00896E30">
                <w:rPr>
                  <w:rStyle w:val="Hipervnculo"/>
                  <w:sz w:val="20"/>
                  <w:szCs w:val="20"/>
                  <w:lang w:val="es-ES"/>
                </w:rPr>
                <w:t>vramirez@senado.cl</w:t>
              </w:r>
            </w:hyperlink>
            <w:r w:rsidRPr="00896E30">
              <w:rPr>
                <w:sz w:val="20"/>
                <w:szCs w:val="20"/>
                <w:lang w:val="es-ES"/>
              </w:rPr>
              <w:t xml:space="preserve"> </w:t>
            </w:r>
            <w:r>
              <w:rPr>
                <w:lang w:val="es-ES"/>
              </w:rPr>
              <w:t xml:space="preserve">                                                                   </w:t>
            </w:r>
            <w:r>
              <w:rPr>
                <w:b/>
                <w:bCs/>
              </w:rPr>
              <w:fldChar w:fldCharType="begin"/>
            </w:r>
            <w:r>
              <w:rPr>
                <w:b/>
                <w:bCs/>
              </w:rPr>
              <w:instrText>PAGE</w:instrText>
            </w:r>
            <w:r>
              <w:rPr>
                <w:b/>
                <w:bCs/>
              </w:rPr>
              <w:fldChar w:fldCharType="separate"/>
            </w:r>
            <w:r w:rsidR="002F0F5D">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2F0F5D">
              <w:rPr>
                <w:b/>
                <w:bCs/>
                <w:noProof/>
              </w:rPr>
              <w:t>2</w:t>
            </w:r>
            <w:r>
              <w:rPr>
                <w:b/>
                <w:bCs/>
              </w:rPr>
              <w:fldChar w:fldCharType="end"/>
            </w:r>
          </w:p>
        </w:sdtContent>
      </w:sdt>
    </w:sdtContent>
  </w:sdt>
  <w:p w14:paraId="767CB6DE" w14:textId="77777777" w:rsidR="00896E30" w:rsidRDefault="00896E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D5AD7" w14:textId="77777777" w:rsidR="00896E30" w:rsidRDefault="00896E30" w:rsidP="00896E30">
      <w:r>
        <w:separator/>
      </w:r>
    </w:p>
  </w:footnote>
  <w:footnote w:type="continuationSeparator" w:id="0">
    <w:p w14:paraId="567F51F2" w14:textId="77777777" w:rsidR="00896E30" w:rsidRDefault="00896E30" w:rsidP="00896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A5369" w14:textId="230665D2" w:rsidR="00896E30" w:rsidRDefault="00896E30" w:rsidP="00E35CAF">
    <w:pPr>
      <w:pStyle w:val="Encabezado"/>
      <w:tabs>
        <w:tab w:val="left" w:pos="6908"/>
      </w:tabs>
      <w:rPr>
        <w:sz w:val="16"/>
        <w:szCs w:val="16"/>
        <w:lang w:val="es-CL"/>
      </w:rPr>
    </w:pPr>
    <w:r>
      <w:rPr>
        <w:noProof/>
        <w:lang w:val="es-CL" w:eastAsia="es-CL"/>
      </w:rPr>
      <w:drawing>
        <wp:anchor distT="0" distB="0" distL="114300" distR="114300" simplePos="0" relativeHeight="251667456" behindDoc="0" locked="0" layoutInCell="1" allowOverlap="1" wp14:anchorId="04652D70" wp14:editId="388CE37A">
          <wp:simplePos x="0" y="0"/>
          <wp:positionH relativeFrom="column">
            <wp:posOffset>-127455</wp:posOffset>
          </wp:positionH>
          <wp:positionV relativeFrom="paragraph">
            <wp:posOffset>-16510</wp:posOffset>
          </wp:positionV>
          <wp:extent cx="1118389" cy="639519"/>
          <wp:effectExtent l="0" t="0" r="5715" b="825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a:stretch>
                    <a:fillRect/>
                  </a:stretch>
                </pic:blipFill>
                <pic:spPr>
                  <a:xfrm>
                    <a:off x="0" y="0"/>
                    <a:ext cx="1118389" cy="639519"/>
                  </a:xfrm>
                  <a:prstGeom prst="rect">
                    <a:avLst/>
                  </a:prstGeom>
                  <a:ln/>
                </pic:spPr>
              </pic:pic>
            </a:graphicData>
          </a:graphic>
          <wp14:sizeRelV relativeFrom="margin">
            <wp14:pctHeight>0</wp14:pctHeight>
          </wp14:sizeRelV>
        </wp:anchor>
      </w:drawing>
    </w:r>
  </w:p>
  <w:p w14:paraId="331E91C0" w14:textId="77777777" w:rsidR="00896E30" w:rsidRPr="005055FB" w:rsidRDefault="00896E30" w:rsidP="00896E30">
    <w:pPr>
      <w:pStyle w:val="Encabezado"/>
      <w:jc w:val="right"/>
      <w:rPr>
        <w:sz w:val="16"/>
        <w:szCs w:val="16"/>
        <w:lang w:val="es-CL"/>
      </w:rPr>
    </w:pPr>
    <w:r w:rsidRPr="005055FB">
      <w:rPr>
        <w:sz w:val="16"/>
        <w:szCs w:val="16"/>
        <w:lang w:val="es-CL"/>
      </w:rPr>
      <w:t>Senadora Carmen Gloria Aravena.</w:t>
    </w:r>
  </w:p>
  <w:p w14:paraId="36CA4BD7" w14:textId="77777777" w:rsidR="00896E30" w:rsidRPr="005055FB" w:rsidRDefault="00896E30" w:rsidP="00896E30">
    <w:pPr>
      <w:pStyle w:val="Encabezado"/>
      <w:jc w:val="right"/>
      <w:rPr>
        <w:sz w:val="16"/>
        <w:szCs w:val="16"/>
        <w:lang w:val="es-CL"/>
      </w:rPr>
    </w:pPr>
    <w:r w:rsidRPr="005055FB">
      <w:rPr>
        <w:sz w:val="16"/>
        <w:szCs w:val="16"/>
        <w:lang w:val="es-CL"/>
      </w:rPr>
      <w:t>Senado. Congreso Nacional de Chile</w:t>
    </w:r>
  </w:p>
  <w:p w14:paraId="09CC4FD3" w14:textId="77777777" w:rsidR="00896E30" w:rsidRDefault="00896E30" w:rsidP="00896E30">
    <w:pPr>
      <w:pStyle w:val="Encabezado"/>
      <w:jc w:val="right"/>
      <w:rPr>
        <w:sz w:val="16"/>
        <w:szCs w:val="16"/>
        <w:lang w:val="es-CL"/>
      </w:rPr>
    </w:pPr>
    <w:r>
      <w:rPr>
        <w:sz w:val="16"/>
        <w:szCs w:val="16"/>
        <w:lang w:val="es-CL"/>
      </w:rPr>
      <w:t xml:space="preserve">Valparaíso, 03 de octubre </w:t>
    </w:r>
    <w:r w:rsidRPr="005055FB">
      <w:rPr>
        <w:sz w:val="16"/>
        <w:szCs w:val="16"/>
        <w:lang w:val="es-CL"/>
      </w:rPr>
      <w:t>de 2018</w:t>
    </w:r>
  </w:p>
  <w:p w14:paraId="7E1F0786" w14:textId="77777777" w:rsidR="00896E30" w:rsidRDefault="00896E30" w:rsidP="00896E30">
    <w:pPr>
      <w:pStyle w:val="Encabezado"/>
      <w:jc w:val="right"/>
      <w:rPr>
        <w:sz w:val="16"/>
        <w:szCs w:val="16"/>
        <w:lang w:val="es-CL"/>
      </w:rPr>
    </w:pPr>
  </w:p>
  <w:p w14:paraId="07709087" w14:textId="77777777" w:rsidR="00896E30" w:rsidRPr="00FE6E39" w:rsidRDefault="00896E30" w:rsidP="00896E30">
    <w:pPr>
      <w:pStyle w:val="Encabezado"/>
      <w:jc w:val="center"/>
      <w:rPr>
        <w:rFonts w:ascii="Candara" w:hAnsi="Candara"/>
        <w:lang w:val="es-CL"/>
      </w:rPr>
    </w:pPr>
    <w:r w:rsidRPr="00FE6E39">
      <w:rPr>
        <w:rFonts w:ascii="Candara" w:hAnsi="Candara"/>
        <w:lang w:val="es-CL"/>
      </w:rPr>
      <w:t>Minuta Comisión de Intereses Marítimos, Pesca y Acuicultura del Senado</w:t>
    </w:r>
  </w:p>
  <w:p w14:paraId="1F888E34" w14:textId="3718A925" w:rsidR="00896E30" w:rsidRDefault="00896E30">
    <w:pPr>
      <w:pStyle w:val="Encabezado"/>
    </w:pPr>
  </w:p>
  <w:p w14:paraId="7C83BD83" w14:textId="77777777" w:rsidR="00896E30" w:rsidRDefault="00896E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91993"/>
    <w:multiLevelType w:val="hybridMultilevel"/>
    <w:tmpl w:val="B12C79F8"/>
    <w:lvl w:ilvl="0" w:tplc="7D326734">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A83F68"/>
    <w:multiLevelType w:val="hybridMultilevel"/>
    <w:tmpl w:val="67BACBB6"/>
    <w:lvl w:ilvl="0" w:tplc="8B7A2E58">
      <w:start w:val="1"/>
      <w:numFmt w:val="low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3A2014C3"/>
    <w:multiLevelType w:val="hybridMultilevel"/>
    <w:tmpl w:val="93DA7EA4"/>
    <w:lvl w:ilvl="0" w:tplc="051E9FB6">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3AB11C7"/>
    <w:multiLevelType w:val="hybridMultilevel"/>
    <w:tmpl w:val="5FD4AB90"/>
    <w:lvl w:ilvl="0" w:tplc="4C18CB6A">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6371537"/>
    <w:multiLevelType w:val="hybridMultilevel"/>
    <w:tmpl w:val="5D088C76"/>
    <w:lvl w:ilvl="0" w:tplc="FD100880">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B4305AA"/>
    <w:multiLevelType w:val="hybridMultilevel"/>
    <w:tmpl w:val="97AC08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79"/>
    <w:rsid w:val="000F4C09"/>
    <w:rsid w:val="001B43B1"/>
    <w:rsid w:val="00294879"/>
    <w:rsid w:val="002A0418"/>
    <w:rsid w:val="002A5658"/>
    <w:rsid w:val="002F0F5D"/>
    <w:rsid w:val="003E04D6"/>
    <w:rsid w:val="004566EC"/>
    <w:rsid w:val="00471CC1"/>
    <w:rsid w:val="005C1710"/>
    <w:rsid w:val="006C08C5"/>
    <w:rsid w:val="00896E30"/>
    <w:rsid w:val="009B4420"/>
    <w:rsid w:val="00AB422D"/>
    <w:rsid w:val="00B44F4D"/>
    <w:rsid w:val="00D053F4"/>
    <w:rsid w:val="00E35CAF"/>
    <w:rsid w:val="00ED04B2"/>
    <w:rsid w:val="00F72FC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E05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ED04B2"/>
    <w:pPr>
      <w:ind w:left="720"/>
      <w:contextualSpacing/>
    </w:pPr>
  </w:style>
  <w:style w:type="paragraph" w:styleId="Encabezado">
    <w:name w:val="header"/>
    <w:basedOn w:val="Normal"/>
    <w:link w:val="EncabezadoCar"/>
    <w:uiPriority w:val="99"/>
    <w:unhideWhenUsed/>
    <w:rsid w:val="00896E30"/>
    <w:pPr>
      <w:tabs>
        <w:tab w:val="center" w:pos="4419"/>
        <w:tab w:val="right" w:pos="8838"/>
      </w:tabs>
    </w:pPr>
  </w:style>
  <w:style w:type="character" w:customStyle="1" w:styleId="EncabezadoCar">
    <w:name w:val="Encabezado Car"/>
    <w:basedOn w:val="Fuentedeprrafopredeter"/>
    <w:link w:val="Encabezado"/>
    <w:uiPriority w:val="99"/>
    <w:rsid w:val="00896E30"/>
  </w:style>
  <w:style w:type="paragraph" w:styleId="Piedepgina">
    <w:name w:val="footer"/>
    <w:basedOn w:val="Normal"/>
    <w:link w:val="PiedepginaCar"/>
    <w:uiPriority w:val="99"/>
    <w:unhideWhenUsed/>
    <w:rsid w:val="00896E30"/>
    <w:pPr>
      <w:tabs>
        <w:tab w:val="center" w:pos="4419"/>
        <w:tab w:val="right" w:pos="8838"/>
      </w:tabs>
    </w:pPr>
  </w:style>
  <w:style w:type="character" w:customStyle="1" w:styleId="PiedepginaCar">
    <w:name w:val="Pie de página Car"/>
    <w:basedOn w:val="Fuentedeprrafopredeter"/>
    <w:link w:val="Piedepgina"/>
    <w:uiPriority w:val="99"/>
    <w:rsid w:val="00896E30"/>
  </w:style>
  <w:style w:type="character" w:styleId="Hipervnculo">
    <w:name w:val="Hyperlink"/>
    <w:basedOn w:val="Fuentedeprrafopredeter"/>
    <w:uiPriority w:val="99"/>
    <w:unhideWhenUsed/>
    <w:rsid w:val="00896E30"/>
    <w:rPr>
      <w:color w:val="0000FF" w:themeColor="hyperlink"/>
      <w:u w:val="single"/>
    </w:rPr>
  </w:style>
  <w:style w:type="character" w:customStyle="1" w:styleId="UnresolvedMention">
    <w:name w:val="Unresolved Mention"/>
    <w:basedOn w:val="Fuentedeprrafopredeter"/>
    <w:uiPriority w:val="99"/>
    <w:semiHidden/>
    <w:unhideWhenUsed/>
    <w:rsid w:val="00896E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ED04B2"/>
    <w:pPr>
      <w:ind w:left="720"/>
      <w:contextualSpacing/>
    </w:pPr>
  </w:style>
  <w:style w:type="paragraph" w:styleId="Encabezado">
    <w:name w:val="header"/>
    <w:basedOn w:val="Normal"/>
    <w:link w:val="EncabezadoCar"/>
    <w:uiPriority w:val="99"/>
    <w:unhideWhenUsed/>
    <w:rsid w:val="00896E30"/>
    <w:pPr>
      <w:tabs>
        <w:tab w:val="center" w:pos="4419"/>
        <w:tab w:val="right" w:pos="8838"/>
      </w:tabs>
    </w:pPr>
  </w:style>
  <w:style w:type="character" w:customStyle="1" w:styleId="EncabezadoCar">
    <w:name w:val="Encabezado Car"/>
    <w:basedOn w:val="Fuentedeprrafopredeter"/>
    <w:link w:val="Encabezado"/>
    <w:uiPriority w:val="99"/>
    <w:rsid w:val="00896E30"/>
  </w:style>
  <w:style w:type="paragraph" w:styleId="Piedepgina">
    <w:name w:val="footer"/>
    <w:basedOn w:val="Normal"/>
    <w:link w:val="PiedepginaCar"/>
    <w:uiPriority w:val="99"/>
    <w:unhideWhenUsed/>
    <w:rsid w:val="00896E30"/>
    <w:pPr>
      <w:tabs>
        <w:tab w:val="center" w:pos="4419"/>
        <w:tab w:val="right" w:pos="8838"/>
      </w:tabs>
    </w:pPr>
  </w:style>
  <w:style w:type="character" w:customStyle="1" w:styleId="PiedepginaCar">
    <w:name w:val="Pie de página Car"/>
    <w:basedOn w:val="Fuentedeprrafopredeter"/>
    <w:link w:val="Piedepgina"/>
    <w:uiPriority w:val="99"/>
    <w:rsid w:val="00896E30"/>
  </w:style>
  <w:style w:type="character" w:styleId="Hipervnculo">
    <w:name w:val="Hyperlink"/>
    <w:basedOn w:val="Fuentedeprrafopredeter"/>
    <w:uiPriority w:val="99"/>
    <w:unhideWhenUsed/>
    <w:rsid w:val="00896E30"/>
    <w:rPr>
      <w:color w:val="0000FF" w:themeColor="hyperlink"/>
      <w:u w:val="single"/>
    </w:rPr>
  </w:style>
  <w:style w:type="character" w:customStyle="1" w:styleId="UnresolvedMention">
    <w:name w:val="Unresolved Mention"/>
    <w:basedOn w:val="Fuentedeprrafopredeter"/>
    <w:uiPriority w:val="99"/>
    <w:semiHidden/>
    <w:unhideWhenUsed/>
    <w:rsid w:val="00896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ramirez@senado.cl"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839</Words>
  <Characters>4617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fuentes</dc:creator>
  <cp:keywords/>
  <dc:description/>
  <cp:lastModifiedBy>Valeria</cp:lastModifiedBy>
  <cp:revision>5</cp:revision>
  <cp:lastPrinted>2018-10-03T12:34:00Z</cp:lastPrinted>
  <dcterms:created xsi:type="dcterms:W3CDTF">2018-10-03T12:30:00Z</dcterms:created>
  <dcterms:modified xsi:type="dcterms:W3CDTF">2018-10-23T20:17:00Z</dcterms:modified>
</cp:coreProperties>
</file>