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DB" w:rsidRPr="00361CE2" w:rsidRDefault="00361CE2" w:rsidP="00361CE2">
      <w:pPr>
        <w:jc w:val="center"/>
        <w:rPr>
          <w:rFonts w:asciiTheme="majorHAnsi" w:hAnsiTheme="majorHAnsi"/>
          <w:b/>
          <w:u w:val="single"/>
        </w:rPr>
      </w:pPr>
      <w:r w:rsidRPr="00361CE2">
        <w:rPr>
          <w:rFonts w:asciiTheme="majorHAnsi" w:hAnsiTheme="majorHAnsi"/>
          <w:b/>
          <w:u w:val="single"/>
        </w:rPr>
        <w:t>Aborto y Objeción de Conciencia Institucional</w:t>
      </w:r>
    </w:p>
    <w:p w:rsidR="00361CE2" w:rsidRPr="00361CE2" w:rsidRDefault="00361CE2" w:rsidP="00361CE2">
      <w:pPr>
        <w:jc w:val="center"/>
        <w:rPr>
          <w:rFonts w:asciiTheme="majorHAnsi" w:hAnsiTheme="majorHAnsi"/>
          <w:b/>
          <w:u w:val="single"/>
        </w:rPr>
      </w:pPr>
    </w:p>
    <w:p w:rsidR="00361CE2" w:rsidRPr="00AD5E7E" w:rsidRDefault="00361CE2" w:rsidP="00AD5E7E">
      <w:pPr>
        <w:pStyle w:val="ListParagraph"/>
        <w:numPr>
          <w:ilvl w:val="0"/>
          <w:numId w:val="2"/>
        </w:numPr>
        <w:jc w:val="both"/>
        <w:rPr>
          <w:rFonts w:asciiTheme="majorHAnsi" w:hAnsiTheme="majorHAnsi"/>
          <w:sz w:val="22"/>
          <w:szCs w:val="22"/>
        </w:rPr>
      </w:pPr>
      <w:r w:rsidRPr="00AD5E7E">
        <w:rPr>
          <w:rFonts w:asciiTheme="majorHAnsi" w:hAnsiTheme="majorHAnsi"/>
          <w:b/>
          <w:sz w:val="22"/>
          <w:szCs w:val="22"/>
          <w:u w:val="single"/>
        </w:rPr>
        <w:t>Antecedentes de</w:t>
      </w:r>
      <w:r w:rsidR="00262846" w:rsidRPr="00AD5E7E">
        <w:rPr>
          <w:rFonts w:asciiTheme="majorHAnsi" w:hAnsiTheme="majorHAnsi"/>
          <w:b/>
          <w:sz w:val="22"/>
          <w:szCs w:val="22"/>
          <w:u w:val="single"/>
        </w:rPr>
        <w:t xml:space="preserve"> hecho</w:t>
      </w:r>
      <w:r w:rsidRPr="00AD5E7E">
        <w:rPr>
          <w:rFonts w:asciiTheme="majorHAnsi" w:hAnsiTheme="majorHAnsi"/>
          <w:sz w:val="22"/>
          <w:szCs w:val="22"/>
        </w:rPr>
        <w:t>:</w:t>
      </w:r>
    </w:p>
    <w:p w:rsidR="00361CE2" w:rsidRPr="00AD5E7E" w:rsidRDefault="00361CE2" w:rsidP="00AD5E7E">
      <w:pPr>
        <w:pStyle w:val="ListParagraph"/>
        <w:ind w:left="1080"/>
        <w:jc w:val="both"/>
        <w:rPr>
          <w:rFonts w:asciiTheme="majorHAnsi" w:hAnsiTheme="majorHAnsi"/>
          <w:sz w:val="22"/>
          <w:szCs w:val="22"/>
        </w:rPr>
      </w:pPr>
    </w:p>
    <w:p w:rsidR="00361CE2" w:rsidRDefault="00F25BD4" w:rsidP="005C6AF0">
      <w:pPr>
        <w:pStyle w:val="ListParagraph"/>
        <w:numPr>
          <w:ilvl w:val="0"/>
          <w:numId w:val="1"/>
        </w:numPr>
        <w:jc w:val="both"/>
        <w:rPr>
          <w:rFonts w:asciiTheme="majorHAnsi" w:hAnsiTheme="majorHAnsi"/>
          <w:sz w:val="22"/>
          <w:szCs w:val="22"/>
        </w:rPr>
      </w:pPr>
      <w:r w:rsidRPr="005C6AF0">
        <w:rPr>
          <w:rFonts w:asciiTheme="majorHAnsi" w:hAnsiTheme="majorHAnsi"/>
          <w:sz w:val="22"/>
          <w:szCs w:val="22"/>
        </w:rPr>
        <w:t>Du</w:t>
      </w:r>
      <w:r w:rsidR="005C6AF0" w:rsidRPr="005C6AF0">
        <w:rPr>
          <w:rFonts w:asciiTheme="majorHAnsi" w:hAnsiTheme="majorHAnsi"/>
          <w:sz w:val="22"/>
          <w:szCs w:val="22"/>
        </w:rPr>
        <w:t xml:space="preserve">rante la tramitación de </w:t>
      </w:r>
      <w:r w:rsidR="005C6AF0" w:rsidRPr="00262846">
        <w:rPr>
          <w:rFonts w:asciiTheme="majorHAnsi" w:hAnsiTheme="majorHAnsi"/>
          <w:sz w:val="22"/>
          <w:szCs w:val="22"/>
        </w:rPr>
        <w:t>la ley N</w:t>
      </w:r>
      <w:r w:rsidRPr="00262846">
        <w:rPr>
          <w:rFonts w:asciiTheme="majorHAnsi" w:hAnsiTheme="majorHAnsi"/>
          <w:sz w:val="22"/>
          <w:szCs w:val="22"/>
        </w:rPr>
        <w:t>º 21.030</w:t>
      </w:r>
      <w:r w:rsidR="005C6AF0" w:rsidRPr="00262846">
        <w:rPr>
          <w:rFonts w:asciiTheme="majorHAnsi" w:hAnsiTheme="majorHAnsi"/>
          <w:sz w:val="22"/>
          <w:szCs w:val="22"/>
        </w:rPr>
        <w:t xml:space="preserve"> de aborto en tres causales,</w:t>
      </w:r>
      <w:r w:rsidR="005C6AF0" w:rsidRPr="005C6AF0">
        <w:rPr>
          <w:rFonts w:asciiTheme="majorHAnsi" w:hAnsiTheme="majorHAnsi"/>
          <w:sz w:val="22"/>
          <w:szCs w:val="22"/>
        </w:rPr>
        <w:t xml:space="preserve"> uno de los temas más discutidos giro entorno a si se reconocería la posibilidad de objeción de conciencia únicamente a personas naturales, o si también podrían invocarlas agrupaciones o personas jurídicas. Finalmente, luego de la revisión hecha por el Tribunal Constitucional, se estableció de manera explicita que “</w:t>
      </w:r>
      <w:r w:rsidR="005C6AF0" w:rsidRPr="005C6AF0">
        <w:rPr>
          <w:rFonts w:asciiTheme="majorHAnsi" w:hAnsiTheme="majorHAnsi"/>
          <w:i/>
          <w:sz w:val="22"/>
          <w:szCs w:val="22"/>
        </w:rPr>
        <w:t>la objeción de conciencia es de carácter personal y podrá ser invocada por una institución</w:t>
      </w:r>
      <w:r w:rsidR="005C6AF0" w:rsidRPr="005C6AF0">
        <w:rPr>
          <w:rFonts w:asciiTheme="majorHAnsi" w:hAnsiTheme="majorHAnsi"/>
          <w:sz w:val="22"/>
          <w:szCs w:val="22"/>
        </w:rPr>
        <w:t>”</w:t>
      </w:r>
      <w:r w:rsidR="005C6AF0">
        <w:rPr>
          <w:rStyle w:val="FootnoteReference"/>
          <w:rFonts w:asciiTheme="majorHAnsi" w:hAnsiTheme="majorHAnsi"/>
          <w:sz w:val="22"/>
          <w:szCs w:val="22"/>
        </w:rPr>
        <w:footnoteReference w:id="1"/>
      </w:r>
      <w:r w:rsidR="005C6AF0" w:rsidRPr="005C6AF0">
        <w:rPr>
          <w:rFonts w:asciiTheme="majorHAnsi" w:hAnsiTheme="majorHAnsi"/>
          <w:sz w:val="22"/>
          <w:szCs w:val="22"/>
        </w:rPr>
        <w:t>.</w:t>
      </w:r>
    </w:p>
    <w:p w:rsidR="00AD5E7E" w:rsidRPr="005C6AF0" w:rsidRDefault="00AD5E7E" w:rsidP="00AD5E7E">
      <w:pPr>
        <w:pStyle w:val="ListParagraph"/>
        <w:jc w:val="both"/>
        <w:rPr>
          <w:rFonts w:asciiTheme="majorHAnsi" w:hAnsiTheme="majorHAnsi"/>
          <w:sz w:val="22"/>
          <w:szCs w:val="22"/>
        </w:rPr>
      </w:pPr>
    </w:p>
    <w:p w:rsidR="00775131" w:rsidRDefault="00775131" w:rsidP="005C6AF0">
      <w:pPr>
        <w:pStyle w:val="ListParagraph"/>
        <w:numPr>
          <w:ilvl w:val="0"/>
          <w:numId w:val="1"/>
        </w:numPr>
        <w:jc w:val="both"/>
        <w:rPr>
          <w:rFonts w:asciiTheme="majorHAnsi" w:hAnsiTheme="majorHAnsi"/>
          <w:sz w:val="22"/>
          <w:szCs w:val="22"/>
        </w:rPr>
      </w:pPr>
      <w:r>
        <w:rPr>
          <w:rFonts w:asciiTheme="majorHAnsi" w:hAnsiTheme="majorHAnsi"/>
          <w:sz w:val="22"/>
          <w:szCs w:val="22"/>
        </w:rPr>
        <w:t xml:space="preserve">A fines del gobierno de Michelle Bachelet se dictó un protocolo que regulaba la objeción de conciencia institucional, negándosela a aquellas entidades no estatales que forman parte de la red salud pública. </w:t>
      </w:r>
    </w:p>
    <w:p w:rsidR="00AD5E7E" w:rsidRPr="00AD5E7E" w:rsidRDefault="00AD5E7E" w:rsidP="00AD5E7E">
      <w:pPr>
        <w:jc w:val="both"/>
        <w:rPr>
          <w:rFonts w:asciiTheme="majorHAnsi" w:hAnsiTheme="majorHAnsi"/>
          <w:sz w:val="22"/>
          <w:szCs w:val="22"/>
        </w:rPr>
      </w:pPr>
    </w:p>
    <w:p w:rsidR="005C6AF0" w:rsidRDefault="00775131" w:rsidP="005C6AF0">
      <w:pPr>
        <w:pStyle w:val="ListParagraph"/>
        <w:numPr>
          <w:ilvl w:val="0"/>
          <w:numId w:val="1"/>
        </w:numPr>
        <w:jc w:val="both"/>
        <w:rPr>
          <w:rFonts w:asciiTheme="majorHAnsi" w:hAnsiTheme="majorHAnsi"/>
          <w:sz w:val="22"/>
          <w:szCs w:val="22"/>
        </w:rPr>
      </w:pPr>
      <w:r>
        <w:rPr>
          <w:rFonts w:asciiTheme="majorHAnsi" w:hAnsiTheme="majorHAnsi"/>
          <w:sz w:val="22"/>
          <w:szCs w:val="22"/>
        </w:rPr>
        <w:t>Al asumir el gobierno de Sebastián Piñera, se intentó reemplazar ese protocolo por uno que sí le</w:t>
      </w:r>
      <w:r w:rsidR="00262846">
        <w:rPr>
          <w:rFonts w:asciiTheme="majorHAnsi" w:hAnsiTheme="majorHAnsi"/>
          <w:sz w:val="22"/>
          <w:szCs w:val="22"/>
        </w:rPr>
        <w:t>s</w:t>
      </w:r>
      <w:r>
        <w:rPr>
          <w:rFonts w:asciiTheme="majorHAnsi" w:hAnsiTheme="majorHAnsi"/>
          <w:sz w:val="22"/>
          <w:szCs w:val="22"/>
        </w:rPr>
        <w:t xml:space="preserve"> permitiera invocar una objeción institucional. Sin embargo, la Contraloría General de la República rechazó el nuevo pro</w:t>
      </w:r>
      <w:r w:rsidR="00262846">
        <w:rPr>
          <w:rFonts w:asciiTheme="majorHAnsi" w:hAnsiTheme="majorHAnsi"/>
          <w:sz w:val="22"/>
          <w:szCs w:val="22"/>
        </w:rPr>
        <w:t>tocolo por considerar que “</w:t>
      </w:r>
      <w:r w:rsidR="00262846" w:rsidRPr="00262846">
        <w:rPr>
          <w:rFonts w:asciiTheme="majorHAnsi" w:hAnsiTheme="majorHAnsi"/>
          <w:i/>
          <w:sz w:val="22"/>
          <w:szCs w:val="22"/>
        </w:rPr>
        <w:t>no se ajustaba a derecho</w:t>
      </w:r>
      <w:r w:rsidR="00262846">
        <w:rPr>
          <w:rFonts w:asciiTheme="majorHAnsi" w:hAnsiTheme="majorHAnsi"/>
          <w:sz w:val="22"/>
          <w:szCs w:val="22"/>
        </w:rPr>
        <w:t>”</w:t>
      </w:r>
      <w:r w:rsidR="00262846">
        <w:rPr>
          <w:rStyle w:val="FootnoteReference"/>
          <w:rFonts w:asciiTheme="majorHAnsi" w:hAnsiTheme="majorHAnsi"/>
          <w:sz w:val="22"/>
          <w:szCs w:val="22"/>
        </w:rPr>
        <w:footnoteReference w:id="2"/>
      </w:r>
      <w:r w:rsidR="00262846">
        <w:rPr>
          <w:rFonts w:asciiTheme="majorHAnsi" w:hAnsiTheme="majorHAnsi"/>
          <w:sz w:val="22"/>
          <w:szCs w:val="22"/>
        </w:rPr>
        <w:t>.</w:t>
      </w:r>
    </w:p>
    <w:p w:rsidR="00AD5E7E" w:rsidRPr="00AD5E7E" w:rsidRDefault="00AD5E7E" w:rsidP="00AD5E7E">
      <w:pPr>
        <w:jc w:val="both"/>
        <w:rPr>
          <w:rFonts w:asciiTheme="majorHAnsi" w:hAnsiTheme="majorHAnsi"/>
          <w:sz w:val="22"/>
          <w:szCs w:val="22"/>
        </w:rPr>
      </w:pPr>
    </w:p>
    <w:p w:rsidR="00AD5E7E" w:rsidRDefault="00262846" w:rsidP="00AD5E7E">
      <w:pPr>
        <w:pStyle w:val="ListParagraph"/>
        <w:numPr>
          <w:ilvl w:val="0"/>
          <w:numId w:val="1"/>
        </w:numPr>
        <w:jc w:val="both"/>
        <w:rPr>
          <w:rFonts w:asciiTheme="majorHAnsi" w:hAnsiTheme="majorHAnsi"/>
          <w:sz w:val="22"/>
          <w:szCs w:val="22"/>
        </w:rPr>
      </w:pPr>
      <w:r>
        <w:rPr>
          <w:rFonts w:asciiTheme="majorHAnsi" w:hAnsiTheme="majorHAnsi"/>
          <w:sz w:val="22"/>
          <w:szCs w:val="22"/>
        </w:rPr>
        <w:t>Tras este dictamen, el gobierno decidió ingresar a Contraloría un nuevo reglamento, buscando acatar lo señalado por dicha institución y, a la vez, resguardar la objeción de conciencia institucional. Para ello se establece que las instituciones de salud no estatales que han suscrito convenios con el Estado “</w:t>
      </w:r>
      <w:r w:rsidR="00AF3AD8" w:rsidRPr="005F21F4">
        <w:rPr>
          <w:rFonts w:asciiTheme="majorHAnsi" w:hAnsiTheme="majorHAnsi"/>
          <w:i/>
          <w:sz w:val="22"/>
          <w:szCs w:val="22"/>
        </w:rPr>
        <w:t>podrán ser objetoras de conciencia siempre y cuando los referidos convenios no contemplen prestaciones de obstetricia y ginecología</w:t>
      </w:r>
      <w:r>
        <w:rPr>
          <w:rFonts w:asciiTheme="majorHAnsi" w:hAnsiTheme="majorHAnsi"/>
          <w:sz w:val="22"/>
          <w:szCs w:val="22"/>
        </w:rPr>
        <w:t>”</w:t>
      </w:r>
      <w:r w:rsidR="00AF3AD8">
        <w:rPr>
          <w:rStyle w:val="FootnoteReference"/>
          <w:rFonts w:asciiTheme="majorHAnsi" w:hAnsiTheme="majorHAnsi"/>
          <w:sz w:val="22"/>
          <w:szCs w:val="22"/>
        </w:rPr>
        <w:footnoteReference w:id="3"/>
      </w:r>
      <w:r w:rsidR="00AD5E7E">
        <w:rPr>
          <w:rFonts w:asciiTheme="majorHAnsi" w:hAnsiTheme="majorHAnsi"/>
          <w:sz w:val="22"/>
          <w:szCs w:val="22"/>
        </w:rPr>
        <w:t>.</w:t>
      </w:r>
    </w:p>
    <w:p w:rsidR="00AD5E7E" w:rsidRPr="00AD5E7E" w:rsidRDefault="00AD5E7E" w:rsidP="00AD5E7E">
      <w:pPr>
        <w:jc w:val="both"/>
        <w:rPr>
          <w:rFonts w:asciiTheme="majorHAnsi" w:hAnsiTheme="majorHAnsi"/>
          <w:sz w:val="22"/>
          <w:szCs w:val="22"/>
        </w:rPr>
      </w:pPr>
    </w:p>
    <w:p w:rsidR="00262846" w:rsidRDefault="00AF3AD8" w:rsidP="00AD5E7E">
      <w:pPr>
        <w:pStyle w:val="ListParagraph"/>
        <w:jc w:val="both"/>
        <w:rPr>
          <w:rFonts w:asciiTheme="majorHAnsi" w:hAnsiTheme="majorHAnsi"/>
          <w:sz w:val="22"/>
          <w:szCs w:val="22"/>
        </w:rPr>
      </w:pPr>
      <w:r w:rsidRPr="00AD5E7E">
        <w:rPr>
          <w:rFonts w:asciiTheme="majorHAnsi" w:hAnsiTheme="majorHAnsi"/>
          <w:sz w:val="22"/>
          <w:szCs w:val="22"/>
        </w:rPr>
        <w:t>En la práctica, sin embargo, esto implica dejar sin efecto el único supuesto en que podría operar dicha objeción. Esto debido a que, en principio ninguna entidad de salud privada tiene la obligación de ofrecer prestación médica alguna en particul</w:t>
      </w:r>
      <w:r w:rsidR="005F21F4" w:rsidRPr="00AD5E7E">
        <w:rPr>
          <w:rFonts w:asciiTheme="majorHAnsi" w:hAnsiTheme="majorHAnsi"/>
          <w:sz w:val="22"/>
          <w:szCs w:val="22"/>
        </w:rPr>
        <w:t xml:space="preserve">ar, y el aborto no es excepción. Sin embargo, esto cambia cuando se trata de instituciones particulares que colaboran con la provisión de salud particulares que colaboran con la provisión de salud ofrecida </w:t>
      </w:r>
      <w:r w:rsidR="00AD5E7E" w:rsidRPr="00AD5E7E">
        <w:rPr>
          <w:rFonts w:asciiTheme="majorHAnsi" w:hAnsiTheme="majorHAnsi"/>
          <w:sz w:val="22"/>
          <w:szCs w:val="22"/>
        </w:rPr>
        <w:t xml:space="preserve">y garantizada por el Estado. </w:t>
      </w:r>
      <w:r w:rsidR="00AD5E7E">
        <w:rPr>
          <w:rFonts w:asciiTheme="majorHAnsi" w:hAnsiTheme="majorHAnsi"/>
          <w:sz w:val="22"/>
          <w:szCs w:val="22"/>
        </w:rPr>
        <w:t>Por esto es que, tratándose de la realización de abortos</w:t>
      </w:r>
      <w:r w:rsidR="005F21F4" w:rsidRPr="00AD5E7E">
        <w:rPr>
          <w:rFonts w:asciiTheme="majorHAnsi" w:hAnsiTheme="majorHAnsi"/>
          <w:sz w:val="22"/>
          <w:szCs w:val="22"/>
        </w:rPr>
        <w:t>, la objeción de conciencia institucional sólo podría aplicar para las entidades públicas no estatales que integran la red pública de salud y que ofrecen pre</w:t>
      </w:r>
      <w:r w:rsidR="00AD5E7E" w:rsidRPr="00AD5E7E">
        <w:rPr>
          <w:rFonts w:asciiTheme="majorHAnsi" w:hAnsiTheme="majorHAnsi"/>
          <w:sz w:val="22"/>
          <w:szCs w:val="22"/>
        </w:rPr>
        <w:t>staciones de ginecología u obst</w:t>
      </w:r>
      <w:r w:rsidR="005F21F4" w:rsidRPr="00AD5E7E">
        <w:rPr>
          <w:rFonts w:asciiTheme="majorHAnsi" w:hAnsiTheme="majorHAnsi"/>
          <w:sz w:val="22"/>
          <w:szCs w:val="22"/>
        </w:rPr>
        <w:t>etric</w:t>
      </w:r>
      <w:r w:rsidR="00AD5E7E" w:rsidRPr="00AD5E7E">
        <w:rPr>
          <w:rFonts w:asciiTheme="majorHAnsi" w:hAnsiTheme="majorHAnsi"/>
          <w:sz w:val="22"/>
          <w:szCs w:val="22"/>
        </w:rPr>
        <w:t>i</w:t>
      </w:r>
      <w:r w:rsidR="005F21F4" w:rsidRPr="00AD5E7E">
        <w:rPr>
          <w:rFonts w:asciiTheme="majorHAnsi" w:hAnsiTheme="majorHAnsi"/>
          <w:sz w:val="22"/>
          <w:szCs w:val="22"/>
        </w:rPr>
        <w:t>a.</w:t>
      </w:r>
    </w:p>
    <w:p w:rsidR="00AD5E7E" w:rsidRDefault="00AD5E7E" w:rsidP="00AD5E7E">
      <w:pPr>
        <w:pStyle w:val="ListParagraph"/>
        <w:jc w:val="both"/>
        <w:rPr>
          <w:rFonts w:asciiTheme="majorHAnsi" w:hAnsiTheme="majorHAnsi"/>
          <w:sz w:val="22"/>
          <w:szCs w:val="22"/>
        </w:rPr>
      </w:pPr>
    </w:p>
    <w:p w:rsidR="00AD5E7E" w:rsidRDefault="00AD5E7E" w:rsidP="00AD5E7E">
      <w:pPr>
        <w:pStyle w:val="ListParagraph"/>
        <w:numPr>
          <w:ilvl w:val="0"/>
          <w:numId w:val="1"/>
        </w:numPr>
        <w:jc w:val="both"/>
        <w:rPr>
          <w:rFonts w:asciiTheme="majorHAnsi" w:hAnsiTheme="majorHAnsi"/>
          <w:sz w:val="22"/>
          <w:szCs w:val="22"/>
        </w:rPr>
      </w:pPr>
      <w:r>
        <w:rPr>
          <w:rFonts w:asciiTheme="majorHAnsi" w:hAnsiTheme="majorHAnsi"/>
          <w:sz w:val="22"/>
          <w:szCs w:val="22"/>
        </w:rPr>
        <w:t xml:space="preserve">En este contexto, parlamentarios de Chile Vamos han anunciado que recurrirán al Tribunal Constitucional para impugnar el reglamento de su propio gobierno. </w:t>
      </w:r>
    </w:p>
    <w:p w:rsidR="00B60D00" w:rsidRPr="00AD5E7E" w:rsidRDefault="00B60D00" w:rsidP="00B60D00">
      <w:pPr>
        <w:pStyle w:val="ListParagraph"/>
        <w:jc w:val="both"/>
        <w:rPr>
          <w:rFonts w:asciiTheme="majorHAnsi" w:hAnsiTheme="majorHAnsi"/>
          <w:sz w:val="22"/>
          <w:szCs w:val="22"/>
        </w:rPr>
      </w:pPr>
    </w:p>
    <w:p w:rsidR="00361CE2" w:rsidRPr="00361CE2" w:rsidRDefault="00361CE2" w:rsidP="00361CE2">
      <w:pPr>
        <w:jc w:val="center"/>
        <w:rPr>
          <w:rFonts w:asciiTheme="majorHAnsi" w:hAnsiTheme="majorHAnsi"/>
          <w:b/>
          <w:u w:val="single"/>
        </w:rPr>
      </w:pPr>
    </w:p>
    <w:p w:rsidR="00361CE2" w:rsidRPr="00361CE2" w:rsidRDefault="00361CE2" w:rsidP="001142C5">
      <w:pPr>
        <w:rPr>
          <w:rFonts w:asciiTheme="majorHAnsi" w:hAnsiTheme="majorHAnsi"/>
          <w:b/>
          <w:u w:val="single"/>
        </w:rPr>
      </w:pPr>
    </w:p>
    <w:p w:rsidR="00361CE2" w:rsidRPr="00361CE2" w:rsidRDefault="00361CE2" w:rsidP="00361CE2">
      <w:pPr>
        <w:jc w:val="center"/>
        <w:rPr>
          <w:rFonts w:asciiTheme="majorHAnsi" w:hAnsiTheme="majorHAnsi"/>
          <w:b/>
          <w:u w:val="single"/>
        </w:rPr>
      </w:pPr>
    </w:p>
    <w:p w:rsidR="00361CE2" w:rsidRDefault="00AD5E7E" w:rsidP="00AD5E7E">
      <w:pPr>
        <w:pStyle w:val="ListParagraph"/>
        <w:numPr>
          <w:ilvl w:val="0"/>
          <w:numId w:val="2"/>
        </w:numPr>
        <w:jc w:val="both"/>
        <w:rPr>
          <w:rFonts w:asciiTheme="majorHAnsi" w:hAnsiTheme="majorHAnsi"/>
          <w:b/>
          <w:sz w:val="22"/>
          <w:szCs w:val="22"/>
          <w:u w:val="single"/>
        </w:rPr>
      </w:pPr>
      <w:r w:rsidRPr="001142C5">
        <w:rPr>
          <w:rFonts w:asciiTheme="majorHAnsi" w:hAnsiTheme="majorHAnsi"/>
          <w:b/>
          <w:sz w:val="22"/>
          <w:szCs w:val="22"/>
          <w:u w:val="single"/>
        </w:rPr>
        <w:t>El Dictamen de Contraloría y la Renuncia del Gobierno</w:t>
      </w:r>
      <w:r w:rsidR="006F6447">
        <w:rPr>
          <w:rFonts w:asciiTheme="majorHAnsi" w:hAnsiTheme="majorHAnsi"/>
          <w:b/>
          <w:sz w:val="22"/>
          <w:szCs w:val="22"/>
          <w:u w:val="single"/>
        </w:rPr>
        <w:t>:</w:t>
      </w:r>
    </w:p>
    <w:p w:rsidR="001142C5" w:rsidRDefault="001142C5" w:rsidP="001142C5">
      <w:pPr>
        <w:pStyle w:val="ListParagraph"/>
        <w:ind w:left="1080"/>
        <w:jc w:val="both"/>
        <w:rPr>
          <w:rFonts w:asciiTheme="majorHAnsi" w:hAnsiTheme="majorHAnsi"/>
          <w:b/>
          <w:sz w:val="22"/>
          <w:szCs w:val="22"/>
          <w:u w:val="single"/>
        </w:rPr>
      </w:pPr>
    </w:p>
    <w:p w:rsidR="001142C5" w:rsidRDefault="001142C5" w:rsidP="001142C5">
      <w:pPr>
        <w:jc w:val="both"/>
        <w:rPr>
          <w:rFonts w:asciiTheme="majorHAnsi" w:hAnsiTheme="majorHAnsi"/>
          <w:sz w:val="22"/>
          <w:szCs w:val="22"/>
        </w:rPr>
      </w:pPr>
      <w:r>
        <w:rPr>
          <w:rFonts w:asciiTheme="majorHAnsi" w:hAnsiTheme="majorHAnsi"/>
          <w:sz w:val="22"/>
          <w:szCs w:val="22"/>
        </w:rPr>
        <w:t xml:space="preserve">La Contraloría concluyó que el protocolo presentado inicialmente por el gobierno “no se ajustaba a derecho” por dos motivos: </w:t>
      </w:r>
    </w:p>
    <w:p w:rsidR="001C0905" w:rsidRDefault="001C0905" w:rsidP="001142C5">
      <w:pPr>
        <w:jc w:val="both"/>
        <w:rPr>
          <w:rFonts w:asciiTheme="majorHAnsi" w:hAnsiTheme="majorHAnsi"/>
          <w:sz w:val="22"/>
          <w:szCs w:val="22"/>
        </w:rPr>
      </w:pPr>
    </w:p>
    <w:p w:rsidR="00AD5E7E" w:rsidRDefault="0091483F" w:rsidP="00443043">
      <w:pPr>
        <w:pStyle w:val="ListParagraph"/>
        <w:numPr>
          <w:ilvl w:val="0"/>
          <w:numId w:val="3"/>
        </w:numPr>
        <w:ind w:left="426"/>
        <w:jc w:val="both"/>
        <w:rPr>
          <w:rFonts w:asciiTheme="majorHAnsi" w:hAnsiTheme="majorHAnsi"/>
          <w:sz w:val="22"/>
          <w:szCs w:val="22"/>
        </w:rPr>
      </w:pPr>
      <w:r>
        <w:rPr>
          <w:rFonts w:asciiTheme="majorHAnsi" w:hAnsiTheme="majorHAnsi"/>
          <w:sz w:val="22"/>
          <w:szCs w:val="22"/>
        </w:rPr>
        <w:t>En primer lugar,</w:t>
      </w:r>
      <w:r w:rsidR="001142C5" w:rsidRPr="0091483F">
        <w:rPr>
          <w:rFonts w:asciiTheme="majorHAnsi" w:hAnsiTheme="majorHAnsi"/>
          <w:sz w:val="22"/>
          <w:szCs w:val="22"/>
        </w:rPr>
        <w:t xml:space="preserve"> se reprochó el modo en que se regulaba la objeción de conciencia. Esto debido a que </w:t>
      </w:r>
      <w:r w:rsidR="002A62D7" w:rsidRPr="0091483F">
        <w:rPr>
          <w:rFonts w:asciiTheme="majorHAnsi" w:hAnsiTheme="majorHAnsi"/>
          <w:sz w:val="22"/>
          <w:szCs w:val="22"/>
        </w:rPr>
        <w:t>se consideró que se trataba de</w:t>
      </w:r>
      <w:r w:rsidR="003879BA" w:rsidRPr="0091483F">
        <w:rPr>
          <w:rFonts w:asciiTheme="majorHAnsi" w:hAnsiTheme="majorHAnsi"/>
          <w:sz w:val="22"/>
          <w:szCs w:val="22"/>
        </w:rPr>
        <w:t xml:space="preserve"> una materia </w:t>
      </w:r>
      <w:r>
        <w:rPr>
          <w:rFonts w:asciiTheme="majorHAnsi" w:hAnsiTheme="majorHAnsi"/>
          <w:sz w:val="22"/>
          <w:szCs w:val="22"/>
        </w:rPr>
        <w:t>que debía ser abordada por medio</w:t>
      </w:r>
      <w:r w:rsidR="003879BA" w:rsidRPr="0091483F">
        <w:rPr>
          <w:rFonts w:asciiTheme="majorHAnsi" w:hAnsiTheme="majorHAnsi"/>
          <w:sz w:val="22"/>
          <w:szCs w:val="22"/>
        </w:rPr>
        <w:t xml:space="preserve"> de un reglamento, por cuanto se estaba complementando y desarrollando la ley. Por esto, se señaló que hacerlo mediante un protocolo –un instrumento destinado a otros fines- </w:t>
      </w:r>
      <w:r w:rsidR="002A62D7" w:rsidRPr="0091483F">
        <w:rPr>
          <w:rFonts w:asciiTheme="majorHAnsi" w:hAnsiTheme="majorHAnsi"/>
          <w:sz w:val="22"/>
          <w:szCs w:val="22"/>
        </w:rPr>
        <w:t xml:space="preserve"> era</w:t>
      </w:r>
      <w:r w:rsidR="003879BA" w:rsidRPr="0091483F">
        <w:rPr>
          <w:rFonts w:asciiTheme="majorHAnsi" w:hAnsiTheme="majorHAnsi"/>
          <w:sz w:val="22"/>
          <w:szCs w:val="22"/>
        </w:rPr>
        <w:t xml:space="preserve"> un medio inapropiado</w:t>
      </w:r>
      <w:r w:rsidR="002A62D7" w:rsidRPr="0091483F">
        <w:rPr>
          <w:rFonts w:asciiTheme="majorHAnsi" w:hAnsiTheme="majorHAnsi"/>
          <w:sz w:val="22"/>
          <w:szCs w:val="22"/>
        </w:rPr>
        <w:t xml:space="preserve">. </w:t>
      </w:r>
      <w:r w:rsidR="001C0905" w:rsidRPr="0091483F">
        <w:rPr>
          <w:rFonts w:asciiTheme="majorHAnsi" w:hAnsiTheme="majorHAnsi"/>
          <w:sz w:val="22"/>
          <w:szCs w:val="22"/>
        </w:rPr>
        <w:t xml:space="preserve">Este reproche es plausible, y es consistente con pronunciamientos administrativos anteriores, siendo el mismo motivo por el cual se rechazó </w:t>
      </w:r>
      <w:r w:rsidRPr="0091483F">
        <w:rPr>
          <w:rFonts w:asciiTheme="majorHAnsi" w:hAnsiTheme="majorHAnsi"/>
          <w:sz w:val="22"/>
          <w:szCs w:val="22"/>
        </w:rPr>
        <w:t>le primer protocolo dictado por el gobierno de Bachelet.</w:t>
      </w:r>
    </w:p>
    <w:p w:rsidR="00443043" w:rsidRPr="0091483F" w:rsidRDefault="00443043" w:rsidP="00443043">
      <w:pPr>
        <w:pStyle w:val="ListParagraph"/>
        <w:ind w:left="426"/>
        <w:jc w:val="both"/>
        <w:rPr>
          <w:rFonts w:asciiTheme="majorHAnsi" w:hAnsiTheme="majorHAnsi"/>
          <w:sz w:val="22"/>
          <w:szCs w:val="22"/>
        </w:rPr>
      </w:pPr>
    </w:p>
    <w:p w:rsidR="001F5443" w:rsidRPr="00200B42" w:rsidRDefault="0091483F" w:rsidP="00443043">
      <w:pPr>
        <w:pStyle w:val="ListParagraph"/>
        <w:numPr>
          <w:ilvl w:val="0"/>
          <w:numId w:val="3"/>
        </w:numPr>
        <w:ind w:left="426"/>
        <w:jc w:val="both"/>
        <w:rPr>
          <w:rFonts w:asciiTheme="majorHAnsi" w:hAnsiTheme="majorHAnsi"/>
          <w:b/>
          <w:sz w:val="22"/>
          <w:szCs w:val="22"/>
        </w:rPr>
      </w:pPr>
      <w:r w:rsidRPr="005E2408">
        <w:rPr>
          <w:rFonts w:asciiTheme="majorHAnsi" w:hAnsiTheme="majorHAnsi"/>
          <w:sz w:val="22"/>
          <w:szCs w:val="22"/>
        </w:rPr>
        <w:t xml:space="preserve">Sin embargo, el reparo de fondo hecho por la Contraloría </w:t>
      </w:r>
      <w:r w:rsidR="00D97FE7" w:rsidRPr="005E2408">
        <w:rPr>
          <w:rFonts w:asciiTheme="majorHAnsi" w:hAnsiTheme="majorHAnsi"/>
          <w:sz w:val="22"/>
          <w:szCs w:val="22"/>
        </w:rPr>
        <w:t>es donde radica el centro de la discusión en esta materia.</w:t>
      </w:r>
      <w:r w:rsidR="005E2408">
        <w:rPr>
          <w:rFonts w:asciiTheme="majorHAnsi" w:hAnsiTheme="majorHAnsi"/>
          <w:sz w:val="22"/>
          <w:szCs w:val="22"/>
        </w:rPr>
        <w:t xml:space="preserve"> </w:t>
      </w:r>
      <w:r w:rsidR="001F5443">
        <w:rPr>
          <w:rFonts w:asciiTheme="majorHAnsi" w:hAnsiTheme="majorHAnsi"/>
          <w:sz w:val="22"/>
          <w:szCs w:val="22"/>
        </w:rPr>
        <w:t xml:space="preserve">El dictamen se funda en dos argumentos de textos: </w:t>
      </w:r>
    </w:p>
    <w:p w:rsidR="00200B42" w:rsidRPr="00200B42" w:rsidRDefault="00200B42" w:rsidP="00200B42">
      <w:pPr>
        <w:jc w:val="both"/>
        <w:rPr>
          <w:rFonts w:asciiTheme="majorHAnsi" w:hAnsiTheme="majorHAnsi"/>
          <w:b/>
          <w:sz w:val="22"/>
          <w:szCs w:val="22"/>
        </w:rPr>
      </w:pPr>
    </w:p>
    <w:p w:rsidR="001F5443" w:rsidRDefault="001F5443" w:rsidP="00443043">
      <w:pPr>
        <w:pStyle w:val="ListParagraph"/>
        <w:numPr>
          <w:ilvl w:val="0"/>
          <w:numId w:val="4"/>
        </w:numPr>
        <w:ind w:left="1134"/>
        <w:jc w:val="both"/>
        <w:rPr>
          <w:rFonts w:asciiTheme="majorHAnsi" w:hAnsiTheme="majorHAnsi"/>
          <w:sz w:val="22"/>
          <w:szCs w:val="22"/>
        </w:rPr>
      </w:pPr>
      <w:r>
        <w:rPr>
          <w:rFonts w:asciiTheme="majorHAnsi" w:hAnsiTheme="majorHAnsi"/>
          <w:sz w:val="22"/>
          <w:szCs w:val="22"/>
        </w:rPr>
        <w:t>E</w:t>
      </w:r>
      <w:r w:rsidR="005E2408" w:rsidRPr="001F5443">
        <w:rPr>
          <w:rFonts w:asciiTheme="majorHAnsi" w:hAnsiTheme="majorHAnsi"/>
          <w:sz w:val="22"/>
          <w:szCs w:val="22"/>
        </w:rPr>
        <w:t xml:space="preserve">l reconocimiento </w:t>
      </w:r>
      <w:r>
        <w:rPr>
          <w:rFonts w:asciiTheme="majorHAnsi" w:hAnsiTheme="majorHAnsi"/>
          <w:sz w:val="22"/>
          <w:szCs w:val="22"/>
        </w:rPr>
        <w:t>que hace nuestr</w:t>
      </w:r>
      <w:r w:rsidR="00443043">
        <w:rPr>
          <w:rFonts w:asciiTheme="majorHAnsi" w:hAnsiTheme="majorHAnsi"/>
          <w:sz w:val="22"/>
          <w:szCs w:val="22"/>
        </w:rPr>
        <w:t xml:space="preserve">a Constitución </w:t>
      </w:r>
      <w:r w:rsidR="00443043" w:rsidRPr="001F5443">
        <w:rPr>
          <w:rFonts w:asciiTheme="majorHAnsi" w:hAnsiTheme="majorHAnsi"/>
          <w:sz w:val="22"/>
          <w:szCs w:val="22"/>
        </w:rPr>
        <w:t>del derecho a la protección de la salud</w:t>
      </w:r>
      <w:r w:rsidR="00443043">
        <w:rPr>
          <w:rFonts w:asciiTheme="majorHAnsi" w:hAnsiTheme="majorHAnsi"/>
          <w:sz w:val="22"/>
          <w:szCs w:val="22"/>
        </w:rPr>
        <w:t xml:space="preserve"> </w:t>
      </w:r>
      <w:r>
        <w:rPr>
          <w:rFonts w:asciiTheme="majorHAnsi" w:hAnsiTheme="majorHAnsi"/>
          <w:sz w:val="22"/>
          <w:szCs w:val="22"/>
        </w:rPr>
        <w:t>en su artículo 19 Nº 9</w:t>
      </w:r>
      <w:r w:rsidR="00E12EA4">
        <w:rPr>
          <w:rFonts w:asciiTheme="majorHAnsi" w:hAnsiTheme="majorHAnsi"/>
          <w:sz w:val="22"/>
          <w:szCs w:val="22"/>
        </w:rPr>
        <w:t>, y que establece que es deber preferente del Estado garantizar la ejecución de las acciones de salud</w:t>
      </w:r>
      <w:r w:rsidR="00F55CB4" w:rsidRPr="001F5443">
        <w:rPr>
          <w:rFonts w:asciiTheme="majorHAnsi" w:hAnsiTheme="majorHAnsi"/>
          <w:sz w:val="22"/>
          <w:szCs w:val="22"/>
        </w:rPr>
        <w:t>; y</w:t>
      </w:r>
    </w:p>
    <w:p w:rsidR="001603DE" w:rsidRDefault="001603DE" w:rsidP="001603DE">
      <w:pPr>
        <w:pStyle w:val="ListParagraph"/>
        <w:ind w:left="1134"/>
        <w:jc w:val="both"/>
        <w:rPr>
          <w:rFonts w:asciiTheme="majorHAnsi" w:hAnsiTheme="majorHAnsi"/>
          <w:sz w:val="22"/>
          <w:szCs w:val="22"/>
        </w:rPr>
      </w:pPr>
    </w:p>
    <w:p w:rsidR="00443043" w:rsidRDefault="001F5443" w:rsidP="00443043">
      <w:pPr>
        <w:pStyle w:val="ListParagraph"/>
        <w:numPr>
          <w:ilvl w:val="0"/>
          <w:numId w:val="4"/>
        </w:numPr>
        <w:ind w:left="1134"/>
        <w:jc w:val="both"/>
        <w:rPr>
          <w:rFonts w:asciiTheme="majorHAnsi" w:hAnsiTheme="majorHAnsi"/>
          <w:sz w:val="22"/>
          <w:szCs w:val="22"/>
        </w:rPr>
      </w:pPr>
      <w:r w:rsidRPr="001F5443">
        <w:rPr>
          <w:rFonts w:asciiTheme="majorHAnsi" w:hAnsiTheme="majorHAnsi"/>
          <w:sz w:val="22"/>
          <w:szCs w:val="22"/>
        </w:rPr>
        <w:t>E</w:t>
      </w:r>
      <w:r w:rsidR="00F55CB4" w:rsidRPr="001F5443">
        <w:rPr>
          <w:rFonts w:asciiTheme="majorHAnsi" w:hAnsiTheme="majorHAnsi"/>
          <w:sz w:val="22"/>
          <w:szCs w:val="22"/>
        </w:rPr>
        <w:t>l DFL Nº 36 de 1980 del Ministerio de Salud</w:t>
      </w:r>
      <w:r w:rsidR="005E2408" w:rsidRPr="001F5443">
        <w:rPr>
          <w:rFonts w:asciiTheme="majorHAnsi" w:hAnsiTheme="majorHAnsi"/>
          <w:sz w:val="22"/>
          <w:szCs w:val="22"/>
        </w:rPr>
        <w:t xml:space="preserve"> </w:t>
      </w:r>
      <w:r>
        <w:rPr>
          <w:rFonts w:asciiTheme="majorHAnsi" w:hAnsiTheme="majorHAnsi"/>
          <w:sz w:val="22"/>
          <w:szCs w:val="22"/>
        </w:rPr>
        <w:t xml:space="preserve">que </w:t>
      </w:r>
      <w:r w:rsidR="005E2408" w:rsidRPr="001F5443">
        <w:rPr>
          <w:rFonts w:asciiTheme="majorHAnsi" w:hAnsiTheme="majorHAnsi"/>
          <w:sz w:val="22"/>
          <w:szCs w:val="22"/>
        </w:rPr>
        <w:t xml:space="preserve">señala </w:t>
      </w:r>
      <w:r w:rsidR="00F55CB4" w:rsidRPr="001F5443">
        <w:rPr>
          <w:rFonts w:asciiTheme="majorHAnsi" w:hAnsiTheme="majorHAnsi"/>
          <w:sz w:val="22"/>
          <w:szCs w:val="22"/>
        </w:rPr>
        <w:t>que</w:t>
      </w:r>
      <w:r w:rsidR="00965251" w:rsidRPr="001F5443">
        <w:rPr>
          <w:rFonts w:asciiTheme="majorHAnsi" w:hAnsiTheme="majorHAnsi"/>
          <w:sz w:val="22"/>
          <w:szCs w:val="22"/>
        </w:rPr>
        <w:t>,</w:t>
      </w:r>
      <w:r w:rsidR="00F55CB4" w:rsidRPr="001F5443">
        <w:rPr>
          <w:rFonts w:asciiTheme="majorHAnsi" w:hAnsiTheme="majorHAnsi"/>
          <w:sz w:val="22"/>
          <w:szCs w:val="22"/>
        </w:rPr>
        <w:t xml:space="preserve"> </w:t>
      </w:r>
      <w:r w:rsidR="00965251" w:rsidRPr="001F5443">
        <w:rPr>
          <w:rFonts w:asciiTheme="majorHAnsi" w:hAnsiTheme="majorHAnsi"/>
          <w:sz w:val="22"/>
          <w:szCs w:val="22"/>
        </w:rPr>
        <w:t xml:space="preserve">tratándose de convenios suscritos con una entidad distinta del Servicio de Salud, </w:t>
      </w:r>
      <w:r w:rsidR="00393FD2" w:rsidRPr="001F5443">
        <w:rPr>
          <w:rFonts w:asciiTheme="majorHAnsi" w:hAnsiTheme="majorHAnsi"/>
          <w:sz w:val="22"/>
          <w:szCs w:val="22"/>
        </w:rPr>
        <w:t xml:space="preserve">esta </w:t>
      </w:r>
      <w:r w:rsidR="00965251" w:rsidRPr="001F5443">
        <w:rPr>
          <w:rFonts w:asciiTheme="majorHAnsi" w:hAnsiTheme="majorHAnsi"/>
          <w:b/>
          <w:sz w:val="22"/>
          <w:szCs w:val="22"/>
          <w:u w:val="single"/>
        </w:rPr>
        <w:t>sustituye</w:t>
      </w:r>
      <w:r w:rsidR="00965251" w:rsidRPr="001F5443">
        <w:rPr>
          <w:rFonts w:asciiTheme="majorHAnsi" w:hAnsiTheme="majorHAnsi"/>
          <w:sz w:val="22"/>
          <w:szCs w:val="22"/>
        </w:rPr>
        <w:t xml:space="preserve"> a </w:t>
      </w:r>
      <w:r w:rsidR="00393FD2" w:rsidRPr="001F5443">
        <w:rPr>
          <w:rFonts w:asciiTheme="majorHAnsi" w:hAnsiTheme="majorHAnsi"/>
          <w:sz w:val="22"/>
          <w:szCs w:val="22"/>
        </w:rPr>
        <w:t>dicho Servicio en</w:t>
      </w:r>
      <w:r w:rsidR="00965251" w:rsidRPr="001F5443">
        <w:rPr>
          <w:rFonts w:asciiTheme="majorHAnsi" w:hAnsiTheme="majorHAnsi"/>
          <w:sz w:val="22"/>
          <w:szCs w:val="22"/>
        </w:rPr>
        <w:t xml:space="preserve"> la ejecución </w:t>
      </w:r>
      <w:r w:rsidRPr="001F5443">
        <w:rPr>
          <w:rFonts w:asciiTheme="majorHAnsi" w:hAnsiTheme="majorHAnsi"/>
          <w:sz w:val="22"/>
          <w:szCs w:val="22"/>
        </w:rPr>
        <w:t>de las acciones de fomento, protección y recuperación de la salud.</w:t>
      </w:r>
    </w:p>
    <w:p w:rsidR="00200B42" w:rsidRDefault="00200B42" w:rsidP="00200B42">
      <w:pPr>
        <w:pStyle w:val="ListParagraph"/>
        <w:ind w:left="1134"/>
        <w:jc w:val="both"/>
        <w:rPr>
          <w:rFonts w:asciiTheme="majorHAnsi" w:hAnsiTheme="majorHAnsi"/>
          <w:sz w:val="22"/>
          <w:szCs w:val="22"/>
        </w:rPr>
      </w:pPr>
    </w:p>
    <w:p w:rsidR="00443043" w:rsidRDefault="001F5443" w:rsidP="00443043">
      <w:pPr>
        <w:ind w:left="426"/>
        <w:jc w:val="both"/>
        <w:rPr>
          <w:rFonts w:asciiTheme="majorHAnsi" w:eastAsia="Times New Roman" w:hAnsiTheme="majorHAnsi" w:cs="Times New Roman"/>
          <w:i/>
          <w:sz w:val="22"/>
          <w:szCs w:val="22"/>
        </w:rPr>
      </w:pPr>
      <w:r w:rsidRPr="00443043">
        <w:rPr>
          <w:rFonts w:asciiTheme="majorHAnsi" w:hAnsiTheme="majorHAnsi"/>
          <w:sz w:val="22"/>
          <w:szCs w:val="22"/>
        </w:rPr>
        <w:t>A partir de esto</w:t>
      </w:r>
      <w:r w:rsidR="00443043" w:rsidRPr="00443043">
        <w:rPr>
          <w:rFonts w:asciiTheme="majorHAnsi" w:hAnsiTheme="majorHAnsi"/>
          <w:sz w:val="22"/>
          <w:szCs w:val="22"/>
        </w:rPr>
        <w:t>, y en virtud de una interpretación que hace la CGR del verbo “sustituir”, esta concluye que “</w:t>
      </w:r>
      <w:r w:rsidR="00443043" w:rsidRPr="00443043">
        <w:rPr>
          <w:rFonts w:asciiTheme="majorHAnsi" w:eastAsia="Times New Roman" w:hAnsiTheme="majorHAnsi" w:cs="Times New Roman"/>
          <w:i/>
          <w:sz w:val="22"/>
          <w:szCs w:val="22"/>
        </w:rPr>
        <w:t>cuando una entidad suscribe un convenio (…) con los mencionados Servicios de Salud, aquélla toma el lugar del respectivo servicio para los efectos de otorgar las prestaciones de salud convenidas, es decir, al ejecutar la acción de salud de que se trate, la entidad contratante se encontrará desarrollando una función pública”</w:t>
      </w:r>
      <w:r w:rsidR="00443043">
        <w:rPr>
          <w:rStyle w:val="FootnoteReference"/>
          <w:rFonts w:asciiTheme="majorHAnsi" w:eastAsia="Times New Roman" w:hAnsiTheme="majorHAnsi" w:cs="Times New Roman"/>
          <w:i/>
          <w:sz w:val="22"/>
          <w:szCs w:val="22"/>
        </w:rPr>
        <w:footnoteReference w:id="4"/>
      </w:r>
      <w:r w:rsidR="00443043" w:rsidRPr="00443043">
        <w:rPr>
          <w:rFonts w:asciiTheme="majorHAnsi" w:eastAsia="Times New Roman" w:hAnsiTheme="majorHAnsi" w:cs="Times New Roman"/>
          <w:i/>
          <w:sz w:val="22"/>
          <w:szCs w:val="22"/>
        </w:rPr>
        <w:t>.</w:t>
      </w:r>
    </w:p>
    <w:p w:rsidR="00200B42" w:rsidRDefault="00200B42" w:rsidP="00200B42">
      <w:pPr>
        <w:jc w:val="both"/>
        <w:rPr>
          <w:rFonts w:asciiTheme="majorHAnsi" w:eastAsia="Times New Roman" w:hAnsiTheme="majorHAnsi" w:cs="Times New Roman"/>
          <w:sz w:val="22"/>
          <w:szCs w:val="22"/>
        </w:rPr>
      </w:pPr>
    </w:p>
    <w:p w:rsidR="00E12EA4" w:rsidRDefault="00741B8D" w:rsidP="00443043">
      <w:pPr>
        <w:ind w:left="426"/>
        <w:jc w:val="both"/>
        <w:rPr>
          <w:rFonts w:asciiTheme="majorHAnsi" w:hAnsiTheme="majorHAnsi"/>
          <w:sz w:val="22"/>
          <w:szCs w:val="22"/>
        </w:rPr>
      </w:pPr>
      <w:r>
        <w:rPr>
          <w:rFonts w:asciiTheme="majorHAnsi" w:hAnsiTheme="majorHAnsi"/>
          <w:sz w:val="22"/>
          <w:szCs w:val="22"/>
        </w:rPr>
        <w:t>Para l</w:t>
      </w:r>
      <w:r w:rsidR="00E12EA4">
        <w:rPr>
          <w:rFonts w:asciiTheme="majorHAnsi" w:hAnsiTheme="majorHAnsi"/>
          <w:sz w:val="22"/>
          <w:szCs w:val="22"/>
        </w:rPr>
        <w:t>a</w:t>
      </w:r>
      <w:r>
        <w:rPr>
          <w:rFonts w:asciiTheme="majorHAnsi" w:hAnsiTheme="majorHAnsi"/>
          <w:sz w:val="22"/>
          <w:szCs w:val="22"/>
        </w:rPr>
        <w:t xml:space="preserve"> CGR entonces, cuando las entidades privadas colaboran en funciones públicas y “sustituyen” al Estado, estas deberían adoptar una posición idéntica y en los mismos términos a los que se sujetaría el mismo Estado. </w:t>
      </w:r>
      <w:r w:rsidR="00B81806">
        <w:rPr>
          <w:rFonts w:asciiTheme="majorHAnsi" w:hAnsiTheme="majorHAnsi"/>
          <w:sz w:val="22"/>
          <w:szCs w:val="22"/>
        </w:rPr>
        <w:t xml:space="preserve">Lo anterior, a tal punto de no poder sustraerse de realizar una practica que, de acuerdo a su ideario, implica dar muerte a un ser humano inocente. </w:t>
      </w:r>
      <w:r>
        <w:rPr>
          <w:rFonts w:asciiTheme="majorHAnsi" w:hAnsiTheme="majorHAnsi"/>
          <w:sz w:val="22"/>
          <w:szCs w:val="22"/>
        </w:rPr>
        <w:t xml:space="preserve">La cuestión no es menor, ya que implica </w:t>
      </w:r>
      <w:r w:rsidR="00B81806">
        <w:rPr>
          <w:rFonts w:asciiTheme="majorHAnsi" w:hAnsiTheme="majorHAnsi"/>
          <w:sz w:val="22"/>
          <w:szCs w:val="22"/>
        </w:rPr>
        <w:t xml:space="preserve">al final de cuentas, </w:t>
      </w:r>
      <w:r>
        <w:rPr>
          <w:rFonts w:asciiTheme="majorHAnsi" w:hAnsiTheme="majorHAnsi"/>
          <w:sz w:val="22"/>
          <w:szCs w:val="22"/>
        </w:rPr>
        <w:t>adoptar una determinada forma de entender la colaboración público-privada que cruza los distintos de</w:t>
      </w:r>
      <w:r w:rsidR="00200B42">
        <w:rPr>
          <w:rFonts w:asciiTheme="majorHAnsi" w:hAnsiTheme="majorHAnsi"/>
          <w:sz w:val="22"/>
          <w:szCs w:val="22"/>
        </w:rPr>
        <w:t xml:space="preserve">bates que se dan a lo largo de toda la </w:t>
      </w:r>
      <w:r w:rsidR="007D2CAD">
        <w:rPr>
          <w:rFonts w:asciiTheme="majorHAnsi" w:hAnsiTheme="majorHAnsi"/>
          <w:sz w:val="22"/>
          <w:szCs w:val="22"/>
        </w:rPr>
        <w:t xml:space="preserve">discusión </w:t>
      </w:r>
      <w:r w:rsidR="00200B42">
        <w:rPr>
          <w:rFonts w:asciiTheme="majorHAnsi" w:hAnsiTheme="majorHAnsi"/>
          <w:sz w:val="22"/>
          <w:szCs w:val="22"/>
        </w:rPr>
        <w:t>política.</w:t>
      </w:r>
    </w:p>
    <w:p w:rsidR="007D2CAD" w:rsidRDefault="007D2CAD" w:rsidP="00443043">
      <w:pPr>
        <w:ind w:left="426"/>
        <w:jc w:val="both"/>
        <w:rPr>
          <w:rFonts w:asciiTheme="majorHAnsi" w:hAnsiTheme="majorHAnsi"/>
          <w:sz w:val="22"/>
          <w:szCs w:val="22"/>
        </w:rPr>
      </w:pPr>
    </w:p>
    <w:p w:rsidR="007D2CAD" w:rsidRPr="00E12EA4" w:rsidRDefault="007D2CAD" w:rsidP="00443043">
      <w:pPr>
        <w:ind w:left="426"/>
        <w:jc w:val="both"/>
        <w:rPr>
          <w:rFonts w:asciiTheme="majorHAnsi" w:hAnsiTheme="majorHAnsi"/>
          <w:sz w:val="22"/>
          <w:szCs w:val="22"/>
        </w:rPr>
      </w:pPr>
      <w:r>
        <w:rPr>
          <w:rFonts w:asciiTheme="majorHAnsi" w:hAnsiTheme="majorHAnsi"/>
          <w:sz w:val="22"/>
          <w:szCs w:val="22"/>
        </w:rPr>
        <w:t>De esta form</w:t>
      </w:r>
      <w:r w:rsidR="006E79D2">
        <w:rPr>
          <w:rFonts w:asciiTheme="majorHAnsi" w:hAnsiTheme="majorHAnsi"/>
          <w:sz w:val="22"/>
          <w:szCs w:val="22"/>
        </w:rPr>
        <w:t xml:space="preserve">a, lo resuelto por Contraloría </w:t>
      </w:r>
      <w:r>
        <w:rPr>
          <w:rFonts w:asciiTheme="majorHAnsi" w:hAnsiTheme="majorHAnsi"/>
          <w:sz w:val="22"/>
          <w:szCs w:val="22"/>
        </w:rPr>
        <w:t xml:space="preserve">no solo deja sin efecto el objeción de conciencia reconocida por la ley </w:t>
      </w:r>
      <w:r w:rsidR="006E79D2">
        <w:rPr>
          <w:rFonts w:asciiTheme="majorHAnsi" w:hAnsiTheme="majorHAnsi"/>
          <w:sz w:val="22"/>
          <w:szCs w:val="22"/>
        </w:rPr>
        <w:t>21.030 para las únicas instituciones que podrían llegar a necesitar objetar en conciencia tratándose de la práctica de abortos. Sino que, no bastando lo anterior, se inmiscuye en un debate eminentemente político, como es la discusión sobre el sentido de lo público, extralimitándose de su rol, el cual debiese ser simplemente limitarse a hacer un control de legalidad del acto administrativo en cuestión.</w:t>
      </w:r>
    </w:p>
    <w:p w:rsidR="001F5443" w:rsidRPr="001F5443" w:rsidRDefault="001F5443" w:rsidP="001F5443">
      <w:pPr>
        <w:ind w:left="720"/>
        <w:jc w:val="both"/>
        <w:rPr>
          <w:rFonts w:asciiTheme="majorHAnsi" w:hAnsiTheme="majorHAnsi"/>
          <w:sz w:val="22"/>
          <w:szCs w:val="22"/>
        </w:rPr>
      </w:pPr>
    </w:p>
    <w:p w:rsidR="00AD5E7E" w:rsidRPr="00B60D00" w:rsidRDefault="006E79D2" w:rsidP="00B0293C">
      <w:pPr>
        <w:pStyle w:val="ListParagraph"/>
        <w:numPr>
          <w:ilvl w:val="0"/>
          <w:numId w:val="3"/>
        </w:numPr>
        <w:ind w:left="426"/>
        <w:jc w:val="both"/>
        <w:rPr>
          <w:rFonts w:asciiTheme="majorHAnsi" w:hAnsiTheme="majorHAnsi"/>
          <w:b/>
          <w:sz w:val="22"/>
          <w:szCs w:val="22"/>
        </w:rPr>
      </w:pPr>
      <w:r>
        <w:rPr>
          <w:rFonts w:asciiTheme="majorHAnsi" w:hAnsiTheme="majorHAnsi"/>
          <w:sz w:val="22"/>
          <w:szCs w:val="22"/>
        </w:rPr>
        <w:t>Por todo lo anterior, al acatar el dictamen de Contraloría y no recurrir el Tribunal Constitucional en esta materia, el go</w:t>
      </w:r>
      <w:r w:rsidR="00473ED3">
        <w:rPr>
          <w:rFonts w:asciiTheme="majorHAnsi" w:hAnsiTheme="majorHAnsi"/>
          <w:sz w:val="22"/>
          <w:szCs w:val="22"/>
        </w:rPr>
        <w:t xml:space="preserve">bierno renunció a dar una pelea </w:t>
      </w:r>
      <w:r>
        <w:rPr>
          <w:rFonts w:asciiTheme="majorHAnsi" w:hAnsiTheme="majorHAnsi"/>
          <w:sz w:val="22"/>
          <w:szCs w:val="22"/>
        </w:rPr>
        <w:t xml:space="preserve">trascendental </w:t>
      </w:r>
      <w:r w:rsidR="001603DE">
        <w:rPr>
          <w:rFonts w:asciiTheme="majorHAnsi" w:hAnsiTheme="majorHAnsi"/>
          <w:sz w:val="22"/>
          <w:szCs w:val="22"/>
        </w:rPr>
        <w:t xml:space="preserve">para la visión </w:t>
      </w:r>
      <w:r w:rsidR="00473ED3">
        <w:rPr>
          <w:rFonts w:asciiTheme="majorHAnsi" w:hAnsiTheme="majorHAnsi"/>
          <w:sz w:val="22"/>
          <w:szCs w:val="22"/>
        </w:rPr>
        <w:t>de país que dice promover</w:t>
      </w:r>
      <w:r w:rsidR="001603DE">
        <w:rPr>
          <w:rFonts w:asciiTheme="majorHAnsi" w:hAnsiTheme="majorHAnsi"/>
          <w:sz w:val="22"/>
          <w:szCs w:val="22"/>
        </w:rPr>
        <w:t>. Una en la que se juega el rol que le vamos a dar a la sociedad civil en los desafíos del Chile de hoy y mañana</w:t>
      </w:r>
      <w:r w:rsidR="001F5443">
        <w:rPr>
          <w:rFonts w:asciiTheme="majorHAnsi" w:hAnsiTheme="majorHAnsi"/>
          <w:sz w:val="22"/>
          <w:szCs w:val="22"/>
        </w:rPr>
        <w:t>.</w:t>
      </w:r>
    </w:p>
    <w:p w:rsidR="00B60D00" w:rsidRPr="00B0293C" w:rsidRDefault="00B60D00" w:rsidP="00B60D00">
      <w:pPr>
        <w:pStyle w:val="ListParagraph"/>
        <w:ind w:left="426"/>
        <w:jc w:val="both"/>
        <w:rPr>
          <w:rFonts w:asciiTheme="majorHAnsi" w:hAnsiTheme="majorHAnsi"/>
          <w:b/>
          <w:sz w:val="22"/>
          <w:szCs w:val="22"/>
        </w:rPr>
      </w:pPr>
    </w:p>
    <w:p w:rsidR="00AD5E7E" w:rsidRPr="00AD5E7E" w:rsidRDefault="00AD5E7E" w:rsidP="00AD5E7E">
      <w:pPr>
        <w:jc w:val="both"/>
        <w:rPr>
          <w:rFonts w:asciiTheme="majorHAnsi" w:hAnsiTheme="majorHAnsi"/>
          <w:b/>
          <w:sz w:val="22"/>
          <w:szCs w:val="22"/>
        </w:rPr>
      </w:pPr>
    </w:p>
    <w:p w:rsidR="00AD5E7E" w:rsidRDefault="007B6C40" w:rsidP="00AD5E7E">
      <w:pPr>
        <w:pStyle w:val="ListParagraph"/>
        <w:numPr>
          <w:ilvl w:val="0"/>
          <w:numId w:val="2"/>
        </w:numPr>
        <w:jc w:val="both"/>
        <w:rPr>
          <w:rFonts w:asciiTheme="majorHAnsi" w:hAnsiTheme="majorHAnsi"/>
          <w:b/>
          <w:sz w:val="22"/>
          <w:szCs w:val="22"/>
        </w:rPr>
      </w:pPr>
      <w:r>
        <w:rPr>
          <w:rFonts w:asciiTheme="majorHAnsi" w:hAnsiTheme="majorHAnsi"/>
          <w:b/>
          <w:sz w:val="22"/>
          <w:szCs w:val="22"/>
          <w:u w:val="single"/>
        </w:rPr>
        <w:t>D</w:t>
      </w:r>
      <w:r w:rsidR="00797467">
        <w:rPr>
          <w:rFonts w:asciiTheme="majorHAnsi" w:hAnsiTheme="majorHAnsi"/>
          <w:b/>
          <w:sz w:val="22"/>
          <w:szCs w:val="22"/>
          <w:u w:val="single"/>
        </w:rPr>
        <w:t>erecho</w:t>
      </w:r>
      <w:r>
        <w:rPr>
          <w:rFonts w:asciiTheme="majorHAnsi" w:hAnsiTheme="majorHAnsi"/>
          <w:b/>
          <w:sz w:val="22"/>
          <w:szCs w:val="22"/>
          <w:u w:val="single"/>
        </w:rPr>
        <w:t xml:space="preserve"> de Asociación y  la </w:t>
      </w:r>
      <w:r w:rsidR="000A2FBA">
        <w:rPr>
          <w:rFonts w:asciiTheme="majorHAnsi" w:hAnsiTheme="majorHAnsi"/>
          <w:b/>
          <w:sz w:val="22"/>
          <w:szCs w:val="22"/>
          <w:u w:val="single"/>
        </w:rPr>
        <w:t>Conciencia I</w:t>
      </w:r>
      <w:r w:rsidR="00EB1845" w:rsidRPr="006F6447">
        <w:rPr>
          <w:rFonts w:asciiTheme="majorHAnsi" w:hAnsiTheme="majorHAnsi"/>
          <w:b/>
          <w:sz w:val="22"/>
          <w:szCs w:val="22"/>
          <w:u w:val="single"/>
        </w:rPr>
        <w:t>nstitucional</w:t>
      </w:r>
      <w:r w:rsidR="006F6447">
        <w:rPr>
          <w:rFonts w:asciiTheme="majorHAnsi" w:hAnsiTheme="majorHAnsi"/>
          <w:b/>
          <w:sz w:val="22"/>
          <w:szCs w:val="22"/>
        </w:rPr>
        <w:t>:</w:t>
      </w:r>
    </w:p>
    <w:p w:rsidR="006F6447" w:rsidRDefault="006F6447" w:rsidP="006F6447">
      <w:pPr>
        <w:pStyle w:val="ListParagraph"/>
        <w:ind w:left="1080"/>
        <w:jc w:val="both"/>
        <w:rPr>
          <w:rFonts w:asciiTheme="majorHAnsi" w:hAnsiTheme="majorHAnsi"/>
          <w:b/>
          <w:sz w:val="22"/>
          <w:szCs w:val="22"/>
        </w:rPr>
      </w:pPr>
    </w:p>
    <w:p w:rsidR="006D3E59" w:rsidRDefault="006F6447" w:rsidP="006F6447">
      <w:pPr>
        <w:jc w:val="both"/>
        <w:rPr>
          <w:rFonts w:asciiTheme="majorHAnsi" w:hAnsiTheme="majorHAnsi"/>
          <w:sz w:val="22"/>
          <w:szCs w:val="22"/>
        </w:rPr>
      </w:pPr>
      <w:r w:rsidRPr="006F6447">
        <w:rPr>
          <w:rFonts w:asciiTheme="majorHAnsi" w:hAnsiTheme="majorHAnsi"/>
          <w:sz w:val="22"/>
          <w:szCs w:val="22"/>
        </w:rPr>
        <w:t xml:space="preserve">La </w:t>
      </w:r>
      <w:r w:rsidR="006D3E59">
        <w:rPr>
          <w:rFonts w:asciiTheme="majorHAnsi" w:hAnsiTheme="majorHAnsi"/>
          <w:sz w:val="22"/>
          <w:szCs w:val="22"/>
        </w:rPr>
        <w:t xml:space="preserve">idea de una </w:t>
      </w:r>
      <w:r w:rsidRPr="006F6447">
        <w:rPr>
          <w:rFonts w:asciiTheme="majorHAnsi" w:hAnsiTheme="majorHAnsi"/>
          <w:sz w:val="22"/>
          <w:szCs w:val="22"/>
        </w:rPr>
        <w:t xml:space="preserve">conciencia institucional </w:t>
      </w:r>
      <w:r>
        <w:rPr>
          <w:rFonts w:asciiTheme="majorHAnsi" w:hAnsiTheme="majorHAnsi"/>
          <w:sz w:val="22"/>
          <w:szCs w:val="22"/>
        </w:rPr>
        <w:t xml:space="preserve">emana directamente el derecho de asociación reconocido </w:t>
      </w:r>
      <w:r w:rsidR="006D3E59">
        <w:rPr>
          <w:rFonts w:asciiTheme="majorHAnsi" w:hAnsiTheme="majorHAnsi"/>
          <w:sz w:val="22"/>
          <w:szCs w:val="22"/>
        </w:rPr>
        <w:t xml:space="preserve">hace larga data </w:t>
      </w:r>
      <w:r>
        <w:rPr>
          <w:rFonts w:asciiTheme="majorHAnsi" w:hAnsiTheme="majorHAnsi"/>
          <w:sz w:val="22"/>
          <w:szCs w:val="22"/>
        </w:rPr>
        <w:t>en las sociedades democráticas modernas</w:t>
      </w:r>
      <w:r w:rsidR="00E3405F">
        <w:rPr>
          <w:rFonts w:asciiTheme="majorHAnsi" w:hAnsiTheme="majorHAnsi"/>
          <w:sz w:val="22"/>
          <w:szCs w:val="22"/>
        </w:rPr>
        <w:t>, el cual es reconocido por nuestra Constitución en su art. 19 Nº 15</w:t>
      </w:r>
      <w:r w:rsidR="00E3405F">
        <w:rPr>
          <w:rStyle w:val="FootnoteReference"/>
          <w:rFonts w:asciiTheme="majorHAnsi" w:hAnsiTheme="majorHAnsi"/>
          <w:sz w:val="22"/>
          <w:szCs w:val="22"/>
        </w:rPr>
        <w:footnoteReference w:id="5"/>
      </w:r>
      <w:r>
        <w:rPr>
          <w:rFonts w:asciiTheme="majorHAnsi" w:hAnsiTheme="majorHAnsi"/>
          <w:sz w:val="22"/>
          <w:szCs w:val="22"/>
        </w:rPr>
        <w:t xml:space="preserve">. </w:t>
      </w:r>
      <w:r w:rsidR="00E3405F">
        <w:rPr>
          <w:rFonts w:asciiTheme="majorHAnsi" w:hAnsiTheme="majorHAnsi"/>
          <w:sz w:val="22"/>
          <w:szCs w:val="22"/>
        </w:rPr>
        <w:t xml:space="preserve">Detrás de este se encuentra </w:t>
      </w:r>
      <w:r w:rsidR="006D3E59">
        <w:rPr>
          <w:rFonts w:asciiTheme="majorHAnsi" w:hAnsiTheme="majorHAnsi"/>
          <w:sz w:val="22"/>
          <w:szCs w:val="22"/>
        </w:rPr>
        <w:t xml:space="preserve">la idea de que todo individuo tiene derecho a asociarse, especialmente si desea hacerlo con quienes comparte un determinado ideario, buscando que este ya no solo </w:t>
      </w:r>
      <w:r w:rsidR="00666B9C">
        <w:rPr>
          <w:rFonts w:asciiTheme="majorHAnsi" w:hAnsiTheme="majorHAnsi"/>
          <w:sz w:val="22"/>
          <w:szCs w:val="22"/>
        </w:rPr>
        <w:t xml:space="preserve">se </w:t>
      </w:r>
      <w:r w:rsidR="006D3E59">
        <w:rPr>
          <w:rFonts w:asciiTheme="majorHAnsi" w:hAnsiTheme="majorHAnsi"/>
          <w:sz w:val="22"/>
          <w:szCs w:val="22"/>
        </w:rPr>
        <w:t>exprese a nivel</w:t>
      </w:r>
      <w:r w:rsidR="000A2FBA">
        <w:rPr>
          <w:rFonts w:asciiTheme="majorHAnsi" w:hAnsiTheme="majorHAnsi"/>
          <w:sz w:val="22"/>
          <w:szCs w:val="22"/>
        </w:rPr>
        <w:t xml:space="preserve"> personal</w:t>
      </w:r>
      <w:r w:rsidR="006D3E59">
        <w:rPr>
          <w:rFonts w:asciiTheme="majorHAnsi" w:hAnsiTheme="majorHAnsi"/>
          <w:sz w:val="22"/>
          <w:szCs w:val="22"/>
        </w:rPr>
        <w:t>, sino que adquiera una manifestación colectiva.</w:t>
      </w:r>
    </w:p>
    <w:p w:rsidR="006D3E59" w:rsidRDefault="006D3E59" w:rsidP="006F6447">
      <w:pPr>
        <w:jc w:val="both"/>
        <w:rPr>
          <w:rFonts w:asciiTheme="majorHAnsi" w:hAnsiTheme="majorHAnsi"/>
          <w:sz w:val="22"/>
          <w:szCs w:val="22"/>
        </w:rPr>
      </w:pPr>
    </w:p>
    <w:p w:rsidR="006F6447" w:rsidRDefault="00E3405F" w:rsidP="006F6447">
      <w:pPr>
        <w:jc w:val="both"/>
        <w:rPr>
          <w:rFonts w:asciiTheme="majorHAnsi" w:hAnsiTheme="majorHAnsi"/>
          <w:sz w:val="22"/>
          <w:szCs w:val="22"/>
        </w:rPr>
      </w:pPr>
      <w:r>
        <w:rPr>
          <w:rFonts w:asciiTheme="majorHAnsi" w:hAnsiTheme="majorHAnsi"/>
          <w:sz w:val="22"/>
          <w:szCs w:val="22"/>
        </w:rPr>
        <w:t>L</w:t>
      </w:r>
      <w:r w:rsidR="00267A0E">
        <w:rPr>
          <w:rFonts w:asciiTheme="majorHAnsi" w:hAnsiTheme="majorHAnsi"/>
          <w:sz w:val="22"/>
          <w:szCs w:val="22"/>
        </w:rPr>
        <w:t xml:space="preserve">a relevancia del principio recién anunciado no siempre aflora a primera vista. Son muchos los autores que han sostenido lo fundamental que este resulta ser para las democracias modernas. </w:t>
      </w:r>
      <w:r w:rsidR="00BE3BEB">
        <w:rPr>
          <w:rFonts w:asciiTheme="majorHAnsi" w:hAnsiTheme="majorHAnsi"/>
          <w:sz w:val="22"/>
          <w:szCs w:val="22"/>
        </w:rPr>
        <w:t>C</w:t>
      </w:r>
      <w:r w:rsidR="000A2FBA">
        <w:rPr>
          <w:rFonts w:asciiTheme="majorHAnsi" w:hAnsiTheme="majorHAnsi"/>
          <w:sz w:val="22"/>
          <w:szCs w:val="22"/>
        </w:rPr>
        <w:t xml:space="preserve">omprometerse con una </w:t>
      </w:r>
      <w:r w:rsidR="000A2FBA" w:rsidRPr="00E54511">
        <w:rPr>
          <w:rFonts w:asciiTheme="majorHAnsi" w:hAnsiTheme="majorHAnsi"/>
          <w:sz w:val="22"/>
          <w:szCs w:val="22"/>
          <w:u w:val="single"/>
        </w:rPr>
        <w:t>sociedad v</w:t>
      </w:r>
      <w:r w:rsidR="002C6E16" w:rsidRPr="00E54511">
        <w:rPr>
          <w:rFonts w:asciiTheme="majorHAnsi" w:hAnsiTheme="majorHAnsi"/>
          <w:sz w:val="22"/>
          <w:szCs w:val="22"/>
          <w:u w:val="single"/>
        </w:rPr>
        <w:t>erdaderamente pluralista</w:t>
      </w:r>
      <w:r w:rsidR="000A2FBA">
        <w:rPr>
          <w:rFonts w:asciiTheme="majorHAnsi" w:hAnsiTheme="majorHAnsi"/>
          <w:sz w:val="22"/>
          <w:szCs w:val="22"/>
        </w:rPr>
        <w:t xml:space="preserve"> exige</w:t>
      </w:r>
      <w:r w:rsidR="002C6E16">
        <w:rPr>
          <w:rFonts w:asciiTheme="majorHAnsi" w:hAnsiTheme="majorHAnsi"/>
          <w:sz w:val="22"/>
          <w:szCs w:val="22"/>
        </w:rPr>
        <w:t>, necesariamente,</w:t>
      </w:r>
      <w:r w:rsidR="000A2FBA">
        <w:rPr>
          <w:rFonts w:asciiTheme="majorHAnsi" w:hAnsiTheme="majorHAnsi"/>
          <w:sz w:val="22"/>
          <w:szCs w:val="22"/>
        </w:rPr>
        <w:t xml:space="preserve"> promover que </w:t>
      </w:r>
      <w:r w:rsidR="002C6E16">
        <w:rPr>
          <w:rFonts w:asciiTheme="majorHAnsi" w:hAnsiTheme="majorHAnsi"/>
          <w:sz w:val="22"/>
          <w:szCs w:val="22"/>
        </w:rPr>
        <w:t xml:space="preserve">la deliberación </w:t>
      </w:r>
      <w:r w:rsidR="000A2FBA">
        <w:rPr>
          <w:rFonts w:asciiTheme="majorHAnsi" w:hAnsiTheme="majorHAnsi"/>
          <w:sz w:val="22"/>
          <w:szCs w:val="22"/>
        </w:rPr>
        <w:t xml:space="preserve">entre las distintas visiones e idearios se pueda dar no solo a nivel de individuos, sino que </w:t>
      </w:r>
      <w:r w:rsidR="002C6E16">
        <w:rPr>
          <w:rFonts w:asciiTheme="majorHAnsi" w:hAnsiTheme="majorHAnsi"/>
          <w:sz w:val="22"/>
          <w:szCs w:val="22"/>
        </w:rPr>
        <w:t xml:space="preserve">también </w:t>
      </w:r>
      <w:r w:rsidR="000A2FBA">
        <w:rPr>
          <w:rFonts w:asciiTheme="majorHAnsi" w:hAnsiTheme="majorHAnsi"/>
          <w:sz w:val="22"/>
          <w:szCs w:val="22"/>
        </w:rPr>
        <w:t>a través de instituciones y agrupaciones que profundicen en cada una de sus cosmovisiones. Así, la pertenencia a un grupo determinado le otorga a sus integrantes un espacio y una voz política con un carácter distinto a la de la simple suma de sus integrantes.</w:t>
      </w:r>
    </w:p>
    <w:p w:rsidR="002C6E16" w:rsidRDefault="002C6E16" w:rsidP="006F6447">
      <w:pPr>
        <w:jc w:val="both"/>
        <w:rPr>
          <w:rFonts w:asciiTheme="majorHAnsi" w:hAnsiTheme="majorHAnsi"/>
          <w:sz w:val="22"/>
          <w:szCs w:val="22"/>
        </w:rPr>
      </w:pPr>
    </w:p>
    <w:p w:rsidR="002C6E16" w:rsidRDefault="002C6E16" w:rsidP="006F6447">
      <w:pPr>
        <w:jc w:val="both"/>
        <w:rPr>
          <w:rFonts w:asciiTheme="majorHAnsi" w:hAnsiTheme="majorHAnsi"/>
          <w:sz w:val="22"/>
          <w:szCs w:val="22"/>
        </w:rPr>
      </w:pPr>
      <w:r>
        <w:rPr>
          <w:rFonts w:asciiTheme="majorHAnsi" w:hAnsiTheme="majorHAnsi"/>
          <w:sz w:val="22"/>
          <w:szCs w:val="22"/>
        </w:rPr>
        <w:t xml:space="preserve">Ya desde la antigüedad los clásicos advertían las necesidad de resguardar estas “sociedades menores” que contribuían a desarrollar más plenamente </w:t>
      </w:r>
      <w:r w:rsidR="00E54511">
        <w:rPr>
          <w:rFonts w:asciiTheme="majorHAnsi" w:hAnsiTheme="majorHAnsi"/>
          <w:sz w:val="22"/>
          <w:szCs w:val="22"/>
        </w:rPr>
        <w:t xml:space="preserve">al </w:t>
      </w:r>
      <w:r>
        <w:rPr>
          <w:rFonts w:asciiTheme="majorHAnsi" w:hAnsiTheme="majorHAnsi"/>
          <w:sz w:val="22"/>
          <w:szCs w:val="22"/>
        </w:rPr>
        <w:t>ser humano. En la actualidad estos grupos articulados adquieren aún mayor rele</w:t>
      </w:r>
      <w:bookmarkStart w:id="0" w:name="_GoBack"/>
      <w:bookmarkEnd w:id="0"/>
      <w:r>
        <w:rPr>
          <w:rFonts w:asciiTheme="majorHAnsi" w:hAnsiTheme="majorHAnsi"/>
          <w:sz w:val="22"/>
          <w:szCs w:val="22"/>
        </w:rPr>
        <w:t>vancia tratándo</w:t>
      </w:r>
      <w:r w:rsidR="00E54511">
        <w:rPr>
          <w:rFonts w:asciiTheme="majorHAnsi" w:hAnsiTheme="majorHAnsi"/>
          <w:sz w:val="22"/>
          <w:szCs w:val="22"/>
        </w:rPr>
        <w:t>se una sociedad de masas, en la</w:t>
      </w:r>
      <w:r>
        <w:rPr>
          <w:rFonts w:asciiTheme="majorHAnsi" w:hAnsiTheme="majorHAnsi"/>
          <w:sz w:val="22"/>
          <w:szCs w:val="22"/>
        </w:rPr>
        <w:t xml:space="preserve"> que el individuo se vuelve fácilmente imp</w:t>
      </w:r>
      <w:r w:rsidR="00E54511">
        <w:rPr>
          <w:rFonts w:asciiTheme="majorHAnsi" w:hAnsiTheme="majorHAnsi"/>
          <w:sz w:val="22"/>
          <w:szCs w:val="22"/>
        </w:rPr>
        <w:t>onente frente al Estado y en la</w:t>
      </w:r>
      <w:r>
        <w:rPr>
          <w:rFonts w:asciiTheme="majorHAnsi" w:hAnsiTheme="majorHAnsi"/>
          <w:sz w:val="22"/>
          <w:szCs w:val="22"/>
        </w:rPr>
        <w:t xml:space="preserve"> que su libertad</w:t>
      </w:r>
      <w:r w:rsidR="00E54511">
        <w:rPr>
          <w:rFonts w:asciiTheme="majorHAnsi" w:hAnsiTheme="majorHAnsi"/>
          <w:sz w:val="22"/>
          <w:szCs w:val="22"/>
        </w:rPr>
        <w:t xml:space="preserve"> </w:t>
      </w:r>
      <w:r>
        <w:rPr>
          <w:rFonts w:asciiTheme="majorHAnsi" w:hAnsiTheme="majorHAnsi"/>
          <w:sz w:val="22"/>
          <w:szCs w:val="22"/>
        </w:rPr>
        <w:t>adquiere un verdadero resguardo a través de estas asociaciones. Así un famoso pensador inglés señalaba que “</w:t>
      </w:r>
      <w:r w:rsidRPr="007B6C40">
        <w:rPr>
          <w:rFonts w:asciiTheme="majorHAnsi" w:hAnsiTheme="majorHAnsi"/>
          <w:i/>
          <w:sz w:val="22"/>
          <w:szCs w:val="22"/>
        </w:rPr>
        <w:t>cada vez resulta más evidente</w:t>
      </w:r>
      <w:r w:rsidR="007B6C40" w:rsidRPr="007B6C40">
        <w:rPr>
          <w:rFonts w:asciiTheme="majorHAnsi" w:hAnsiTheme="majorHAnsi"/>
          <w:i/>
          <w:sz w:val="22"/>
          <w:szCs w:val="22"/>
        </w:rPr>
        <w:t xml:space="preserve"> que la pregunta por la liberta</w:t>
      </w:r>
      <w:r w:rsidR="00E54511">
        <w:rPr>
          <w:rFonts w:asciiTheme="majorHAnsi" w:hAnsiTheme="majorHAnsi"/>
          <w:i/>
          <w:sz w:val="22"/>
          <w:szCs w:val="22"/>
        </w:rPr>
        <w:t>d</w:t>
      </w:r>
      <w:r w:rsidR="007B6C40" w:rsidRPr="007B6C40">
        <w:rPr>
          <w:rFonts w:asciiTheme="majorHAnsi" w:hAnsiTheme="majorHAnsi"/>
          <w:i/>
          <w:sz w:val="22"/>
          <w:szCs w:val="22"/>
        </w:rPr>
        <w:t xml:space="preserve"> es hoy una pregunta por la libertad</w:t>
      </w:r>
      <w:r w:rsidRPr="007B6C40">
        <w:rPr>
          <w:rFonts w:asciiTheme="majorHAnsi" w:hAnsiTheme="majorHAnsi"/>
          <w:i/>
          <w:sz w:val="22"/>
          <w:szCs w:val="22"/>
        </w:rPr>
        <w:t xml:space="preserve"> de las uniones menor</w:t>
      </w:r>
      <w:r w:rsidR="007B6C40" w:rsidRPr="007B6C40">
        <w:rPr>
          <w:rFonts w:asciiTheme="majorHAnsi" w:hAnsiTheme="majorHAnsi"/>
          <w:i/>
          <w:sz w:val="22"/>
          <w:szCs w:val="22"/>
        </w:rPr>
        <w:t>es para vivir dentro del todo</w:t>
      </w:r>
      <w:r>
        <w:rPr>
          <w:rFonts w:asciiTheme="majorHAnsi" w:hAnsiTheme="majorHAnsi"/>
          <w:sz w:val="22"/>
          <w:szCs w:val="22"/>
        </w:rPr>
        <w:t>”</w:t>
      </w:r>
      <w:r w:rsidR="007B6C40">
        <w:rPr>
          <w:rStyle w:val="FootnoteReference"/>
          <w:rFonts w:asciiTheme="majorHAnsi" w:hAnsiTheme="majorHAnsi"/>
          <w:sz w:val="22"/>
          <w:szCs w:val="22"/>
        </w:rPr>
        <w:footnoteReference w:id="6"/>
      </w:r>
      <w:r w:rsidR="007B6C40">
        <w:rPr>
          <w:rFonts w:asciiTheme="majorHAnsi" w:hAnsiTheme="majorHAnsi"/>
          <w:sz w:val="22"/>
          <w:szCs w:val="22"/>
        </w:rPr>
        <w:t>.</w:t>
      </w:r>
    </w:p>
    <w:p w:rsidR="007B6C40" w:rsidRDefault="007B6C40" w:rsidP="006F6447">
      <w:pPr>
        <w:jc w:val="both"/>
        <w:rPr>
          <w:rFonts w:asciiTheme="majorHAnsi" w:hAnsiTheme="majorHAnsi"/>
          <w:sz w:val="22"/>
          <w:szCs w:val="22"/>
        </w:rPr>
      </w:pPr>
    </w:p>
    <w:p w:rsidR="007B6C40" w:rsidRPr="006F6447" w:rsidRDefault="007B6C40" w:rsidP="006F6447">
      <w:pPr>
        <w:jc w:val="both"/>
        <w:rPr>
          <w:rFonts w:asciiTheme="majorHAnsi" w:hAnsiTheme="majorHAnsi"/>
          <w:sz w:val="22"/>
          <w:szCs w:val="22"/>
        </w:rPr>
      </w:pPr>
      <w:r>
        <w:rPr>
          <w:rFonts w:asciiTheme="majorHAnsi" w:hAnsiTheme="majorHAnsi"/>
          <w:sz w:val="22"/>
          <w:szCs w:val="22"/>
        </w:rPr>
        <w:t>Por elaborado que pueda sonar lo señalado anteriormente, lo cierto es que esta idea de tener agrupaciones reales con personalidad e idearios propios suele manifestarse constantemente en nuestra cotidianeidad.  Así en nuestro lenguaje común y corriente solemos asignarle conciencias a las instituciones que nos rodean. No es raro oír a alguien decir que tal o cual empresa debe tener mayor res</w:t>
      </w:r>
      <w:r w:rsidR="00703F0A">
        <w:rPr>
          <w:rFonts w:asciiTheme="majorHAnsi" w:hAnsiTheme="majorHAnsi"/>
          <w:sz w:val="22"/>
          <w:szCs w:val="22"/>
        </w:rPr>
        <w:t xml:space="preserve">ponsabilidad </w:t>
      </w:r>
      <w:r w:rsidR="00E54511">
        <w:rPr>
          <w:rFonts w:asciiTheme="majorHAnsi" w:hAnsiTheme="majorHAnsi"/>
          <w:sz w:val="22"/>
          <w:szCs w:val="22"/>
        </w:rPr>
        <w:t xml:space="preserve">con </w:t>
      </w:r>
      <w:r w:rsidR="00703F0A">
        <w:rPr>
          <w:rFonts w:asciiTheme="majorHAnsi" w:hAnsiTheme="majorHAnsi"/>
          <w:sz w:val="22"/>
          <w:szCs w:val="22"/>
        </w:rPr>
        <w:t>el medio ambiente</w:t>
      </w:r>
      <w:r>
        <w:rPr>
          <w:rFonts w:asciiTheme="majorHAnsi" w:hAnsiTheme="majorHAnsi"/>
          <w:sz w:val="22"/>
          <w:szCs w:val="22"/>
        </w:rPr>
        <w:t xml:space="preserve">, o que discrepamos o concordamos con la visión </w:t>
      </w:r>
      <w:r w:rsidR="00703F0A">
        <w:rPr>
          <w:rFonts w:asciiTheme="majorHAnsi" w:hAnsiTheme="majorHAnsi"/>
          <w:sz w:val="22"/>
          <w:szCs w:val="22"/>
        </w:rPr>
        <w:t>esgrimidas por</w:t>
      </w:r>
      <w:r w:rsidR="00E54511">
        <w:rPr>
          <w:rFonts w:asciiTheme="majorHAnsi" w:hAnsiTheme="majorHAnsi"/>
          <w:sz w:val="22"/>
          <w:szCs w:val="22"/>
        </w:rPr>
        <w:t xml:space="preserve"> una determinada</w:t>
      </w:r>
      <w:r w:rsidR="00703F0A">
        <w:rPr>
          <w:rFonts w:asciiTheme="majorHAnsi" w:hAnsiTheme="majorHAnsi"/>
          <w:sz w:val="22"/>
          <w:szCs w:val="22"/>
        </w:rPr>
        <w:t xml:space="preserve"> </w:t>
      </w:r>
      <w:r w:rsidR="00E54511">
        <w:rPr>
          <w:rFonts w:asciiTheme="majorHAnsi" w:hAnsiTheme="majorHAnsi"/>
          <w:sz w:val="22"/>
          <w:szCs w:val="22"/>
        </w:rPr>
        <w:t>universidad</w:t>
      </w:r>
      <w:r w:rsidR="00703F0A">
        <w:rPr>
          <w:rFonts w:asciiTheme="majorHAnsi" w:hAnsiTheme="majorHAnsi"/>
          <w:sz w:val="22"/>
          <w:szCs w:val="22"/>
        </w:rPr>
        <w:t xml:space="preserve">, etc. Por su parte, la manifestación jurídica mas evidente </w:t>
      </w:r>
      <w:r w:rsidR="00E54511">
        <w:rPr>
          <w:rFonts w:asciiTheme="majorHAnsi" w:hAnsiTheme="majorHAnsi"/>
          <w:sz w:val="22"/>
          <w:szCs w:val="22"/>
        </w:rPr>
        <w:t xml:space="preserve">de este fenómeno </w:t>
      </w:r>
      <w:r w:rsidR="00703F0A">
        <w:rPr>
          <w:rFonts w:asciiTheme="majorHAnsi" w:hAnsiTheme="majorHAnsi"/>
          <w:sz w:val="22"/>
          <w:szCs w:val="22"/>
        </w:rPr>
        <w:t>se da en la asignación de responsabilidad civil o penal a las personas jurídica, y no solo a las naturales.</w:t>
      </w:r>
    </w:p>
    <w:p w:rsidR="00B60D00" w:rsidRDefault="00B60D00" w:rsidP="00B60D00">
      <w:pPr>
        <w:jc w:val="both"/>
        <w:rPr>
          <w:rFonts w:asciiTheme="majorHAnsi" w:hAnsiTheme="majorHAnsi"/>
          <w:b/>
          <w:sz w:val="22"/>
          <w:szCs w:val="22"/>
        </w:rPr>
      </w:pPr>
    </w:p>
    <w:p w:rsidR="00B60D00" w:rsidRPr="00B60D00" w:rsidRDefault="00B60D00" w:rsidP="00B60D00">
      <w:pPr>
        <w:jc w:val="both"/>
        <w:rPr>
          <w:rFonts w:asciiTheme="majorHAnsi" w:hAnsiTheme="majorHAnsi"/>
          <w:b/>
          <w:sz w:val="22"/>
          <w:szCs w:val="22"/>
        </w:rPr>
      </w:pPr>
    </w:p>
    <w:p w:rsidR="006F6447" w:rsidRPr="00AD5E7E" w:rsidRDefault="007B6C40" w:rsidP="00AD5E7E">
      <w:pPr>
        <w:pStyle w:val="ListParagraph"/>
        <w:numPr>
          <w:ilvl w:val="0"/>
          <w:numId w:val="2"/>
        </w:numPr>
        <w:jc w:val="both"/>
        <w:rPr>
          <w:rFonts w:asciiTheme="majorHAnsi" w:hAnsiTheme="majorHAnsi"/>
          <w:b/>
          <w:sz w:val="22"/>
          <w:szCs w:val="22"/>
        </w:rPr>
      </w:pPr>
      <w:r w:rsidRPr="007B6C40">
        <w:rPr>
          <w:rFonts w:asciiTheme="majorHAnsi" w:hAnsiTheme="majorHAnsi"/>
          <w:b/>
          <w:sz w:val="22"/>
          <w:szCs w:val="22"/>
          <w:u w:val="single"/>
        </w:rPr>
        <w:t>La Objeción de Conciencia Institucional</w:t>
      </w:r>
      <w:r>
        <w:rPr>
          <w:rFonts w:asciiTheme="majorHAnsi" w:hAnsiTheme="majorHAnsi"/>
          <w:b/>
          <w:sz w:val="22"/>
          <w:szCs w:val="22"/>
        </w:rPr>
        <w:t xml:space="preserve">: </w:t>
      </w:r>
    </w:p>
    <w:p w:rsidR="00361CE2" w:rsidRDefault="00361CE2" w:rsidP="00AD5E7E">
      <w:pPr>
        <w:jc w:val="both"/>
        <w:rPr>
          <w:b/>
          <w:u w:val="single"/>
        </w:rPr>
      </w:pPr>
    </w:p>
    <w:p w:rsidR="00E54511" w:rsidRDefault="00E54511" w:rsidP="00AD5E7E">
      <w:pPr>
        <w:jc w:val="both"/>
        <w:rPr>
          <w:rFonts w:asciiTheme="majorHAnsi" w:hAnsiTheme="majorHAnsi"/>
          <w:sz w:val="22"/>
          <w:szCs w:val="22"/>
        </w:rPr>
      </w:pPr>
      <w:r>
        <w:rPr>
          <w:rFonts w:asciiTheme="majorHAnsi" w:hAnsiTheme="majorHAnsi"/>
          <w:sz w:val="22"/>
          <w:szCs w:val="22"/>
        </w:rPr>
        <w:t xml:space="preserve">Dicho todo lo anterior, la objeción de conciencia de las instituciones que colaboran con la función pública viene a ser un reconocimiento </w:t>
      </w:r>
      <w:r w:rsidR="00514624">
        <w:rPr>
          <w:rFonts w:asciiTheme="majorHAnsi" w:hAnsiTheme="majorHAnsi"/>
          <w:sz w:val="22"/>
          <w:szCs w:val="22"/>
        </w:rPr>
        <w:t>de la identidad que sustentan, al tiempo que colaboran con el Estado en la búsqueda del bien común.</w:t>
      </w:r>
    </w:p>
    <w:p w:rsidR="00514624" w:rsidRDefault="00514624" w:rsidP="00AD5E7E">
      <w:pPr>
        <w:jc w:val="both"/>
        <w:rPr>
          <w:rFonts w:asciiTheme="majorHAnsi" w:hAnsiTheme="majorHAnsi"/>
          <w:sz w:val="22"/>
          <w:szCs w:val="22"/>
        </w:rPr>
      </w:pPr>
    </w:p>
    <w:p w:rsidR="00B60D00" w:rsidRDefault="00514624" w:rsidP="00B60D00">
      <w:pPr>
        <w:jc w:val="both"/>
        <w:rPr>
          <w:rFonts w:asciiTheme="majorHAnsi" w:hAnsiTheme="majorHAnsi"/>
          <w:sz w:val="22"/>
          <w:szCs w:val="22"/>
        </w:rPr>
      </w:pPr>
      <w:r>
        <w:rPr>
          <w:rFonts w:asciiTheme="majorHAnsi" w:hAnsiTheme="majorHAnsi"/>
          <w:sz w:val="22"/>
          <w:szCs w:val="22"/>
        </w:rPr>
        <w:t xml:space="preserve">Por lo mismo, la posibilidad de objetar no debe ser vista como una mera concesión respecto de lo que un particular puede o no hacer, sino que sobre todo como una atribución de organizaciones que son parte de nuestra vida pública y que desde sus idearios distintivos </w:t>
      </w:r>
      <w:r w:rsidR="00B60D00">
        <w:rPr>
          <w:rFonts w:asciiTheme="majorHAnsi" w:hAnsiTheme="majorHAnsi"/>
          <w:sz w:val="22"/>
          <w:szCs w:val="22"/>
        </w:rPr>
        <w:t xml:space="preserve">pueden también colaborar con los objetivos del </w:t>
      </w:r>
      <w:r>
        <w:rPr>
          <w:rFonts w:asciiTheme="majorHAnsi" w:hAnsiTheme="majorHAnsi"/>
          <w:sz w:val="22"/>
          <w:szCs w:val="22"/>
        </w:rPr>
        <w:t>Estado.</w:t>
      </w:r>
      <w:r w:rsidR="00797467">
        <w:rPr>
          <w:rFonts w:asciiTheme="majorHAnsi" w:hAnsiTheme="majorHAnsi"/>
          <w:sz w:val="22"/>
          <w:szCs w:val="22"/>
        </w:rPr>
        <w:t xml:space="preserve"> Negarles a priori esta atribución, implica obligarlas a tener que optar entre renunciar a su ideario, o restarse de todo el aporte que puedan realizar en las distintas tareas y urgencias públicas.</w:t>
      </w:r>
      <w:r w:rsidR="00F53FD4">
        <w:rPr>
          <w:rFonts w:asciiTheme="majorHAnsi" w:hAnsiTheme="majorHAnsi"/>
          <w:sz w:val="22"/>
          <w:szCs w:val="22"/>
        </w:rPr>
        <w:t xml:space="preserve"> </w:t>
      </w:r>
    </w:p>
    <w:p w:rsidR="00B60D00" w:rsidRDefault="00B60D00" w:rsidP="00B60D00">
      <w:pPr>
        <w:jc w:val="both"/>
        <w:rPr>
          <w:rFonts w:asciiTheme="majorHAnsi" w:hAnsiTheme="majorHAnsi"/>
          <w:sz w:val="22"/>
          <w:szCs w:val="22"/>
        </w:rPr>
      </w:pPr>
    </w:p>
    <w:p w:rsidR="00361CE2" w:rsidRPr="00B60D00" w:rsidRDefault="00F53FD4" w:rsidP="00B60D00">
      <w:pPr>
        <w:jc w:val="both"/>
        <w:rPr>
          <w:rFonts w:asciiTheme="majorHAnsi" w:hAnsiTheme="majorHAnsi"/>
          <w:sz w:val="22"/>
          <w:szCs w:val="22"/>
        </w:rPr>
      </w:pPr>
      <w:r>
        <w:rPr>
          <w:rFonts w:asciiTheme="majorHAnsi" w:hAnsiTheme="majorHAnsi"/>
          <w:sz w:val="22"/>
          <w:szCs w:val="22"/>
        </w:rPr>
        <w:t xml:space="preserve">Por esto, tomarse en serio las urgencias sociales debería llevarnos a no renunciar a la contribución que la sociedad civil, desde su amplia pluralidad de identidades, pueda realizar al bienestar del país. En el caso en cuestión, </w:t>
      </w:r>
      <w:r w:rsidR="00683D5C">
        <w:rPr>
          <w:rFonts w:asciiTheme="majorHAnsi" w:hAnsiTheme="majorHAnsi"/>
          <w:sz w:val="22"/>
          <w:szCs w:val="22"/>
        </w:rPr>
        <w:t>nos llevaría a</w:t>
      </w:r>
      <w:r>
        <w:rPr>
          <w:rFonts w:asciiTheme="majorHAnsi" w:hAnsiTheme="majorHAnsi"/>
          <w:sz w:val="22"/>
          <w:szCs w:val="22"/>
        </w:rPr>
        <w:t xml:space="preserve"> no desechar las múltiples prestaciones y asistencias médicas que </w:t>
      </w:r>
      <w:r w:rsidR="00B60D00">
        <w:rPr>
          <w:rFonts w:asciiTheme="majorHAnsi" w:hAnsiTheme="majorHAnsi"/>
          <w:sz w:val="22"/>
          <w:szCs w:val="22"/>
        </w:rPr>
        <w:t>las</w:t>
      </w:r>
      <w:r>
        <w:rPr>
          <w:rFonts w:asciiTheme="majorHAnsi" w:hAnsiTheme="majorHAnsi"/>
          <w:sz w:val="22"/>
          <w:szCs w:val="22"/>
        </w:rPr>
        <w:t xml:space="preserve"> clínicas y hospitales privados pueden aportar al Si</w:t>
      </w:r>
      <w:r w:rsidR="00683D5C">
        <w:rPr>
          <w:rFonts w:asciiTheme="majorHAnsi" w:hAnsiTheme="majorHAnsi"/>
          <w:sz w:val="22"/>
          <w:szCs w:val="22"/>
        </w:rPr>
        <w:t>stema de Salud, solo porque no pueda</w:t>
      </w:r>
      <w:r>
        <w:rPr>
          <w:rFonts w:asciiTheme="majorHAnsi" w:hAnsiTheme="majorHAnsi"/>
          <w:sz w:val="22"/>
          <w:szCs w:val="22"/>
        </w:rPr>
        <w:t>n prestar una en particular como</w:t>
      </w:r>
      <w:r w:rsidR="00683D5C">
        <w:rPr>
          <w:rFonts w:asciiTheme="majorHAnsi" w:hAnsiTheme="majorHAnsi"/>
          <w:sz w:val="22"/>
          <w:szCs w:val="22"/>
        </w:rPr>
        <w:t xml:space="preserve"> es la del aborto</w:t>
      </w:r>
      <w:r>
        <w:rPr>
          <w:rFonts w:asciiTheme="majorHAnsi" w:hAnsiTheme="majorHAnsi"/>
          <w:sz w:val="22"/>
          <w:szCs w:val="22"/>
        </w:rPr>
        <w:t>.</w:t>
      </w:r>
      <w:r w:rsidR="00683D5C">
        <w:rPr>
          <w:rFonts w:asciiTheme="majorHAnsi" w:hAnsiTheme="majorHAnsi"/>
          <w:sz w:val="22"/>
          <w:szCs w:val="22"/>
        </w:rPr>
        <w:t xml:space="preserve"> Este es precisamente el camino que países como EEUU o Alemania han decidido tomar, en los cuales existen amplias redes de hospitales confesionales</w:t>
      </w:r>
      <w:r w:rsidR="00854E89">
        <w:rPr>
          <w:rFonts w:asciiTheme="majorHAnsi" w:hAnsiTheme="majorHAnsi"/>
          <w:sz w:val="22"/>
          <w:szCs w:val="22"/>
        </w:rPr>
        <w:t>, con cerca de 500 instituciones católicas de salud en cada uno,</w:t>
      </w:r>
      <w:r w:rsidR="00B60D00">
        <w:rPr>
          <w:rFonts w:asciiTheme="majorHAnsi" w:hAnsiTheme="majorHAnsi"/>
          <w:sz w:val="22"/>
          <w:szCs w:val="22"/>
        </w:rPr>
        <w:t xml:space="preserve"> las cuales</w:t>
      </w:r>
      <w:r w:rsidR="00683D5C">
        <w:rPr>
          <w:rFonts w:asciiTheme="majorHAnsi" w:hAnsiTheme="majorHAnsi"/>
          <w:sz w:val="22"/>
          <w:szCs w:val="22"/>
        </w:rPr>
        <w:t xml:space="preserve"> pueden objetar practicas como el abort</w:t>
      </w:r>
      <w:r w:rsidR="00B60D00">
        <w:rPr>
          <w:rFonts w:asciiTheme="majorHAnsi" w:hAnsiTheme="majorHAnsi"/>
          <w:sz w:val="22"/>
          <w:szCs w:val="22"/>
        </w:rPr>
        <w:t xml:space="preserve">o </w:t>
      </w:r>
      <w:r w:rsidR="00666B9C">
        <w:rPr>
          <w:rFonts w:asciiTheme="majorHAnsi" w:hAnsiTheme="majorHAnsi"/>
          <w:sz w:val="22"/>
          <w:szCs w:val="22"/>
        </w:rPr>
        <w:t>sin dejar de contribuir</w:t>
      </w:r>
      <w:r w:rsidR="00B60D00">
        <w:rPr>
          <w:rFonts w:asciiTheme="majorHAnsi" w:hAnsiTheme="majorHAnsi"/>
          <w:sz w:val="22"/>
          <w:szCs w:val="22"/>
        </w:rPr>
        <w:t xml:space="preserve"> al mejoramiento del sistema de salud público</w:t>
      </w:r>
      <w:r w:rsidR="00683D5C">
        <w:rPr>
          <w:rFonts w:asciiTheme="majorHAnsi" w:hAnsiTheme="majorHAnsi"/>
          <w:sz w:val="22"/>
          <w:szCs w:val="22"/>
        </w:rPr>
        <w:t>.</w:t>
      </w: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361CE2">
      <w:pPr>
        <w:jc w:val="center"/>
        <w:rPr>
          <w:b/>
          <w:u w:val="single"/>
        </w:rPr>
      </w:pPr>
    </w:p>
    <w:p w:rsidR="00361CE2" w:rsidRDefault="00361CE2" w:rsidP="00EB1845">
      <w:pPr>
        <w:rPr>
          <w:b/>
          <w:u w:val="single"/>
        </w:rPr>
      </w:pPr>
    </w:p>
    <w:sectPr w:rsidR="00361CE2" w:rsidSect="00361CE2">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9C" w:rsidRDefault="00666B9C" w:rsidP="00361CE2">
      <w:r>
        <w:separator/>
      </w:r>
    </w:p>
  </w:endnote>
  <w:endnote w:type="continuationSeparator" w:id="0">
    <w:p w:rsidR="00666B9C" w:rsidRDefault="00666B9C" w:rsidP="0036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9C" w:rsidRDefault="00666B9C" w:rsidP="00361CE2">
      <w:r>
        <w:separator/>
      </w:r>
    </w:p>
  </w:footnote>
  <w:footnote w:type="continuationSeparator" w:id="0">
    <w:p w:rsidR="00666B9C" w:rsidRDefault="00666B9C" w:rsidP="00361CE2">
      <w:r>
        <w:continuationSeparator/>
      </w:r>
    </w:p>
  </w:footnote>
  <w:footnote w:id="1">
    <w:p w:rsidR="00666B9C" w:rsidRPr="005C6AF0" w:rsidRDefault="00666B9C" w:rsidP="00AF3AD8">
      <w:pPr>
        <w:pStyle w:val="FootnoteText"/>
        <w:jc w:val="both"/>
        <w:rPr>
          <w:rFonts w:asciiTheme="majorHAnsi" w:hAnsiTheme="majorHAnsi"/>
          <w:sz w:val="20"/>
          <w:szCs w:val="20"/>
        </w:rPr>
      </w:pPr>
      <w:r w:rsidRPr="005C6AF0">
        <w:rPr>
          <w:rStyle w:val="FootnoteReference"/>
          <w:rFonts w:asciiTheme="majorHAnsi" w:hAnsiTheme="majorHAnsi"/>
          <w:sz w:val="20"/>
          <w:szCs w:val="20"/>
        </w:rPr>
        <w:footnoteRef/>
      </w:r>
      <w:r w:rsidRPr="005C6AF0">
        <w:rPr>
          <w:rFonts w:asciiTheme="majorHAnsi" w:hAnsiTheme="majorHAnsi"/>
          <w:sz w:val="20"/>
          <w:szCs w:val="20"/>
        </w:rPr>
        <w:t xml:space="preserve"> Art. 119 ter Código Sanitario, introducido por la ley Nº 21.030</w:t>
      </w:r>
      <w:r>
        <w:rPr>
          <w:rFonts w:asciiTheme="majorHAnsi" w:hAnsiTheme="majorHAnsi"/>
          <w:sz w:val="20"/>
          <w:szCs w:val="20"/>
        </w:rPr>
        <w:t>.</w:t>
      </w:r>
    </w:p>
  </w:footnote>
  <w:footnote w:id="2">
    <w:p w:rsidR="00666B9C" w:rsidRPr="00262846" w:rsidRDefault="00666B9C" w:rsidP="00AF3AD8">
      <w:pPr>
        <w:pStyle w:val="FootnoteText"/>
        <w:jc w:val="both"/>
        <w:rPr>
          <w:rFonts w:asciiTheme="majorHAnsi" w:hAnsiTheme="majorHAnsi"/>
          <w:sz w:val="20"/>
          <w:szCs w:val="20"/>
        </w:rPr>
      </w:pPr>
      <w:r w:rsidRPr="00262846">
        <w:rPr>
          <w:rStyle w:val="FootnoteReference"/>
          <w:rFonts w:asciiTheme="majorHAnsi" w:hAnsiTheme="majorHAnsi"/>
          <w:sz w:val="20"/>
          <w:szCs w:val="20"/>
        </w:rPr>
        <w:footnoteRef/>
      </w:r>
      <w:r w:rsidRPr="00262846">
        <w:rPr>
          <w:rFonts w:asciiTheme="majorHAnsi" w:hAnsiTheme="majorHAnsi"/>
          <w:sz w:val="20"/>
          <w:szCs w:val="20"/>
        </w:rPr>
        <w:t xml:space="preserve"> </w:t>
      </w:r>
      <w:r>
        <w:rPr>
          <w:rFonts w:asciiTheme="majorHAnsi" w:hAnsiTheme="majorHAnsi"/>
          <w:sz w:val="20"/>
          <w:szCs w:val="20"/>
        </w:rPr>
        <w:t>Dictamen Nº 11.781 del 9 de mayo de 2018.</w:t>
      </w:r>
    </w:p>
  </w:footnote>
  <w:footnote w:id="3">
    <w:p w:rsidR="00666B9C" w:rsidRPr="00AF3AD8" w:rsidRDefault="00666B9C" w:rsidP="00AF3AD8">
      <w:pPr>
        <w:pStyle w:val="FootnoteText"/>
        <w:jc w:val="both"/>
        <w:rPr>
          <w:rFonts w:asciiTheme="majorHAnsi" w:hAnsiTheme="majorHAnsi"/>
          <w:sz w:val="20"/>
          <w:szCs w:val="20"/>
        </w:rPr>
      </w:pPr>
      <w:r w:rsidRPr="00AF3AD8">
        <w:rPr>
          <w:rStyle w:val="FootnoteReference"/>
          <w:rFonts w:asciiTheme="majorHAnsi" w:hAnsiTheme="majorHAnsi"/>
          <w:sz w:val="20"/>
          <w:szCs w:val="20"/>
        </w:rPr>
        <w:footnoteRef/>
      </w:r>
      <w:r>
        <w:rPr>
          <w:rFonts w:asciiTheme="majorHAnsi" w:hAnsiTheme="majorHAnsi"/>
          <w:sz w:val="20"/>
          <w:szCs w:val="20"/>
        </w:rPr>
        <w:t xml:space="preserve"> </w:t>
      </w:r>
      <w:r>
        <w:rPr>
          <w:rFonts w:asciiTheme="majorHAnsi" w:hAnsiTheme="majorHAnsi"/>
          <w:sz w:val="20"/>
          <w:szCs w:val="20"/>
        </w:rPr>
        <w:t xml:space="preserve">Decreto Nº 67 del Ministerio de Salud, del 29 de junio de 2019, que aprueba reglamento para ejercer objeción de </w:t>
      </w:r>
      <w:r w:rsidRPr="00AF3AD8">
        <w:rPr>
          <w:rFonts w:asciiTheme="majorHAnsi" w:hAnsiTheme="majorHAnsi"/>
          <w:sz w:val="20"/>
          <w:szCs w:val="20"/>
        </w:rPr>
        <w:t xml:space="preserve"> </w:t>
      </w:r>
      <w:r>
        <w:rPr>
          <w:rFonts w:asciiTheme="majorHAnsi" w:hAnsiTheme="majorHAnsi"/>
          <w:sz w:val="20"/>
          <w:szCs w:val="20"/>
        </w:rPr>
        <w:t>según lo dispuesto en el artículo 119 ter del Código Sanitario</w:t>
      </w:r>
    </w:p>
  </w:footnote>
  <w:footnote w:id="4">
    <w:p w:rsidR="00666B9C" w:rsidRPr="00443043" w:rsidRDefault="00666B9C">
      <w:pPr>
        <w:pStyle w:val="FootnoteText"/>
        <w:rPr>
          <w:rFonts w:asciiTheme="majorHAnsi" w:hAnsiTheme="majorHAnsi"/>
          <w:sz w:val="20"/>
          <w:szCs w:val="20"/>
        </w:rPr>
      </w:pPr>
      <w:r w:rsidRPr="00443043">
        <w:rPr>
          <w:rStyle w:val="FootnoteReference"/>
          <w:rFonts w:asciiTheme="majorHAnsi" w:hAnsiTheme="majorHAnsi"/>
          <w:sz w:val="20"/>
          <w:szCs w:val="20"/>
        </w:rPr>
        <w:footnoteRef/>
      </w:r>
      <w:r w:rsidRPr="00443043">
        <w:rPr>
          <w:rFonts w:asciiTheme="majorHAnsi" w:hAnsiTheme="majorHAnsi"/>
          <w:sz w:val="20"/>
          <w:szCs w:val="20"/>
        </w:rPr>
        <w:t xml:space="preserve"> </w:t>
      </w:r>
      <w:r>
        <w:rPr>
          <w:rFonts w:asciiTheme="majorHAnsi" w:hAnsiTheme="majorHAnsi"/>
          <w:sz w:val="20"/>
          <w:szCs w:val="20"/>
        </w:rPr>
        <w:t>Dictamen Nº 11.781 del 9 de mayo de 2018</w:t>
      </w:r>
    </w:p>
  </w:footnote>
  <w:footnote w:id="5">
    <w:p w:rsidR="00666B9C" w:rsidRPr="00E3405F" w:rsidRDefault="00666B9C">
      <w:pPr>
        <w:pStyle w:val="FootnoteText"/>
        <w:rPr>
          <w:rFonts w:asciiTheme="majorHAnsi" w:hAnsiTheme="majorHAnsi"/>
          <w:sz w:val="20"/>
          <w:szCs w:val="20"/>
        </w:rPr>
      </w:pPr>
      <w:r w:rsidRPr="00E3405F">
        <w:rPr>
          <w:rStyle w:val="FootnoteReference"/>
          <w:rFonts w:asciiTheme="majorHAnsi" w:hAnsiTheme="majorHAnsi"/>
          <w:sz w:val="20"/>
          <w:szCs w:val="20"/>
        </w:rPr>
        <w:footnoteRef/>
      </w:r>
      <w:r w:rsidRPr="00E3405F">
        <w:rPr>
          <w:rFonts w:asciiTheme="majorHAnsi" w:hAnsiTheme="majorHAnsi"/>
          <w:sz w:val="20"/>
          <w:szCs w:val="20"/>
        </w:rPr>
        <w:t xml:space="preserve"> </w:t>
      </w:r>
      <w:r w:rsidRPr="00E3405F">
        <w:rPr>
          <w:rFonts w:asciiTheme="majorHAnsi" w:hAnsiTheme="majorHAnsi"/>
          <w:sz w:val="20"/>
          <w:szCs w:val="20"/>
        </w:rPr>
        <w:t>Art. 19 Nº 15</w:t>
      </w:r>
      <w:r>
        <w:rPr>
          <w:rFonts w:asciiTheme="majorHAnsi" w:hAnsiTheme="majorHAnsi"/>
          <w:sz w:val="20"/>
          <w:szCs w:val="20"/>
        </w:rPr>
        <w:t>, inciso primero,</w:t>
      </w:r>
      <w:r w:rsidRPr="00E3405F">
        <w:rPr>
          <w:rFonts w:asciiTheme="majorHAnsi" w:hAnsiTheme="majorHAnsi"/>
          <w:sz w:val="20"/>
          <w:szCs w:val="20"/>
        </w:rPr>
        <w:t xml:space="preserve"> de la Constitución Política de la República: “El derecho de asociarse sin permiso previo”.</w:t>
      </w:r>
    </w:p>
  </w:footnote>
  <w:footnote w:id="6">
    <w:p w:rsidR="00666B9C" w:rsidRPr="007B6C40" w:rsidRDefault="00666B9C">
      <w:pPr>
        <w:pStyle w:val="FootnoteText"/>
        <w:rPr>
          <w:rFonts w:asciiTheme="majorHAnsi" w:hAnsiTheme="majorHAnsi"/>
          <w:sz w:val="20"/>
          <w:szCs w:val="20"/>
        </w:rPr>
      </w:pPr>
      <w:r w:rsidRPr="007B6C40">
        <w:rPr>
          <w:rStyle w:val="FootnoteReference"/>
          <w:rFonts w:asciiTheme="majorHAnsi" w:hAnsiTheme="majorHAnsi"/>
          <w:sz w:val="20"/>
          <w:szCs w:val="20"/>
        </w:rPr>
        <w:footnoteRef/>
      </w:r>
      <w:r w:rsidRPr="007B6C40">
        <w:rPr>
          <w:rFonts w:asciiTheme="majorHAnsi" w:hAnsiTheme="majorHAnsi"/>
          <w:sz w:val="20"/>
          <w:szCs w:val="20"/>
        </w:rPr>
        <w:t xml:space="preserve"> </w:t>
      </w:r>
      <w:r w:rsidRPr="007B6C40">
        <w:rPr>
          <w:rFonts w:asciiTheme="majorHAnsi" w:hAnsiTheme="majorHAnsi"/>
          <w:sz w:val="20"/>
          <w:szCs w:val="20"/>
        </w:rPr>
        <w:t xml:space="preserve">John Neville Figgis, </w:t>
      </w:r>
      <w:proofErr w:type="spellStart"/>
      <w:r w:rsidRPr="007B6C40">
        <w:rPr>
          <w:rFonts w:asciiTheme="majorHAnsi" w:hAnsiTheme="majorHAnsi"/>
          <w:sz w:val="20"/>
          <w:szCs w:val="20"/>
        </w:rPr>
        <w:t>Churches</w:t>
      </w:r>
      <w:proofErr w:type="spellEnd"/>
      <w:r w:rsidRPr="007B6C40">
        <w:rPr>
          <w:rFonts w:asciiTheme="majorHAnsi" w:hAnsiTheme="majorHAnsi"/>
          <w:sz w:val="20"/>
          <w:szCs w:val="20"/>
        </w:rPr>
        <w:t xml:space="preserve"> in </w:t>
      </w:r>
      <w:proofErr w:type="spellStart"/>
      <w:r w:rsidRPr="007B6C40">
        <w:rPr>
          <w:rFonts w:asciiTheme="majorHAnsi" w:hAnsiTheme="majorHAnsi"/>
          <w:sz w:val="20"/>
          <w:szCs w:val="20"/>
        </w:rPr>
        <w:t>the</w:t>
      </w:r>
      <w:proofErr w:type="spellEnd"/>
      <w:r w:rsidRPr="007B6C40">
        <w:rPr>
          <w:rFonts w:asciiTheme="majorHAnsi" w:hAnsiTheme="majorHAnsi"/>
          <w:sz w:val="20"/>
          <w:szCs w:val="20"/>
        </w:rPr>
        <w:t xml:space="preserve"> Modern </w:t>
      </w:r>
      <w:proofErr w:type="spellStart"/>
      <w:r w:rsidRPr="007B6C40">
        <w:rPr>
          <w:rFonts w:asciiTheme="majorHAnsi" w:hAnsiTheme="majorHAnsi"/>
          <w:sz w:val="20"/>
          <w:szCs w:val="20"/>
        </w:rPr>
        <w:t>State</w:t>
      </w:r>
      <w:proofErr w:type="spellEnd"/>
      <w:r w:rsidRPr="007B6C40">
        <w:rPr>
          <w:rFonts w:asciiTheme="majorHAnsi" w:hAnsiTheme="majorHAnsi"/>
          <w:sz w:val="20"/>
          <w:szCs w:val="20"/>
        </w:rPr>
        <w:t xml:space="preserve"> (Londres: </w:t>
      </w:r>
      <w:proofErr w:type="spellStart"/>
      <w:r w:rsidRPr="007B6C40">
        <w:rPr>
          <w:rFonts w:asciiTheme="majorHAnsi" w:hAnsiTheme="majorHAnsi"/>
          <w:sz w:val="20"/>
          <w:szCs w:val="20"/>
        </w:rPr>
        <w:t>Longmans</w:t>
      </w:r>
      <w:proofErr w:type="spellEnd"/>
      <w:r w:rsidRPr="007B6C40">
        <w:rPr>
          <w:rFonts w:asciiTheme="majorHAnsi" w:hAnsiTheme="majorHAnsi"/>
          <w:sz w:val="20"/>
          <w:szCs w:val="20"/>
        </w:rPr>
        <w:t>, Green and Co., 1913), 52.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666B9C" w:rsidRPr="0088634D" w:rsidTr="00361CE2">
      <w:tc>
        <w:tcPr>
          <w:tcW w:w="1152" w:type="dxa"/>
        </w:tcPr>
        <w:p w:rsidR="00666B9C" w:rsidRPr="00361CE2" w:rsidRDefault="00666B9C" w:rsidP="00361CE2">
          <w:pPr>
            <w:pStyle w:val="Header"/>
            <w:jc w:val="right"/>
            <w:rPr>
              <w:rFonts w:asciiTheme="majorHAnsi" w:hAnsiTheme="majorHAnsi"/>
              <w:b/>
              <w:sz w:val="22"/>
              <w:szCs w:val="22"/>
            </w:rPr>
          </w:pPr>
          <w:r w:rsidRPr="00361CE2">
            <w:rPr>
              <w:rFonts w:asciiTheme="majorHAnsi" w:hAnsiTheme="majorHAnsi"/>
              <w:b/>
              <w:sz w:val="22"/>
              <w:szCs w:val="22"/>
            </w:rPr>
            <w:fldChar w:fldCharType="begin"/>
          </w:r>
          <w:r w:rsidRPr="00361CE2">
            <w:rPr>
              <w:rFonts w:asciiTheme="majorHAnsi" w:hAnsiTheme="majorHAnsi"/>
              <w:b/>
              <w:sz w:val="22"/>
              <w:szCs w:val="22"/>
            </w:rPr>
            <w:instrText xml:space="preserve"> PAGE   \* MERGEFORMAT </w:instrText>
          </w:r>
          <w:r w:rsidRPr="00361CE2">
            <w:rPr>
              <w:rFonts w:asciiTheme="majorHAnsi" w:hAnsiTheme="majorHAnsi"/>
              <w:b/>
              <w:sz w:val="22"/>
              <w:szCs w:val="22"/>
            </w:rPr>
            <w:fldChar w:fldCharType="separate"/>
          </w:r>
          <w:r w:rsidR="00BE3BEB">
            <w:rPr>
              <w:rFonts w:asciiTheme="majorHAnsi" w:hAnsiTheme="majorHAnsi"/>
              <w:b/>
              <w:noProof/>
              <w:sz w:val="22"/>
              <w:szCs w:val="22"/>
            </w:rPr>
            <w:t>4</w:t>
          </w:r>
          <w:r w:rsidRPr="00361CE2">
            <w:rPr>
              <w:rFonts w:asciiTheme="majorHAnsi" w:hAnsiTheme="majorHAnsi"/>
              <w:b/>
              <w:sz w:val="22"/>
              <w:szCs w:val="22"/>
            </w:rPr>
            <w:fldChar w:fldCharType="end"/>
          </w:r>
        </w:p>
      </w:tc>
      <w:tc>
        <w:tcPr>
          <w:tcW w:w="0" w:type="auto"/>
          <w:noWrap/>
        </w:tcPr>
        <w:p w:rsidR="00666B9C" w:rsidRPr="00361CE2" w:rsidRDefault="00666B9C" w:rsidP="00361CE2">
          <w:pPr>
            <w:pStyle w:val="Header"/>
            <w:rPr>
              <w:rFonts w:asciiTheme="majorHAnsi" w:hAnsiTheme="majorHAnsi"/>
              <w:sz w:val="22"/>
              <w:szCs w:val="22"/>
            </w:rPr>
          </w:pPr>
          <w:r w:rsidRPr="00361CE2">
            <w:rPr>
              <w:rFonts w:asciiTheme="majorHAnsi" w:hAnsiTheme="majorHAnsi"/>
              <w:sz w:val="22"/>
              <w:szCs w:val="22"/>
            </w:rPr>
            <w:t>Aborto y Objeción de Conciencia Institucional</w:t>
          </w:r>
        </w:p>
      </w:tc>
    </w:tr>
  </w:tbl>
  <w:p w:rsidR="00666B9C" w:rsidRDefault="00666B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9C" w:rsidRPr="00361CE2" w:rsidRDefault="00666B9C" w:rsidP="00361CE2">
    <w:pPr>
      <w:pStyle w:val="Header"/>
      <w:jc w:val="right"/>
      <w:rPr>
        <w:rFonts w:asciiTheme="majorHAnsi" w:hAnsiTheme="majorHAnsi"/>
        <w:sz w:val="20"/>
        <w:szCs w:val="20"/>
      </w:rPr>
    </w:pPr>
    <w:r w:rsidRPr="00361CE2">
      <w:rPr>
        <w:rFonts w:asciiTheme="majorHAnsi" w:hAnsiTheme="majorHAnsi"/>
        <w:sz w:val="20"/>
        <w:szCs w:val="20"/>
      </w:rPr>
      <w:t>Juan Carlos Gazmuri</w:t>
    </w:r>
  </w:p>
  <w:p w:rsidR="00666B9C" w:rsidRPr="00361CE2" w:rsidRDefault="00666B9C" w:rsidP="00361CE2">
    <w:pPr>
      <w:pStyle w:val="Header"/>
      <w:jc w:val="right"/>
      <w:rPr>
        <w:rFonts w:asciiTheme="majorHAnsi" w:hAnsiTheme="majorHAnsi"/>
        <w:sz w:val="20"/>
        <w:szCs w:val="20"/>
      </w:rPr>
    </w:pPr>
    <w:r w:rsidRPr="00361CE2">
      <w:rPr>
        <w:rFonts w:asciiTheme="majorHAnsi" w:hAnsiTheme="majorHAnsi"/>
        <w:sz w:val="20"/>
        <w:szCs w:val="20"/>
      </w:rPr>
      <w:t>Asesor Legislativo</w:t>
    </w:r>
  </w:p>
  <w:p w:rsidR="00666B9C" w:rsidRDefault="00666B9C" w:rsidP="00361CE2">
    <w:pPr>
      <w:pStyle w:val="Header"/>
      <w:jc w:val="right"/>
      <w:rPr>
        <w:rFonts w:asciiTheme="majorHAnsi" w:hAnsiTheme="majorHAnsi"/>
        <w:sz w:val="20"/>
        <w:szCs w:val="20"/>
      </w:rPr>
    </w:pPr>
    <w:r w:rsidRPr="00361CE2">
      <w:rPr>
        <w:rFonts w:asciiTheme="majorHAnsi" w:hAnsiTheme="majorHAnsi"/>
        <w:sz w:val="20"/>
        <w:szCs w:val="20"/>
      </w:rPr>
      <w:t>Senadora E. Von Baer</w:t>
    </w:r>
  </w:p>
  <w:p w:rsidR="00666B9C" w:rsidRPr="00361CE2" w:rsidRDefault="00666B9C" w:rsidP="00361CE2">
    <w:pPr>
      <w:pStyle w:val="Header"/>
      <w:jc w:val="right"/>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0C14"/>
    <w:multiLevelType w:val="hybridMultilevel"/>
    <w:tmpl w:val="617A0A10"/>
    <w:lvl w:ilvl="0" w:tplc="9E6AF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E6DF0"/>
    <w:multiLevelType w:val="hybridMultilevel"/>
    <w:tmpl w:val="03D8CA9E"/>
    <w:lvl w:ilvl="0" w:tplc="AE4AF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C4B69"/>
    <w:multiLevelType w:val="hybridMultilevel"/>
    <w:tmpl w:val="420A0050"/>
    <w:lvl w:ilvl="0" w:tplc="F51CDF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230CF"/>
    <w:multiLevelType w:val="hybridMultilevel"/>
    <w:tmpl w:val="63CE59FE"/>
    <w:lvl w:ilvl="0" w:tplc="728CE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E2"/>
    <w:rsid w:val="00055D20"/>
    <w:rsid w:val="000A2FBA"/>
    <w:rsid w:val="001142C5"/>
    <w:rsid w:val="001603DE"/>
    <w:rsid w:val="00171539"/>
    <w:rsid w:val="001C0905"/>
    <w:rsid w:val="001F5443"/>
    <w:rsid w:val="00200B42"/>
    <w:rsid w:val="00262846"/>
    <w:rsid w:val="00267A0E"/>
    <w:rsid w:val="002A62D7"/>
    <w:rsid w:val="002C6E16"/>
    <w:rsid w:val="00361CE2"/>
    <w:rsid w:val="003879BA"/>
    <w:rsid w:val="00393FD2"/>
    <w:rsid w:val="00443043"/>
    <w:rsid w:val="00473ED3"/>
    <w:rsid w:val="00514624"/>
    <w:rsid w:val="005C6AF0"/>
    <w:rsid w:val="005E2408"/>
    <w:rsid w:val="005F21F4"/>
    <w:rsid w:val="00666B9C"/>
    <w:rsid w:val="00683D5C"/>
    <w:rsid w:val="006D3E59"/>
    <w:rsid w:val="006E79D2"/>
    <w:rsid w:val="006F6447"/>
    <w:rsid w:val="00703F0A"/>
    <w:rsid w:val="00741B8D"/>
    <w:rsid w:val="00775131"/>
    <w:rsid w:val="00797467"/>
    <w:rsid w:val="007B6C40"/>
    <w:rsid w:val="007D2CAD"/>
    <w:rsid w:val="00854E89"/>
    <w:rsid w:val="0091483F"/>
    <w:rsid w:val="00965251"/>
    <w:rsid w:val="00AD5E7E"/>
    <w:rsid w:val="00AF3AD8"/>
    <w:rsid w:val="00B0293C"/>
    <w:rsid w:val="00B60D00"/>
    <w:rsid w:val="00B81806"/>
    <w:rsid w:val="00BE3BEB"/>
    <w:rsid w:val="00C16FDB"/>
    <w:rsid w:val="00C56917"/>
    <w:rsid w:val="00D97FE7"/>
    <w:rsid w:val="00E12EA4"/>
    <w:rsid w:val="00E3405F"/>
    <w:rsid w:val="00E54511"/>
    <w:rsid w:val="00EB1845"/>
    <w:rsid w:val="00F25BD4"/>
    <w:rsid w:val="00F53FD4"/>
    <w:rsid w:val="00F55C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E5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E2"/>
    <w:pPr>
      <w:tabs>
        <w:tab w:val="center" w:pos="4153"/>
        <w:tab w:val="right" w:pos="8306"/>
      </w:tabs>
    </w:pPr>
  </w:style>
  <w:style w:type="character" w:customStyle="1" w:styleId="HeaderChar">
    <w:name w:val="Header Char"/>
    <w:basedOn w:val="DefaultParagraphFont"/>
    <w:link w:val="Header"/>
    <w:uiPriority w:val="99"/>
    <w:rsid w:val="00361CE2"/>
  </w:style>
  <w:style w:type="paragraph" w:styleId="Footer">
    <w:name w:val="footer"/>
    <w:basedOn w:val="Normal"/>
    <w:link w:val="FooterChar"/>
    <w:uiPriority w:val="99"/>
    <w:unhideWhenUsed/>
    <w:rsid w:val="00361CE2"/>
    <w:pPr>
      <w:tabs>
        <w:tab w:val="center" w:pos="4153"/>
        <w:tab w:val="right" w:pos="8306"/>
      </w:tabs>
    </w:pPr>
  </w:style>
  <w:style w:type="character" w:customStyle="1" w:styleId="FooterChar">
    <w:name w:val="Footer Char"/>
    <w:basedOn w:val="DefaultParagraphFont"/>
    <w:link w:val="Footer"/>
    <w:uiPriority w:val="99"/>
    <w:rsid w:val="00361CE2"/>
  </w:style>
  <w:style w:type="paragraph" w:styleId="FootnoteText">
    <w:name w:val="footnote text"/>
    <w:basedOn w:val="Normal"/>
    <w:link w:val="FootnoteTextChar"/>
    <w:uiPriority w:val="99"/>
    <w:unhideWhenUsed/>
    <w:rsid w:val="005C6AF0"/>
  </w:style>
  <w:style w:type="character" w:customStyle="1" w:styleId="FootnoteTextChar">
    <w:name w:val="Footnote Text Char"/>
    <w:basedOn w:val="DefaultParagraphFont"/>
    <w:link w:val="FootnoteText"/>
    <w:uiPriority w:val="99"/>
    <w:rsid w:val="005C6AF0"/>
  </w:style>
  <w:style w:type="character" w:styleId="FootnoteReference">
    <w:name w:val="footnote reference"/>
    <w:basedOn w:val="DefaultParagraphFont"/>
    <w:uiPriority w:val="99"/>
    <w:unhideWhenUsed/>
    <w:rsid w:val="005C6AF0"/>
    <w:rPr>
      <w:vertAlign w:val="superscript"/>
    </w:rPr>
  </w:style>
  <w:style w:type="paragraph" w:styleId="ListParagraph">
    <w:name w:val="List Paragraph"/>
    <w:basedOn w:val="Normal"/>
    <w:uiPriority w:val="34"/>
    <w:qFormat/>
    <w:rsid w:val="005C6AF0"/>
    <w:pPr>
      <w:ind w:left="720"/>
      <w:contextualSpacing/>
    </w:pPr>
  </w:style>
  <w:style w:type="paragraph" w:styleId="NormalWeb">
    <w:name w:val="Normal (Web)"/>
    <w:basedOn w:val="Normal"/>
    <w:uiPriority w:val="99"/>
    <w:semiHidden/>
    <w:unhideWhenUsed/>
    <w:rsid w:val="00D97FE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56917"/>
    <w:rPr>
      <w:b/>
      <w:bCs/>
    </w:rPr>
  </w:style>
  <w:style w:type="character" w:styleId="Emphasis">
    <w:name w:val="Emphasis"/>
    <w:basedOn w:val="DefaultParagraphFont"/>
    <w:uiPriority w:val="20"/>
    <w:qFormat/>
    <w:rsid w:val="00C56917"/>
    <w:rPr>
      <w:i/>
      <w:iCs/>
    </w:rPr>
  </w:style>
  <w:style w:type="paragraph" w:styleId="HTMLPreformatted">
    <w:name w:val="HTML Preformatted"/>
    <w:basedOn w:val="Normal"/>
    <w:link w:val="HTMLPreformattedChar"/>
    <w:uiPriority w:val="99"/>
    <w:semiHidden/>
    <w:unhideWhenUsed/>
    <w:rsid w:val="00E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A4"/>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E2"/>
    <w:pPr>
      <w:tabs>
        <w:tab w:val="center" w:pos="4153"/>
        <w:tab w:val="right" w:pos="8306"/>
      </w:tabs>
    </w:pPr>
  </w:style>
  <w:style w:type="character" w:customStyle="1" w:styleId="HeaderChar">
    <w:name w:val="Header Char"/>
    <w:basedOn w:val="DefaultParagraphFont"/>
    <w:link w:val="Header"/>
    <w:uiPriority w:val="99"/>
    <w:rsid w:val="00361CE2"/>
  </w:style>
  <w:style w:type="paragraph" w:styleId="Footer">
    <w:name w:val="footer"/>
    <w:basedOn w:val="Normal"/>
    <w:link w:val="FooterChar"/>
    <w:uiPriority w:val="99"/>
    <w:unhideWhenUsed/>
    <w:rsid w:val="00361CE2"/>
    <w:pPr>
      <w:tabs>
        <w:tab w:val="center" w:pos="4153"/>
        <w:tab w:val="right" w:pos="8306"/>
      </w:tabs>
    </w:pPr>
  </w:style>
  <w:style w:type="character" w:customStyle="1" w:styleId="FooterChar">
    <w:name w:val="Footer Char"/>
    <w:basedOn w:val="DefaultParagraphFont"/>
    <w:link w:val="Footer"/>
    <w:uiPriority w:val="99"/>
    <w:rsid w:val="00361CE2"/>
  </w:style>
  <w:style w:type="paragraph" w:styleId="FootnoteText">
    <w:name w:val="footnote text"/>
    <w:basedOn w:val="Normal"/>
    <w:link w:val="FootnoteTextChar"/>
    <w:uiPriority w:val="99"/>
    <w:unhideWhenUsed/>
    <w:rsid w:val="005C6AF0"/>
  </w:style>
  <w:style w:type="character" w:customStyle="1" w:styleId="FootnoteTextChar">
    <w:name w:val="Footnote Text Char"/>
    <w:basedOn w:val="DefaultParagraphFont"/>
    <w:link w:val="FootnoteText"/>
    <w:uiPriority w:val="99"/>
    <w:rsid w:val="005C6AF0"/>
  </w:style>
  <w:style w:type="character" w:styleId="FootnoteReference">
    <w:name w:val="footnote reference"/>
    <w:basedOn w:val="DefaultParagraphFont"/>
    <w:uiPriority w:val="99"/>
    <w:unhideWhenUsed/>
    <w:rsid w:val="005C6AF0"/>
    <w:rPr>
      <w:vertAlign w:val="superscript"/>
    </w:rPr>
  </w:style>
  <w:style w:type="paragraph" w:styleId="ListParagraph">
    <w:name w:val="List Paragraph"/>
    <w:basedOn w:val="Normal"/>
    <w:uiPriority w:val="34"/>
    <w:qFormat/>
    <w:rsid w:val="005C6AF0"/>
    <w:pPr>
      <w:ind w:left="720"/>
      <w:contextualSpacing/>
    </w:pPr>
  </w:style>
  <w:style w:type="paragraph" w:styleId="NormalWeb">
    <w:name w:val="Normal (Web)"/>
    <w:basedOn w:val="Normal"/>
    <w:uiPriority w:val="99"/>
    <w:semiHidden/>
    <w:unhideWhenUsed/>
    <w:rsid w:val="00D97FE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56917"/>
    <w:rPr>
      <w:b/>
      <w:bCs/>
    </w:rPr>
  </w:style>
  <w:style w:type="character" w:styleId="Emphasis">
    <w:name w:val="Emphasis"/>
    <w:basedOn w:val="DefaultParagraphFont"/>
    <w:uiPriority w:val="20"/>
    <w:qFormat/>
    <w:rsid w:val="00C56917"/>
    <w:rPr>
      <w:i/>
      <w:iCs/>
    </w:rPr>
  </w:style>
  <w:style w:type="paragraph" w:styleId="HTMLPreformatted">
    <w:name w:val="HTML Preformatted"/>
    <w:basedOn w:val="Normal"/>
    <w:link w:val="HTMLPreformattedChar"/>
    <w:uiPriority w:val="99"/>
    <w:semiHidden/>
    <w:unhideWhenUsed/>
    <w:rsid w:val="00E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A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9735">
      <w:bodyDiv w:val="1"/>
      <w:marLeft w:val="0"/>
      <w:marRight w:val="0"/>
      <w:marTop w:val="0"/>
      <w:marBottom w:val="0"/>
      <w:divBdr>
        <w:top w:val="none" w:sz="0" w:space="0" w:color="auto"/>
        <w:left w:val="none" w:sz="0" w:space="0" w:color="auto"/>
        <w:bottom w:val="none" w:sz="0" w:space="0" w:color="auto"/>
        <w:right w:val="none" w:sz="0" w:space="0" w:color="auto"/>
      </w:divBdr>
    </w:div>
    <w:div w:id="305472192">
      <w:bodyDiv w:val="1"/>
      <w:marLeft w:val="0"/>
      <w:marRight w:val="0"/>
      <w:marTop w:val="0"/>
      <w:marBottom w:val="0"/>
      <w:divBdr>
        <w:top w:val="none" w:sz="0" w:space="0" w:color="auto"/>
        <w:left w:val="none" w:sz="0" w:space="0" w:color="auto"/>
        <w:bottom w:val="none" w:sz="0" w:space="0" w:color="auto"/>
        <w:right w:val="none" w:sz="0" w:space="0" w:color="auto"/>
      </w:divBdr>
    </w:div>
    <w:div w:id="408505368">
      <w:bodyDiv w:val="1"/>
      <w:marLeft w:val="0"/>
      <w:marRight w:val="0"/>
      <w:marTop w:val="0"/>
      <w:marBottom w:val="0"/>
      <w:divBdr>
        <w:top w:val="none" w:sz="0" w:space="0" w:color="auto"/>
        <w:left w:val="none" w:sz="0" w:space="0" w:color="auto"/>
        <w:bottom w:val="none" w:sz="0" w:space="0" w:color="auto"/>
        <w:right w:val="none" w:sz="0" w:space="0" w:color="auto"/>
      </w:divBdr>
    </w:div>
    <w:div w:id="996687818">
      <w:bodyDiv w:val="1"/>
      <w:marLeft w:val="0"/>
      <w:marRight w:val="0"/>
      <w:marTop w:val="0"/>
      <w:marBottom w:val="0"/>
      <w:divBdr>
        <w:top w:val="none" w:sz="0" w:space="0" w:color="auto"/>
        <w:left w:val="none" w:sz="0" w:space="0" w:color="auto"/>
        <w:bottom w:val="none" w:sz="0" w:space="0" w:color="auto"/>
        <w:right w:val="none" w:sz="0" w:space="0" w:color="auto"/>
      </w:divBdr>
    </w:div>
    <w:div w:id="997733051">
      <w:bodyDiv w:val="1"/>
      <w:marLeft w:val="0"/>
      <w:marRight w:val="0"/>
      <w:marTop w:val="0"/>
      <w:marBottom w:val="0"/>
      <w:divBdr>
        <w:top w:val="none" w:sz="0" w:space="0" w:color="auto"/>
        <w:left w:val="none" w:sz="0" w:space="0" w:color="auto"/>
        <w:bottom w:val="none" w:sz="0" w:space="0" w:color="auto"/>
        <w:right w:val="none" w:sz="0" w:space="0" w:color="auto"/>
      </w:divBdr>
    </w:div>
    <w:div w:id="1033503843">
      <w:bodyDiv w:val="1"/>
      <w:marLeft w:val="0"/>
      <w:marRight w:val="0"/>
      <w:marTop w:val="0"/>
      <w:marBottom w:val="0"/>
      <w:divBdr>
        <w:top w:val="none" w:sz="0" w:space="0" w:color="auto"/>
        <w:left w:val="none" w:sz="0" w:space="0" w:color="auto"/>
        <w:bottom w:val="none" w:sz="0" w:space="0" w:color="auto"/>
        <w:right w:val="none" w:sz="0" w:space="0" w:color="auto"/>
      </w:divBdr>
    </w:div>
    <w:div w:id="1127233502">
      <w:bodyDiv w:val="1"/>
      <w:marLeft w:val="0"/>
      <w:marRight w:val="0"/>
      <w:marTop w:val="0"/>
      <w:marBottom w:val="0"/>
      <w:divBdr>
        <w:top w:val="none" w:sz="0" w:space="0" w:color="auto"/>
        <w:left w:val="none" w:sz="0" w:space="0" w:color="auto"/>
        <w:bottom w:val="none" w:sz="0" w:space="0" w:color="auto"/>
        <w:right w:val="none" w:sz="0" w:space="0" w:color="auto"/>
      </w:divBdr>
    </w:div>
    <w:div w:id="1929540054">
      <w:bodyDiv w:val="1"/>
      <w:marLeft w:val="0"/>
      <w:marRight w:val="0"/>
      <w:marTop w:val="0"/>
      <w:marBottom w:val="0"/>
      <w:divBdr>
        <w:top w:val="none" w:sz="0" w:space="0" w:color="auto"/>
        <w:left w:val="none" w:sz="0" w:space="0" w:color="auto"/>
        <w:bottom w:val="none" w:sz="0" w:space="0" w:color="auto"/>
        <w:right w:val="none" w:sz="0" w:space="0" w:color="auto"/>
      </w:divBdr>
    </w:div>
    <w:div w:id="2126073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0785-D3B2-7545-A242-E73E27B8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8326</Characters>
  <Application>Microsoft Macintosh Word</Application>
  <DocSecurity>0</DocSecurity>
  <Lines>69</Lines>
  <Paragraphs>19</Paragraphs>
  <ScaleCrop>false</ScaleCrop>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2018-11-02T23:42:00Z</dcterms:created>
  <dcterms:modified xsi:type="dcterms:W3CDTF">2018-11-02T23:42:00Z</dcterms:modified>
</cp:coreProperties>
</file>