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8C" w:rsidRDefault="002A7659">
      <w:pPr>
        <w:jc w:val="center"/>
        <w:rPr>
          <w:rFonts w:ascii="Calibri" w:eastAsia="Calibri" w:hAnsi="Calibri" w:cs="Calibri"/>
          <w:b/>
          <w:highlight w:val="white"/>
        </w:rPr>
      </w:pPr>
      <w:r>
        <w:rPr>
          <w:rFonts w:ascii="Calibri" w:eastAsia="Calibri" w:hAnsi="Calibri" w:cs="Calibri"/>
          <w:b/>
          <w:highlight w:val="white"/>
          <w:u w:val="single"/>
        </w:rPr>
        <w:t>Proyecto que modifica ley n° 20.416 que fija normas especiales para empresas de menor tamaño, en materia de plazo y procedimiento de pago a las micro y pequeñas empresas</w:t>
      </w:r>
      <w:r>
        <w:rPr>
          <w:rFonts w:ascii="Calibri" w:eastAsia="Calibri" w:hAnsi="Calibri" w:cs="Calibri"/>
          <w:b/>
          <w:highlight w:val="white"/>
        </w:rPr>
        <w:t>.</w:t>
      </w:r>
    </w:p>
    <w:p w:rsidR="00E7248C" w:rsidRDefault="002A7659">
      <w:pPr>
        <w:jc w:val="center"/>
        <w:rPr>
          <w:rFonts w:ascii="Calibri" w:eastAsia="Calibri" w:hAnsi="Calibri" w:cs="Calibri"/>
          <w:highlight w:val="white"/>
        </w:rPr>
      </w:pPr>
      <w:r>
        <w:rPr>
          <w:rFonts w:ascii="Calibri" w:eastAsia="Calibri" w:hAnsi="Calibri" w:cs="Calibri"/>
        </w:rPr>
        <w:t>Boletín 10785-03</w:t>
      </w:r>
    </w:p>
    <w:p w:rsidR="00E7248C" w:rsidRDefault="00E7248C">
      <w:pPr>
        <w:rPr>
          <w:rFonts w:ascii="Calibri" w:eastAsia="Calibri" w:hAnsi="Calibri" w:cs="Calibri"/>
          <w:sz w:val="22"/>
          <w:szCs w:val="22"/>
          <w:highlight w:val="white"/>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E7248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 xml:space="preserve">Origen del proyecto </w:t>
            </w:r>
          </w:p>
          <w:p w:rsidR="00E7248C" w:rsidRDefault="00E7248C">
            <w:pPr>
              <w:tabs>
                <w:tab w:val="left" w:pos="7453"/>
              </w:tabs>
              <w:jc w:val="both"/>
              <w:rPr>
                <w:rFonts w:ascii="Calibri" w:eastAsia="Calibri" w:hAnsi="Calibri" w:cs="Calibri"/>
              </w:rPr>
            </w:pPr>
          </w:p>
        </w:tc>
        <w:tc>
          <w:tcPr>
            <w:tcW w:w="4414" w:type="dxa"/>
          </w:tcPr>
          <w:p w:rsidR="00E7248C" w:rsidRDefault="002A7659">
            <w:pPr>
              <w:tabs>
                <w:tab w:val="left" w:pos="1507"/>
              </w:tabs>
              <w:jc w:val="both"/>
              <w:rPr>
                <w:rFonts w:ascii="Calibri" w:eastAsia="Calibri" w:hAnsi="Calibri" w:cs="Calibri"/>
              </w:rPr>
            </w:pPr>
            <w:r>
              <w:rPr>
                <w:rFonts w:ascii="Calibri" w:eastAsia="Calibri" w:hAnsi="Calibri" w:cs="Calibri"/>
              </w:rPr>
              <w:t>Moción (2018)</w:t>
            </w:r>
          </w:p>
        </w:tc>
      </w:tr>
      <w:tr w:rsidR="00E7248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 xml:space="preserve">Trámite legislativo </w:t>
            </w:r>
          </w:p>
        </w:t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 xml:space="preserve">Senado, Tercer Tramite Constitucional, </w:t>
            </w:r>
          </w:p>
        </w:tc>
      </w:tr>
      <w:tr w:rsidR="00E7248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Informe</w:t>
            </w:r>
          </w:p>
        </w:t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Comisión Hacienda Cámara Diputados</w:t>
            </w:r>
          </w:p>
        </w:tc>
      </w:tr>
      <w:tr w:rsidR="00E7248C">
        <w:trPr>
          <w:trHeight w:val="340"/>
        </w:trPr>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 xml:space="preserve">Urgencia </w:t>
            </w:r>
          </w:p>
        </w:t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No</w:t>
            </w:r>
          </w:p>
          <w:p w:rsidR="00E7248C" w:rsidRDefault="00E7248C">
            <w:pPr>
              <w:tabs>
                <w:tab w:val="left" w:pos="7453"/>
              </w:tabs>
              <w:jc w:val="both"/>
              <w:rPr>
                <w:rFonts w:ascii="Calibri" w:eastAsia="Calibri" w:hAnsi="Calibri" w:cs="Calibri"/>
              </w:rPr>
            </w:pPr>
          </w:p>
        </w:tc>
      </w:tr>
      <w:tr w:rsidR="00E7248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Quórum</w:t>
            </w:r>
          </w:p>
        </w:t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Simple</w:t>
            </w:r>
          </w:p>
        </w:tc>
      </w:tr>
      <w:tr w:rsidR="00E7248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Forma de discusión</w:t>
            </w:r>
          </w:p>
        </w:tc>
        <w:tc>
          <w:tcPr>
            <w:tcW w:w="4414" w:type="dxa"/>
          </w:tcPr>
          <w:p w:rsidR="00E7248C" w:rsidRDefault="002A7659">
            <w:pPr>
              <w:tabs>
                <w:tab w:val="left" w:pos="7453"/>
              </w:tabs>
              <w:jc w:val="both"/>
              <w:rPr>
                <w:rFonts w:ascii="Calibri" w:eastAsia="Calibri" w:hAnsi="Calibri" w:cs="Calibri"/>
              </w:rPr>
            </w:pPr>
            <w:r>
              <w:rPr>
                <w:rFonts w:ascii="Calibri" w:eastAsia="Calibri" w:hAnsi="Calibri" w:cs="Calibri"/>
              </w:rPr>
              <w:t>Discusión concentrada</w:t>
            </w:r>
          </w:p>
        </w:tc>
      </w:tr>
    </w:tbl>
    <w:p w:rsidR="00E7248C" w:rsidRDefault="00E7248C">
      <w:pPr>
        <w:rPr>
          <w:rFonts w:ascii="Calibri" w:eastAsia="Calibri" w:hAnsi="Calibri" w:cs="Calibri"/>
          <w:sz w:val="20"/>
          <w:szCs w:val="20"/>
        </w:rPr>
      </w:pPr>
    </w:p>
    <w:p w:rsidR="00E7248C" w:rsidRDefault="002A7659" w:rsidP="00642E1B">
      <w:pPr>
        <w:numPr>
          <w:ilvl w:val="0"/>
          <w:numId w:val="3"/>
        </w:numPr>
        <w:pBdr>
          <w:top w:val="nil"/>
          <w:left w:val="nil"/>
          <w:bottom w:val="nil"/>
          <w:right w:val="nil"/>
          <w:between w:val="nil"/>
        </w:pBdr>
        <w:ind w:left="567"/>
        <w:contextualSpacing/>
        <w:rPr>
          <w:rFonts w:ascii="Calibri" w:eastAsia="Calibri" w:hAnsi="Calibri" w:cs="Calibri"/>
          <w:color w:val="000000"/>
        </w:rPr>
      </w:pPr>
      <w:r>
        <w:rPr>
          <w:rFonts w:ascii="Calibri" w:eastAsia="Calibri" w:hAnsi="Calibri" w:cs="Calibri"/>
          <w:b/>
          <w:u w:val="single"/>
        </w:rPr>
        <w:t>Modificaciones establecidas por la Cámara de Diputados:</w:t>
      </w:r>
      <w:r>
        <w:rPr>
          <w:rFonts w:ascii="Calibri" w:eastAsia="Calibri" w:hAnsi="Calibri" w:cs="Calibri"/>
          <w:color w:val="000000"/>
          <w:sz w:val="20"/>
          <w:szCs w:val="20"/>
        </w:rPr>
        <w:t>:</w:t>
      </w:r>
    </w:p>
    <w:p w:rsidR="00E7248C" w:rsidRDefault="00E7248C">
      <w:pPr>
        <w:pBdr>
          <w:top w:val="nil"/>
          <w:left w:val="nil"/>
          <w:bottom w:val="nil"/>
          <w:right w:val="nil"/>
          <w:between w:val="nil"/>
        </w:pBdr>
        <w:ind w:left="1080"/>
        <w:rPr>
          <w:rFonts w:ascii="Calibri" w:eastAsia="Calibri" w:hAnsi="Calibri" w:cs="Calibri"/>
          <w:sz w:val="20"/>
          <w:szCs w:val="20"/>
        </w:rPr>
      </w:pPr>
    </w:p>
    <w:p w:rsidR="00E7248C" w:rsidRPr="002A7659" w:rsidRDefault="002A7659" w:rsidP="00642E1B">
      <w:pPr>
        <w:numPr>
          <w:ilvl w:val="0"/>
          <w:numId w:val="9"/>
        </w:numPr>
        <w:pBdr>
          <w:top w:val="nil"/>
          <w:left w:val="nil"/>
          <w:bottom w:val="nil"/>
          <w:right w:val="nil"/>
          <w:between w:val="nil"/>
        </w:pBdr>
        <w:ind w:left="567"/>
        <w:contextualSpacing/>
        <w:jc w:val="both"/>
        <w:rPr>
          <w:rFonts w:asciiTheme="majorHAnsi" w:eastAsia="Calibri" w:hAnsiTheme="majorHAnsi" w:cs="Calibri"/>
          <w:sz w:val="22"/>
          <w:szCs w:val="22"/>
        </w:rPr>
      </w:pPr>
      <w:r w:rsidRPr="002A7659">
        <w:rPr>
          <w:rFonts w:asciiTheme="majorHAnsi" w:eastAsia="Calibri" w:hAnsiTheme="majorHAnsi" w:cs="Calibri"/>
          <w:b/>
          <w:sz w:val="22"/>
          <w:szCs w:val="22"/>
          <w:u w:val="single"/>
        </w:rPr>
        <w:t>A la ley que regula la transferencia y otorga mérito ejecutivo a la factura (19.983)</w:t>
      </w:r>
      <w:r w:rsidRPr="002A7659">
        <w:rPr>
          <w:rFonts w:asciiTheme="majorHAnsi" w:eastAsia="Calibri" w:hAnsiTheme="majorHAnsi" w:cs="Calibri"/>
          <w:sz w:val="22"/>
          <w:szCs w:val="22"/>
        </w:rPr>
        <w:t>:</w:t>
      </w:r>
    </w:p>
    <w:p w:rsidR="00E7248C" w:rsidRPr="002A7659" w:rsidRDefault="00E7248C">
      <w:pPr>
        <w:pBdr>
          <w:top w:val="nil"/>
          <w:left w:val="nil"/>
          <w:bottom w:val="nil"/>
          <w:right w:val="nil"/>
          <w:between w:val="nil"/>
        </w:pBdr>
        <w:ind w:left="1440"/>
        <w:jc w:val="both"/>
        <w:rPr>
          <w:rFonts w:asciiTheme="majorHAnsi" w:eastAsia="Calibri" w:hAnsiTheme="majorHAnsi" w:cs="Calibri"/>
          <w:sz w:val="22"/>
          <w:szCs w:val="22"/>
        </w:rPr>
      </w:pPr>
    </w:p>
    <w:p w:rsidR="00E7248C" w:rsidRPr="002A7659" w:rsidRDefault="002A7659" w:rsidP="00642E1B">
      <w:pPr>
        <w:numPr>
          <w:ilvl w:val="0"/>
          <w:numId w:val="14"/>
        </w:numPr>
        <w:ind w:left="141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u w:val="single"/>
        </w:rPr>
        <w:t>Obligación de que se mencione el plazo de pago en la factura</w:t>
      </w:r>
      <w:r w:rsidRPr="002A7659">
        <w:rPr>
          <w:rFonts w:asciiTheme="majorHAnsi" w:eastAsia="Calibri" w:hAnsiTheme="majorHAnsi" w:cs="Calibri"/>
          <w:sz w:val="22"/>
          <w:szCs w:val="22"/>
        </w:rPr>
        <w:t xml:space="preserve"> (</w:t>
      </w:r>
      <w:r w:rsidRPr="002A7659">
        <w:rPr>
          <w:rFonts w:asciiTheme="majorHAnsi" w:eastAsia="Calibri" w:hAnsiTheme="majorHAnsi" w:cs="Calibri"/>
          <w:b/>
          <w:sz w:val="22"/>
          <w:szCs w:val="22"/>
        </w:rPr>
        <w:t>Art 1 inciso 2 de proyecto de ley)</w:t>
      </w:r>
      <w:r w:rsidRPr="002A7659">
        <w:rPr>
          <w:rFonts w:asciiTheme="majorHAnsi" w:eastAsia="Calibri" w:hAnsiTheme="majorHAnsi" w:cs="Calibri"/>
          <w:sz w:val="22"/>
          <w:szCs w:val="22"/>
        </w:rPr>
        <w:t>.</w:t>
      </w:r>
    </w:p>
    <w:p w:rsidR="00E7248C" w:rsidRPr="002A7659" w:rsidRDefault="002A7659" w:rsidP="00642E1B">
      <w:pPr>
        <w:numPr>
          <w:ilvl w:val="0"/>
          <w:numId w:val="15"/>
        </w:numP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Senado no había establecido nada en este punto</w:t>
      </w:r>
    </w:p>
    <w:p w:rsidR="00435F01" w:rsidRPr="002A7659" w:rsidRDefault="00B2235C" w:rsidP="00642E1B">
      <w:pPr>
        <w:numPr>
          <w:ilvl w:val="0"/>
          <w:numId w:val="15"/>
        </w:numPr>
        <w:ind w:left="2268"/>
        <w:contextualSpacing/>
        <w:jc w:val="both"/>
        <w:rPr>
          <w:rFonts w:asciiTheme="majorHAnsi" w:eastAsia="Calibri" w:hAnsiTheme="majorHAnsi" w:cs="Calibri"/>
          <w:sz w:val="22"/>
          <w:szCs w:val="22"/>
        </w:rPr>
      </w:pPr>
      <w:r>
        <w:rPr>
          <w:rFonts w:asciiTheme="majorHAnsi" w:eastAsia="Calibri" w:hAnsiTheme="majorHAnsi" w:cs="Calibri"/>
          <w:i/>
          <w:sz w:val="22"/>
          <w:szCs w:val="22"/>
        </w:rPr>
        <w:t>Aproba</w:t>
      </w:r>
      <w:r w:rsidR="00435F01" w:rsidRPr="00B2235C">
        <w:rPr>
          <w:rFonts w:asciiTheme="majorHAnsi" w:eastAsia="Calibri" w:hAnsiTheme="majorHAnsi" w:cs="Calibri"/>
          <w:i/>
          <w:sz w:val="22"/>
          <w:szCs w:val="22"/>
        </w:rPr>
        <w:t>do por unanimidad</w:t>
      </w:r>
      <w:r w:rsidR="00435F01">
        <w:rPr>
          <w:rFonts w:asciiTheme="majorHAnsi" w:eastAsia="Calibri" w:hAnsiTheme="majorHAnsi" w:cs="Calibri"/>
          <w:sz w:val="22"/>
          <w:szCs w:val="22"/>
        </w:rPr>
        <w:t xml:space="preserve"> por Comisión de Economía (5x0)</w:t>
      </w:r>
      <w:r w:rsidR="003078A8">
        <w:rPr>
          <w:rFonts w:asciiTheme="majorHAnsi" w:eastAsia="Calibri" w:hAnsiTheme="majorHAnsi" w:cs="Calibri"/>
          <w:sz w:val="22"/>
          <w:szCs w:val="22"/>
        </w:rPr>
        <w:t>---</w:t>
      </w:r>
    </w:p>
    <w:p w:rsidR="00E7248C" w:rsidRPr="002A7659" w:rsidRDefault="00E7248C">
      <w:pPr>
        <w:ind w:left="2160"/>
        <w:jc w:val="both"/>
        <w:rPr>
          <w:rFonts w:asciiTheme="majorHAnsi" w:eastAsia="Calibri" w:hAnsiTheme="majorHAnsi" w:cs="Calibri"/>
          <w:sz w:val="22"/>
          <w:szCs w:val="22"/>
        </w:rPr>
      </w:pPr>
    </w:p>
    <w:p w:rsidR="00E7248C" w:rsidRPr="002A7659" w:rsidRDefault="002A7659" w:rsidP="00642E1B">
      <w:pPr>
        <w:numPr>
          <w:ilvl w:val="0"/>
          <w:numId w:val="14"/>
        </w:numPr>
        <w:ind w:left="141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u w:val="single"/>
        </w:rPr>
        <w:t>El pago deberá realizarse siempre dentro de 30 días desde el otorgamiento de la factura, y que durante los primeros dos años de la ley será dentro de 60 día</w:t>
      </w:r>
      <w:r w:rsidRPr="002A7659">
        <w:rPr>
          <w:rFonts w:asciiTheme="majorHAnsi" w:eastAsia="Calibri" w:hAnsiTheme="majorHAnsi" w:cs="Calibri"/>
          <w:sz w:val="22"/>
          <w:szCs w:val="22"/>
        </w:rPr>
        <w:t xml:space="preserve">s. </w:t>
      </w:r>
      <w:r w:rsidRPr="002A7659">
        <w:rPr>
          <w:rFonts w:asciiTheme="majorHAnsi" w:eastAsia="Calibri" w:hAnsiTheme="majorHAnsi" w:cs="Calibri"/>
          <w:b/>
          <w:sz w:val="22"/>
          <w:szCs w:val="22"/>
        </w:rPr>
        <w:t>(Art 2 inciso 1 de proyecto de ley)</w:t>
      </w:r>
      <w:r w:rsidRPr="002A7659">
        <w:rPr>
          <w:rFonts w:asciiTheme="majorHAnsi" w:eastAsia="Calibri" w:hAnsiTheme="majorHAnsi" w:cs="Calibri"/>
          <w:sz w:val="22"/>
          <w:szCs w:val="22"/>
        </w:rPr>
        <w:t>.</w:t>
      </w:r>
    </w:p>
    <w:p w:rsidR="00E7248C" w:rsidRPr="002A7659" w:rsidRDefault="002A7659" w:rsidP="00642E1B">
      <w:pPr>
        <w:numPr>
          <w:ilvl w:val="0"/>
          <w:numId w:val="19"/>
        </w:numPr>
        <w:ind w:left="2268"/>
        <w:jc w:val="both"/>
        <w:rPr>
          <w:rFonts w:asciiTheme="majorHAnsi" w:eastAsia="Calibri" w:hAnsiTheme="majorHAnsi" w:cs="Calibri"/>
          <w:sz w:val="22"/>
          <w:szCs w:val="22"/>
        </w:rPr>
      </w:pPr>
      <w:r w:rsidRPr="002A7659">
        <w:rPr>
          <w:rFonts w:asciiTheme="majorHAnsi" w:eastAsia="Calibri" w:hAnsiTheme="majorHAnsi" w:cs="Calibri"/>
          <w:sz w:val="22"/>
          <w:szCs w:val="22"/>
        </w:rPr>
        <w:t>Senado había establecido que plazo fuese de 60 días como regla general, y sólo de 30 días tratándose de alimentos frescos y perecederos.</w:t>
      </w:r>
    </w:p>
    <w:p w:rsidR="00E7248C" w:rsidRPr="002A7659" w:rsidRDefault="002A7659" w:rsidP="00642E1B">
      <w:pPr>
        <w:numPr>
          <w:ilvl w:val="0"/>
          <w:numId w:val="19"/>
        </w:numPr>
        <w:ind w:left="2268"/>
        <w:jc w:val="both"/>
        <w:rPr>
          <w:rFonts w:asciiTheme="majorHAnsi" w:eastAsia="Calibri" w:hAnsiTheme="majorHAnsi" w:cs="Calibri"/>
          <w:sz w:val="22"/>
          <w:szCs w:val="22"/>
        </w:rPr>
      </w:pPr>
      <w:r w:rsidRPr="002A7659">
        <w:rPr>
          <w:rFonts w:asciiTheme="majorHAnsi" w:eastAsia="Calibri" w:hAnsiTheme="majorHAnsi" w:cs="Calibri"/>
          <w:sz w:val="22"/>
          <w:szCs w:val="22"/>
        </w:rPr>
        <w:t>Senado permitía que se pactase un plazo mayor a 60 días.</w:t>
      </w:r>
    </w:p>
    <w:p w:rsidR="00BA4DC6" w:rsidRDefault="002A7659" w:rsidP="00642E1B">
      <w:pPr>
        <w:numPr>
          <w:ilvl w:val="0"/>
          <w:numId w:val="19"/>
        </w:numPr>
        <w:ind w:left="2268"/>
        <w:jc w:val="both"/>
        <w:rPr>
          <w:rFonts w:asciiTheme="majorHAnsi" w:eastAsia="Calibri" w:hAnsiTheme="majorHAnsi" w:cs="Calibri"/>
          <w:sz w:val="22"/>
          <w:szCs w:val="22"/>
        </w:rPr>
      </w:pPr>
      <w:r w:rsidRPr="00BA4DC6">
        <w:rPr>
          <w:rFonts w:asciiTheme="majorHAnsi" w:eastAsia="Calibri" w:hAnsiTheme="majorHAnsi" w:cs="Calibri"/>
          <w:sz w:val="22"/>
          <w:szCs w:val="22"/>
        </w:rPr>
        <w:t xml:space="preserve">Sugerencia: </w:t>
      </w:r>
      <w:r w:rsidR="00BA4DC6" w:rsidRPr="00BA4DC6">
        <w:rPr>
          <w:rFonts w:asciiTheme="majorHAnsi" w:eastAsia="Calibri" w:hAnsiTheme="majorHAnsi" w:cs="Calibri"/>
          <w:b/>
          <w:sz w:val="22"/>
          <w:szCs w:val="22"/>
        </w:rPr>
        <w:t>Rechazar</w:t>
      </w:r>
      <w:r w:rsidR="00BA4DC6" w:rsidRPr="00BA4DC6">
        <w:rPr>
          <w:rFonts w:asciiTheme="majorHAnsi" w:eastAsia="Calibri" w:hAnsiTheme="majorHAnsi" w:cs="Calibri"/>
          <w:sz w:val="22"/>
          <w:szCs w:val="22"/>
        </w:rPr>
        <w:t>, por cuanto</w:t>
      </w:r>
      <w:r w:rsidRPr="00BA4DC6">
        <w:rPr>
          <w:rFonts w:asciiTheme="majorHAnsi" w:eastAsia="Calibri" w:hAnsiTheme="majorHAnsi" w:cs="Calibri"/>
          <w:b/>
          <w:sz w:val="22"/>
          <w:szCs w:val="22"/>
        </w:rPr>
        <w:t xml:space="preserve"> </w:t>
      </w:r>
      <w:r w:rsidR="00BA4DC6">
        <w:rPr>
          <w:rFonts w:asciiTheme="majorHAnsi" w:eastAsia="Calibri" w:hAnsiTheme="majorHAnsi" w:cs="Calibri"/>
          <w:sz w:val="22"/>
          <w:szCs w:val="22"/>
        </w:rPr>
        <w:t>se podría mejorar la redacción y evitar futuras interpretaciones. (Ej. Que el plazo sea de días corridos, o que se trate de un plazo efectivo de pago)</w:t>
      </w:r>
    </w:p>
    <w:p w:rsidR="00B2235C" w:rsidRPr="00BA4DC6" w:rsidRDefault="00435F01" w:rsidP="00BA4DC6">
      <w:pPr>
        <w:numPr>
          <w:ilvl w:val="0"/>
          <w:numId w:val="19"/>
        </w:numPr>
        <w:ind w:left="2268"/>
        <w:jc w:val="both"/>
        <w:rPr>
          <w:rFonts w:asciiTheme="majorHAnsi" w:eastAsia="Calibri" w:hAnsiTheme="majorHAnsi" w:cs="Calibri"/>
          <w:sz w:val="22"/>
          <w:szCs w:val="22"/>
        </w:rPr>
      </w:pPr>
      <w:r w:rsidRPr="00BA4DC6">
        <w:rPr>
          <w:rFonts w:asciiTheme="majorHAnsi" w:eastAsia="Calibri" w:hAnsiTheme="majorHAnsi" w:cs="Calibri"/>
          <w:i/>
          <w:sz w:val="22"/>
          <w:szCs w:val="22"/>
        </w:rPr>
        <w:t>Rechazado por unanimidad</w:t>
      </w:r>
      <w:r w:rsidRPr="00BA4DC6">
        <w:rPr>
          <w:rFonts w:asciiTheme="majorHAnsi" w:eastAsia="Calibri" w:hAnsiTheme="majorHAnsi" w:cs="Calibri"/>
          <w:sz w:val="22"/>
          <w:szCs w:val="22"/>
        </w:rPr>
        <w:t xml:space="preserve"> por Comisión de Economía (5x0)</w:t>
      </w:r>
    </w:p>
    <w:p w:rsidR="00E7248C" w:rsidRPr="002A7659" w:rsidRDefault="00E7248C">
      <w:pPr>
        <w:ind w:left="2880"/>
        <w:jc w:val="both"/>
        <w:rPr>
          <w:rFonts w:asciiTheme="majorHAnsi" w:eastAsia="Calibri" w:hAnsiTheme="majorHAnsi" w:cs="Calibri"/>
          <w:sz w:val="22"/>
          <w:szCs w:val="22"/>
        </w:rPr>
      </w:pPr>
    </w:p>
    <w:p w:rsidR="00E7248C" w:rsidRPr="002A7659" w:rsidRDefault="002A7659" w:rsidP="00642E1B">
      <w:pPr>
        <w:numPr>
          <w:ilvl w:val="0"/>
          <w:numId w:val="14"/>
        </w:numPr>
        <w:ind w:left="141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u w:val="single"/>
        </w:rPr>
        <w:t>Se modificó las sanciones en caso de no pago por parte de un organismo público</w:t>
      </w:r>
      <w:r w:rsidRPr="002A7659">
        <w:rPr>
          <w:rFonts w:asciiTheme="majorHAnsi" w:eastAsia="Calibri" w:hAnsiTheme="majorHAnsi" w:cs="Calibri"/>
          <w:b/>
          <w:sz w:val="22"/>
          <w:szCs w:val="22"/>
        </w:rPr>
        <w:t xml:space="preserve"> (Art. 2 </w:t>
      </w:r>
      <w:proofErr w:type="spellStart"/>
      <w:r w:rsidRPr="002A7659">
        <w:rPr>
          <w:rFonts w:asciiTheme="majorHAnsi" w:eastAsia="Calibri" w:hAnsiTheme="majorHAnsi" w:cs="Calibri"/>
          <w:b/>
          <w:sz w:val="22"/>
          <w:szCs w:val="22"/>
        </w:rPr>
        <w:t>quinquies</w:t>
      </w:r>
      <w:proofErr w:type="spellEnd"/>
      <w:r w:rsidRPr="002A7659">
        <w:rPr>
          <w:rFonts w:asciiTheme="majorHAnsi" w:eastAsia="Calibri" w:hAnsiTheme="majorHAnsi" w:cs="Calibri"/>
          <w:b/>
          <w:sz w:val="22"/>
          <w:szCs w:val="22"/>
        </w:rPr>
        <w:t xml:space="preserve"> inciso 2,3 y 4 de proyecto de ley)</w:t>
      </w:r>
      <w:r w:rsidRPr="002A7659">
        <w:rPr>
          <w:rFonts w:asciiTheme="majorHAnsi" w:eastAsia="Calibri" w:hAnsiTheme="majorHAnsi" w:cs="Calibri"/>
          <w:sz w:val="22"/>
          <w:szCs w:val="22"/>
        </w:rPr>
        <w:t xml:space="preserve">: </w:t>
      </w:r>
    </w:p>
    <w:p w:rsidR="00E7248C" w:rsidRPr="002A7659" w:rsidRDefault="002A7659" w:rsidP="00642E1B">
      <w:pPr>
        <w:numPr>
          <w:ilvl w:val="0"/>
          <w:numId w:val="17"/>
        </w:numP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Senado había establecido que si no pagaban dentro de 30 días (o 60 días en caso de licitación) se generarían las responsabilidades administrativas correspondientes, además de que se podría sancionar al funcionario correspondiente con una multa de hasta 10% de su sueldo.</w:t>
      </w:r>
    </w:p>
    <w:p w:rsidR="00E7248C" w:rsidRDefault="002A7659" w:rsidP="00642E1B">
      <w:pPr>
        <w:numPr>
          <w:ilvl w:val="0"/>
          <w:numId w:val="17"/>
        </w:numP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 xml:space="preserve">Cámara reemplazó los incisos, y estableció que organismos deberán dictar resoluciones que determinen los procedimientos internos de pago y los funcionarios que serán responsables de realizarlos. Y que a </w:t>
      </w:r>
      <w:r w:rsidRPr="002A7659">
        <w:rPr>
          <w:rFonts w:asciiTheme="majorHAnsi" w:eastAsia="Calibri" w:hAnsiTheme="majorHAnsi" w:cs="Calibri"/>
          <w:sz w:val="22"/>
          <w:szCs w:val="22"/>
        </w:rPr>
        <w:lastRenderedPageBreak/>
        <w:t>su vez, todo esto deberá ser verificado por la unidad de auditoría interna de cada servicio</w:t>
      </w:r>
    </w:p>
    <w:p w:rsidR="00642E1B" w:rsidRPr="002A7659" w:rsidRDefault="00642E1B" w:rsidP="00642E1B">
      <w:pPr>
        <w:numPr>
          <w:ilvl w:val="0"/>
          <w:numId w:val="17"/>
        </w:numPr>
        <w:ind w:left="2268"/>
        <w:contextualSpacing/>
        <w:jc w:val="both"/>
        <w:rPr>
          <w:rFonts w:asciiTheme="majorHAnsi" w:eastAsia="Calibri" w:hAnsiTheme="majorHAnsi" w:cs="Calibri"/>
          <w:sz w:val="22"/>
          <w:szCs w:val="22"/>
        </w:rPr>
      </w:pPr>
      <w:r>
        <w:rPr>
          <w:rFonts w:asciiTheme="majorHAnsi" w:eastAsia="Calibri" w:hAnsiTheme="majorHAnsi" w:cs="Calibri"/>
          <w:sz w:val="22"/>
          <w:szCs w:val="22"/>
        </w:rPr>
        <w:t>Si bien es buena la propuesta de la Cámara, falta precisar varios aspectos como las compras por internet (en que pago se realiza antes de despacho), o lo relativo a la certificación de recepción conforme de la entrega de bienes</w:t>
      </w:r>
    </w:p>
    <w:p w:rsidR="00642E1B" w:rsidRPr="003078A8" w:rsidRDefault="002A7659" w:rsidP="00642E1B">
      <w:pPr>
        <w:numPr>
          <w:ilvl w:val="0"/>
          <w:numId w:val="17"/>
        </w:numP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 xml:space="preserve">Sugerencia: </w:t>
      </w:r>
      <w:r w:rsidR="00642E1B" w:rsidRPr="00642E1B">
        <w:rPr>
          <w:rFonts w:asciiTheme="majorHAnsi" w:eastAsia="Calibri" w:hAnsiTheme="majorHAnsi" w:cs="Calibri"/>
          <w:b/>
          <w:sz w:val="22"/>
          <w:szCs w:val="22"/>
        </w:rPr>
        <w:t>Rechazar</w:t>
      </w:r>
      <w:r w:rsidR="00642E1B">
        <w:rPr>
          <w:rFonts w:asciiTheme="majorHAnsi" w:eastAsia="Calibri" w:hAnsiTheme="majorHAnsi" w:cs="Calibri"/>
          <w:b/>
          <w:sz w:val="22"/>
          <w:szCs w:val="22"/>
        </w:rPr>
        <w:t xml:space="preserve">. </w:t>
      </w:r>
    </w:p>
    <w:p w:rsidR="003078A8" w:rsidRPr="00642E1B" w:rsidRDefault="003078A8" w:rsidP="00642E1B">
      <w:pPr>
        <w:numPr>
          <w:ilvl w:val="0"/>
          <w:numId w:val="17"/>
        </w:numPr>
        <w:ind w:left="2268"/>
        <w:contextualSpacing/>
        <w:jc w:val="both"/>
        <w:rPr>
          <w:rFonts w:asciiTheme="majorHAnsi" w:eastAsia="Calibri" w:hAnsiTheme="majorHAnsi" w:cs="Calibri"/>
          <w:sz w:val="22"/>
          <w:szCs w:val="22"/>
        </w:rPr>
      </w:pPr>
      <w:r w:rsidRPr="00B2235C">
        <w:rPr>
          <w:rFonts w:asciiTheme="majorHAnsi" w:eastAsia="Calibri" w:hAnsiTheme="majorHAnsi" w:cs="Calibri"/>
          <w:i/>
          <w:sz w:val="22"/>
          <w:szCs w:val="22"/>
        </w:rPr>
        <w:t>Rechazado por unanimidad</w:t>
      </w:r>
      <w:r>
        <w:rPr>
          <w:rFonts w:asciiTheme="majorHAnsi" w:eastAsia="Calibri" w:hAnsiTheme="majorHAnsi" w:cs="Calibri"/>
          <w:sz w:val="22"/>
          <w:szCs w:val="22"/>
        </w:rPr>
        <w:t xml:space="preserve"> por Comisión de Economía</w:t>
      </w:r>
    </w:p>
    <w:p w:rsidR="00E7248C" w:rsidRPr="002A7659" w:rsidRDefault="00E7248C">
      <w:pPr>
        <w:ind w:left="2880"/>
        <w:jc w:val="both"/>
        <w:rPr>
          <w:rFonts w:asciiTheme="majorHAnsi" w:eastAsia="Calibri" w:hAnsiTheme="majorHAnsi" w:cs="Calibri"/>
          <w:sz w:val="22"/>
          <w:szCs w:val="22"/>
        </w:rPr>
      </w:pPr>
    </w:p>
    <w:p w:rsidR="00E7248C" w:rsidRPr="002A7659" w:rsidRDefault="002A7659" w:rsidP="00642E1B">
      <w:pPr>
        <w:numPr>
          <w:ilvl w:val="0"/>
          <w:numId w:val="14"/>
        </w:numPr>
        <w:ind w:left="1418"/>
        <w:contextualSpacing/>
        <w:rPr>
          <w:rFonts w:asciiTheme="majorHAnsi" w:eastAsia="Calibri" w:hAnsiTheme="majorHAnsi" w:cs="Calibri"/>
          <w:sz w:val="22"/>
          <w:szCs w:val="22"/>
        </w:rPr>
      </w:pPr>
      <w:r w:rsidRPr="002A7659">
        <w:rPr>
          <w:rFonts w:asciiTheme="majorHAnsi" w:eastAsia="Calibri" w:hAnsiTheme="majorHAnsi" w:cs="Calibri"/>
          <w:sz w:val="22"/>
          <w:szCs w:val="22"/>
          <w:u w:val="single"/>
        </w:rPr>
        <w:t>Efectos de la factura irrevocablemente aceptada</w:t>
      </w:r>
      <w:r w:rsidRPr="002A7659">
        <w:rPr>
          <w:rFonts w:asciiTheme="majorHAnsi" w:eastAsia="Calibri" w:hAnsiTheme="majorHAnsi" w:cs="Calibri"/>
          <w:sz w:val="22"/>
          <w:szCs w:val="22"/>
        </w:rPr>
        <w:t xml:space="preserve"> </w:t>
      </w:r>
      <w:r w:rsidRPr="002A7659">
        <w:rPr>
          <w:rFonts w:asciiTheme="majorHAnsi" w:eastAsia="Calibri" w:hAnsiTheme="majorHAnsi" w:cs="Calibri"/>
          <w:b/>
          <w:sz w:val="22"/>
          <w:szCs w:val="22"/>
        </w:rPr>
        <w:t>(Art. 3 de proyecto de ley)</w:t>
      </w:r>
      <w:r w:rsidRPr="002A7659">
        <w:rPr>
          <w:rFonts w:asciiTheme="majorHAnsi" w:eastAsia="Calibri" w:hAnsiTheme="majorHAnsi" w:cs="Calibri"/>
          <w:sz w:val="22"/>
          <w:szCs w:val="22"/>
        </w:rPr>
        <w:t>:</w:t>
      </w:r>
    </w:p>
    <w:p w:rsidR="00E7248C" w:rsidRPr="002A7659" w:rsidRDefault="002A7659" w:rsidP="00642E1B">
      <w:pPr>
        <w:numPr>
          <w:ilvl w:val="0"/>
          <w:numId w:val="6"/>
        </w:numP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Se establece que en caso que factura haya sido expresamente aceptada, no sólo no se podrá reclamar contra su contenido o falta total/parcial de pago, sino que tampoco se podrá reclamar contra el plazo mismo de pago (que ahora va a estar señalado también en la factura)</w:t>
      </w:r>
    </w:p>
    <w:p w:rsidR="00E7248C" w:rsidRPr="002A7659" w:rsidRDefault="002A7659" w:rsidP="00642E1B">
      <w:pPr>
        <w:numPr>
          <w:ilvl w:val="0"/>
          <w:numId w:val="6"/>
        </w:numP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 xml:space="preserve">Se establece la </w:t>
      </w:r>
      <w:proofErr w:type="spellStart"/>
      <w:r w:rsidRPr="002A7659">
        <w:rPr>
          <w:rFonts w:asciiTheme="majorHAnsi" w:eastAsia="Calibri" w:hAnsiTheme="majorHAnsi" w:cs="Calibri"/>
          <w:sz w:val="22"/>
          <w:szCs w:val="22"/>
        </w:rPr>
        <w:t>inoponibilidad</w:t>
      </w:r>
      <w:proofErr w:type="spellEnd"/>
      <w:r w:rsidRPr="002A7659">
        <w:rPr>
          <w:rFonts w:asciiTheme="majorHAnsi" w:eastAsia="Calibri" w:hAnsiTheme="majorHAnsi" w:cs="Calibri"/>
          <w:sz w:val="22"/>
          <w:szCs w:val="22"/>
        </w:rPr>
        <w:t xml:space="preserve"> a los cesionarios de las notas de crédito y débito emitidas respecto de las facturas irrevocablemente aceptadas</w:t>
      </w:r>
    </w:p>
    <w:p w:rsidR="00E7248C" w:rsidRDefault="002A7659" w:rsidP="00642E1B">
      <w:pPr>
        <w:numPr>
          <w:ilvl w:val="0"/>
          <w:numId w:val="6"/>
        </w:numP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Sugerencias:</w:t>
      </w:r>
      <w:r w:rsidRPr="002A7659">
        <w:rPr>
          <w:rFonts w:asciiTheme="majorHAnsi" w:eastAsia="Calibri" w:hAnsiTheme="majorHAnsi" w:cs="Calibri"/>
          <w:b/>
          <w:sz w:val="22"/>
          <w:szCs w:val="22"/>
        </w:rPr>
        <w:t xml:space="preserve"> Aprobar</w:t>
      </w:r>
      <w:r w:rsidRPr="002A7659">
        <w:rPr>
          <w:rFonts w:asciiTheme="majorHAnsi" w:eastAsia="Calibri" w:hAnsiTheme="majorHAnsi" w:cs="Calibri"/>
          <w:sz w:val="22"/>
          <w:szCs w:val="22"/>
        </w:rPr>
        <w:t>.</w:t>
      </w:r>
    </w:p>
    <w:p w:rsidR="003078A8" w:rsidRPr="002A7659" w:rsidRDefault="003078A8" w:rsidP="00642E1B">
      <w:pPr>
        <w:numPr>
          <w:ilvl w:val="0"/>
          <w:numId w:val="6"/>
        </w:numPr>
        <w:ind w:left="2268"/>
        <w:contextualSpacing/>
        <w:jc w:val="both"/>
        <w:rPr>
          <w:rFonts w:asciiTheme="majorHAnsi" w:eastAsia="Calibri" w:hAnsiTheme="majorHAnsi" w:cs="Calibri"/>
          <w:sz w:val="22"/>
          <w:szCs w:val="22"/>
        </w:rPr>
      </w:pPr>
      <w:r w:rsidRPr="00B2235C">
        <w:rPr>
          <w:rFonts w:asciiTheme="majorHAnsi" w:eastAsia="Calibri" w:hAnsiTheme="majorHAnsi" w:cs="Calibri"/>
          <w:i/>
          <w:sz w:val="22"/>
          <w:szCs w:val="22"/>
        </w:rPr>
        <w:t>Aprobado por unanimidad</w:t>
      </w:r>
      <w:r>
        <w:rPr>
          <w:rFonts w:asciiTheme="majorHAnsi" w:eastAsia="Calibri" w:hAnsiTheme="majorHAnsi" w:cs="Calibri"/>
          <w:sz w:val="22"/>
          <w:szCs w:val="22"/>
        </w:rPr>
        <w:t xml:space="preserve"> por Comisión de Economía</w:t>
      </w:r>
    </w:p>
    <w:p w:rsidR="00E7248C" w:rsidRPr="002A7659" w:rsidRDefault="00E7248C" w:rsidP="003078A8">
      <w:pPr>
        <w:jc w:val="both"/>
        <w:rPr>
          <w:rFonts w:asciiTheme="majorHAnsi" w:eastAsia="Calibri" w:hAnsiTheme="majorHAnsi" w:cs="Calibri"/>
          <w:sz w:val="22"/>
          <w:szCs w:val="22"/>
        </w:rPr>
      </w:pPr>
    </w:p>
    <w:p w:rsidR="00E7248C" w:rsidRPr="002A7659" w:rsidRDefault="002A7659" w:rsidP="00642E1B">
      <w:pPr>
        <w:numPr>
          <w:ilvl w:val="0"/>
          <w:numId w:val="9"/>
        </w:numPr>
        <w:pBdr>
          <w:top w:val="nil"/>
          <w:left w:val="nil"/>
          <w:bottom w:val="nil"/>
          <w:right w:val="nil"/>
          <w:between w:val="nil"/>
        </w:pBdr>
        <w:ind w:left="567"/>
        <w:contextualSpacing/>
        <w:jc w:val="both"/>
        <w:rPr>
          <w:rFonts w:asciiTheme="majorHAnsi" w:eastAsia="Calibri" w:hAnsiTheme="majorHAnsi" w:cs="Calibri"/>
          <w:b/>
          <w:sz w:val="22"/>
          <w:szCs w:val="22"/>
        </w:rPr>
      </w:pPr>
      <w:r w:rsidRPr="002A7659">
        <w:rPr>
          <w:rFonts w:asciiTheme="majorHAnsi" w:eastAsia="Calibri" w:hAnsiTheme="majorHAnsi" w:cs="Calibri"/>
          <w:b/>
          <w:sz w:val="22"/>
          <w:szCs w:val="22"/>
          <w:u w:val="single"/>
        </w:rPr>
        <w:t>A ley sobre competencia desleal (20.169):</w:t>
      </w:r>
    </w:p>
    <w:p w:rsidR="00E7248C" w:rsidRPr="002A7659" w:rsidRDefault="00E7248C">
      <w:pPr>
        <w:pBdr>
          <w:top w:val="nil"/>
          <w:left w:val="nil"/>
          <w:bottom w:val="nil"/>
          <w:right w:val="nil"/>
          <w:between w:val="nil"/>
        </w:pBdr>
        <w:ind w:left="1440"/>
        <w:jc w:val="both"/>
        <w:rPr>
          <w:rFonts w:asciiTheme="majorHAnsi" w:eastAsia="Calibri" w:hAnsiTheme="majorHAnsi" w:cs="Calibri"/>
          <w:b/>
          <w:sz w:val="22"/>
          <w:szCs w:val="22"/>
          <w:u w:val="single"/>
        </w:rPr>
      </w:pPr>
    </w:p>
    <w:p w:rsidR="00E7248C" w:rsidRPr="002A7659" w:rsidRDefault="002A7659" w:rsidP="00642E1B">
      <w:pPr>
        <w:numPr>
          <w:ilvl w:val="0"/>
          <w:numId w:val="4"/>
        </w:numPr>
        <w:pBdr>
          <w:top w:val="nil"/>
          <w:left w:val="nil"/>
          <w:bottom w:val="nil"/>
          <w:right w:val="nil"/>
          <w:between w:val="nil"/>
        </w:pBdr>
        <w:ind w:left="141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u w:val="single"/>
        </w:rPr>
        <w:t>Se elimina como acto de competencia desleal “la infracción a los plazos de pago del saldo contenido en la factura</w:t>
      </w:r>
      <w:r w:rsidRPr="002A7659">
        <w:rPr>
          <w:rFonts w:asciiTheme="majorHAnsi" w:eastAsia="Calibri" w:hAnsiTheme="majorHAnsi" w:cs="Calibri"/>
          <w:sz w:val="22"/>
          <w:szCs w:val="22"/>
        </w:rPr>
        <w:t>”.</w:t>
      </w:r>
    </w:p>
    <w:p w:rsidR="00E7248C" w:rsidRPr="002A7659" w:rsidRDefault="002A7659" w:rsidP="00435F01">
      <w:pPr>
        <w:numPr>
          <w:ilvl w:val="0"/>
          <w:numId w:val="10"/>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Senado lo había establecido como una nueva forma de competencia desleal en la letra i del artículo 4 de esta ley.</w:t>
      </w:r>
    </w:p>
    <w:p w:rsidR="00E7248C" w:rsidRDefault="002A7659" w:rsidP="00435F01">
      <w:pPr>
        <w:numPr>
          <w:ilvl w:val="0"/>
          <w:numId w:val="10"/>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 xml:space="preserve">Sugerencia: </w:t>
      </w:r>
      <w:r w:rsidRPr="002A7659">
        <w:rPr>
          <w:rFonts w:asciiTheme="majorHAnsi" w:eastAsia="Calibri" w:hAnsiTheme="majorHAnsi" w:cs="Calibri"/>
          <w:b/>
          <w:sz w:val="22"/>
          <w:szCs w:val="22"/>
        </w:rPr>
        <w:t>Aprobar</w:t>
      </w:r>
      <w:r w:rsidRPr="002A7659">
        <w:rPr>
          <w:rFonts w:asciiTheme="majorHAnsi" w:eastAsia="Calibri" w:hAnsiTheme="majorHAnsi" w:cs="Calibri"/>
          <w:sz w:val="22"/>
          <w:szCs w:val="22"/>
        </w:rPr>
        <w:t>. (Ya que es mejor la redacción que tiene la ley vigente, que considera práctica de competencia desleal el “incumplimiento sistemático de deberes contractuales”</w:t>
      </w:r>
      <w:r w:rsidR="003078A8">
        <w:rPr>
          <w:rFonts w:asciiTheme="majorHAnsi" w:eastAsia="Calibri" w:hAnsiTheme="majorHAnsi" w:cs="Calibri"/>
          <w:sz w:val="22"/>
          <w:szCs w:val="22"/>
        </w:rPr>
        <w:t>.</w:t>
      </w:r>
    </w:p>
    <w:p w:rsidR="003078A8" w:rsidRPr="002A7659" w:rsidRDefault="003078A8" w:rsidP="00435F01">
      <w:pPr>
        <w:numPr>
          <w:ilvl w:val="0"/>
          <w:numId w:val="10"/>
        </w:numPr>
        <w:pBdr>
          <w:top w:val="nil"/>
          <w:left w:val="nil"/>
          <w:bottom w:val="nil"/>
          <w:right w:val="nil"/>
          <w:between w:val="nil"/>
        </w:pBdr>
        <w:ind w:left="2268"/>
        <w:contextualSpacing/>
        <w:jc w:val="both"/>
        <w:rPr>
          <w:rFonts w:asciiTheme="majorHAnsi" w:eastAsia="Calibri" w:hAnsiTheme="majorHAnsi" w:cs="Calibri"/>
          <w:sz w:val="22"/>
          <w:szCs w:val="22"/>
        </w:rPr>
      </w:pPr>
      <w:r w:rsidRPr="00B2235C">
        <w:rPr>
          <w:rFonts w:asciiTheme="majorHAnsi" w:eastAsia="Calibri" w:hAnsiTheme="majorHAnsi" w:cs="Calibri"/>
          <w:i/>
          <w:sz w:val="22"/>
          <w:szCs w:val="22"/>
        </w:rPr>
        <w:t>Rechazado por Comisión de Educación (3x2)</w:t>
      </w:r>
      <w:r>
        <w:rPr>
          <w:rFonts w:asciiTheme="majorHAnsi" w:eastAsia="Calibri" w:hAnsiTheme="majorHAnsi" w:cs="Calibri"/>
          <w:sz w:val="22"/>
          <w:szCs w:val="22"/>
        </w:rPr>
        <w:t>, con los votos de minoría de Galilea y Sandoval.</w:t>
      </w:r>
    </w:p>
    <w:p w:rsidR="00E7248C" w:rsidRPr="002A7659" w:rsidRDefault="00E7248C">
      <w:pPr>
        <w:pBdr>
          <w:top w:val="nil"/>
          <w:left w:val="nil"/>
          <w:bottom w:val="nil"/>
          <w:right w:val="nil"/>
          <w:between w:val="nil"/>
        </w:pBdr>
        <w:ind w:left="2160"/>
        <w:jc w:val="both"/>
        <w:rPr>
          <w:rFonts w:asciiTheme="majorHAnsi" w:eastAsia="Calibri" w:hAnsiTheme="majorHAnsi" w:cs="Calibri"/>
          <w:sz w:val="22"/>
          <w:szCs w:val="22"/>
        </w:rPr>
      </w:pPr>
    </w:p>
    <w:p w:rsidR="00E7248C" w:rsidRPr="002A7659" w:rsidRDefault="002A7659" w:rsidP="00642E1B">
      <w:pPr>
        <w:numPr>
          <w:ilvl w:val="0"/>
          <w:numId w:val="9"/>
        </w:numPr>
        <w:pBdr>
          <w:top w:val="nil"/>
          <w:left w:val="nil"/>
          <w:bottom w:val="nil"/>
          <w:right w:val="nil"/>
          <w:between w:val="nil"/>
        </w:pBdr>
        <w:ind w:left="567"/>
        <w:contextualSpacing/>
        <w:jc w:val="both"/>
        <w:rPr>
          <w:rFonts w:asciiTheme="majorHAnsi" w:eastAsia="Calibri" w:hAnsiTheme="majorHAnsi" w:cs="Calibri"/>
          <w:b/>
          <w:sz w:val="22"/>
          <w:szCs w:val="22"/>
        </w:rPr>
      </w:pPr>
      <w:r w:rsidRPr="002A7659">
        <w:rPr>
          <w:rFonts w:asciiTheme="majorHAnsi" w:eastAsia="Calibri" w:hAnsiTheme="majorHAnsi" w:cs="Calibri"/>
          <w:b/>
          <w:sz w:val="22"/>
          <w:szCs w:val="22"/>
          <w:u w:val="single"/>
        </w:rPr>
        <w:t>A ley sobre impuesto a las ventas y servicios (Decreto Ley 825 de 1974)</w:t>
      </w:r>
    </w:p>
    <w:p w:rsidR="00E7248C" w:rsidRPr="002A7659" w:rsidRDefault="00E7248C">
      <w:pPr>
        <w:pBdr>
          <w:top w:val="nil"/>
          <w:left w:val="nil"/>
          <w:bottom w:val="nil"/>
          <w:right w:val="nil"/>
          <w:between w:val="nil"/>
        </w:pBdr>
        <w:ind w:left="1440"/>
        <w:jc w:val="both"/>
        <w:rPr>
          <w:rFonts w:asciiTheme="majorHAnsi" w:eastAsia="Calibri" w:hAnsiTheme="majorHAnsi" w:cs="Calibri"/>
          <w:b/>
          <w:sz w:val="22"/>
          <w:szCs w:val="22"/>
          <w:u w:val="single"/>
        </w:rPr>
      </w:pPr>
    </w:p>
    <w:p w:rsidR="00E7248C" w:rsidRPr="002A7659" w:rsidRDefault="002A7659" w:rsidP="00642E1B">
      <w:pPr>
        <w:numPr>
          <w:ilvl w:val="0"/>
          <w:numId w:val="7"/>
        </w:numPr>
        <w:pBdr>
          <w:top w:val="nil"/>
          <w:left w:val="nil"/>
          <w:bottom w:val="nil"/>
          <w:right w:val="nil"/>
          <w:between w:val="nil"/>
        </w:pBdr>
        <w:ind w:left="141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u w:val="single"/>
        </w:rPr>
        <w:t>Se establece que guías de despacho podrán ser emitidas sólo en formato electrónico</w:t>
      </w:r>
    </w:p>
    <w:p w:rsidR="00E7248C" w:rsidRPr="002A7659" w:rsidRDefault="002A7659" w:rsidP="00435F01">
      <w:pPr>
        <w:numPr>
          <w:ilvl w:val="0"/>
          <w:numId w:val="16"/>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Se hace la salvedad que los contribuyentes que sólo emitan documentos en papel, podrán emitir guías de despacho que no importen venta por el mismo medios.</w:t>
      </w:r>
    </w:p>
    <w:p w:rsidR="00E7248C" w:rsidRPr="002A7659" w:rsidRDefault="002A7659" w:rsidP="00435F01">
      <w:pPr>
        <w:numPr>
          <w:ilvl w:val="0"/>
          <w:numId w:val="16"/>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Propuesta del Senado no establecía esto. Ejecutivo propone aprobar.</w:t>
      </w:r>
    </w:p>
    <w:p w:rsidR="00E7248C" w:rsidRDefault="002A7659" w:rsidP="00435F01">
      <w:pPr>
        <w:numPr>
          <w:ilvl w:val="0"/>
          <w:numId w:val="16"/>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 xml:space="preserve">Sugerencia: </w:t>
      </w:r>
      <w:r w:rsidR="00642E1B" w:rsidRPr="00642E1B">
        <w:rPr>
          <w:rFonts w:asciiTheme="majorHAnsi" w:eastAsia="Calibri" w:hAnsiTheme="majorHAnsi" w:cs="Calibri"/>
          <w:b/>
          <w:sz w:val="22"/>
          <w:szCs w:val="22"/>
        </w:rPr>
        <w:t>Rechazar</w:t>
      </w:r>
      <w:r w:rsidR="00642E1B">
        <w:rPr>
          <w:rFonts w:asciiTheme="majorHAnsi" w:eastAsia="Calibri" w:hAnsiTheme="majorHAnsi" w:cs="Calibri"/>
          <w:sz w:val="22"/>
          <w:szCs w:val="22"/>
        </w:rPr>
        <w:t>. Si bien el ejecutivo sugiere aprobar esta indicación, se aconseja rechazar por cuanto no considera la realidad de muchos productores de zonas rurales que no tienen acceso a medios electrónicos.</w:t>
      </w:r>
    </w:p>
    <w:p w:rsidR="003078A8" w:rsidRPr="00642E1B" w:rsidRDefault="003078A8" w:rsidP="00435F01">
      <w:pPr>
        <w:numPr>
          <w:ilvl w:val="0"/>
          <w:numId w:val="16"/>
        </w:numPr>
        <w:pBdr>
          <w:top w:val="nil"/>
          <w:left w:val="nil"/>
          <w:bottom w:val="nil"/>
          <w:right w:val="nil"/>
          <w:between w:val="nil"/>
        </w:pBdr>
        <w:ind w:left="2268"/>
        <w:contextualSpacing/>
        <w:jc w:val="both"/>
        <w:rPr>
          <w:rFonts w:asciiTheme="majorHAnsi" w:eastAsia="Calibri" w:hAnsiTheme="majorHAnsi" w:cs="Calibri"/>
          <w:sz w:val="22"/>
          <w:szCs w:val="22"/>
        </w:rPr>
      </w:pPr>
      <w:r w:rsidRPr="00B2235C">
        <w:rPr>
          <w:rFonts w:asciiTheme="majorHAnsi" w:eastAsia="Calibri" w:hAnsiTheme="majorHAnsi" w:cs="Calibri"/>
          <w:i/>
          <w:sz w:val="22"/>
          <w:szCs w:val="22"/>
        </w:rPr>
        <w:t>Rechazada por unanimidad</w:t>
      </w:r>
      <w:r>
        <w:rPr>
          <w:rFonts w:asciiTheme="majorHAnsi" w:eastAsia="Calibri" w:hAnsiTheme="majorHAnsi" w:cs="Calibri"/>
          <w:sz w:val="22"/>
          <w:szCs w:val="22"/>
        </w:rPr>
        <w:t xml:space="preserve"> por Comisión de Economía.</w:t>
      </w:r>
    </w:p>
    <w:p w:rsidR="00E7248C" w:rsidRPr="002A7659" w:rsidRDefault="00E7248C">
      <w:pPr>
        <w:tabs>
          <w:tab w:val="left" w:pos="2835"/>
        </w:tabs>
        <w:spacing w:line="276" w:lineRule="auto"/>
        <w:jc w:val="both"/>
        <w:rPr>
          <w:rFonts w:asciiTheme="majorHAnsi" w:eastAsia="Calibri" w:hAnsiTheme="majorHAnsi" w:cs="Calibri"/>
          <w:b/>
          <w:sz w:val="22"/>
          <w:szCs w:val="22"/>
        </w:rPr>
      </w:pPr>
    </w:p>
    <w:p w:rsidR="00E7248C" w:rsidRPr="002A7659" w:rsidRDefault="002A7659" w:rsidP="00642E1B">
      <w:pPr>
        <w:numPr>
          <w:ilvl w:val="0"/>
          <w:numId w:val="9"/>
        </w:numPr>
        <w:tabs>
          <w:tab w:val="left" w:pos="2835"/>
        </w:tabs>
        <w:spacing w:line="276" w:lineRule="auto"/>
        <w:ind w:left="567"/>
        <w:contextualSpacing/>
        <w:jc w:val="both"/>
        <w:rPr>
          <w:rFonts w:asciiTheme="majorHAnsi" w:eastAsia="Calibri" w:hAnsiTheme="majorHAnsi" w:cs="Calibri"/>
          <w:sz w:val="22"/>
          <w:szCs w:val="22"/>
        </w:rPr>
      </w:pPr>
      <w:r w:rsidRPr="002A7659">
        <w:rPr>
          <w:rFonts w:asciiTheme="majorHAnsi" w:eastAsia="Calibri" w:hAnsiTheme="majorHAnsi" w:cs="Calibri"/>
          <w:b/>
          <w:sz w:val="22"/>
          <w:szCs w:val="22"/>
          <w:u w:val="single"/>
        </w:rPr>
        <w:lastRenderedPageBreak/>
        <w:t>A ley que fija normas especiales para las empresas de menor tamaño - Estatuto Pyme (20.416)</w:t>
      </w:r>
      <w:r w:rsidRPr="002A7659">
        <w:rPr>
          <w:rFonts w:asciiTheme="majorHAnsi" w:eastAsia="Calibri" w:hAnsiTheme="majorHAnsi" w:cs="Calibri"/>
          <w:b/>
          <w:sz w:val="22"/>
          <w:szCs w:val="22"/>
        </w:rPr>
        <w:t>.</w:t>
      </w:r>
    </w:p>
    <w:p w:rsidR="00E7248C" w:rsidRPr="002A7659" w:rsidRDefault="00E7248C">
      <w:pPr>
        <w:tabs>
          <w:tab w:val="left" w:pos="2835"/>
        </w:tabs>
        <w:spacing w:line="276" w:lineRule="auto"/>
        <w:ind w:left="1440"/>
        <w:jc w:val="both"/>
        <w:rPr>
          <w:rFonts w:asciiTheme="majorHAnsi" w:eastAsia="Calibri" w:hAnsiTheme="majorHAnsi" w:cs="Calibri"/>
          <w:b/>
          <w:sz w:val="22"/>
          <w:szCs w:val="22"/>
        </w:rPr>
      </w:pPr>
    </w:p>
    <w:p w:rsidR="00E7248C" w:rsidRPr="002A7659" w:rsidRDefault="002A7659" w:rsidP="00642E1B">
      <w:pPr>
        <w:numPr>
          <w:ilvl w:val="0"/>
          <w:numId w:val="5"/>
        </w:numPr>
        <w:tabs>
          <w:tab w:val="left" w:pos="2835"/>
        </w:tabs>
        <w:spacing w:line="276" w:lineRule="auto"/>
        <w:ind w:left="141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u w:val="single"/>
        </w:rPr>
        <w:t>Se agrega un los objetivo a los que se propone esta ley:</w:t>
      </w:r>
      <w:r w:rsidRPr="002A7659">
        <w:rPr>
          <w:rFonts w:asciiTheme="majorHAnsi" w:eastAsia="Calibri" w:hAnsiTheme="majorHAnsi" w:cs="Calibri"/>
          <w:sz w:val="22"/>
          <w:szCs w:val="22"/>
        </w:rPr>
        <w:t xml:space="preserve">  </w:t>
      </w:r>
    </w:p>
    <w:p w:rsidR="00E7248C" w:rsidRPr="002A7659" w:rsidRDefault="002A7659" w:rsidP="00435F01">
      <w:pPr>
        <w:numPr>
          <w:ilvl w:val="0"/>
          <w:numId w:val="18"/>
        </w:numPr>
        <w:spacing w:line="276" w:lineRule="auto"/>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Junto con facilitar el dese</w:t>
      </w:r>
      <w:r w:rsidR="00435F01">
        <w:rPr>
          <w:rFonts w:asciiTheme="majorHAnsi" w:eastAsia="Calibri" w:hAnsiTheme="majorHAnsi" w:cs="Calibri"/>
          <w:sz w:val="22"/>
          <w:szCs w:val="22"/>
        </w:rPr>
        <w:t xml:space="preserve">nvolvimiento de las empresas de </w:t>
      </w:r>
      <w:r w:rsidRPr="002A7659">
        <w:rPr>
          <w:rFonts w:asciiTheme="majorHAnsi" w:eastAsia="Calibri" w:hAnsiTheme="majorHAnsi" w:cs="Calibri"/>
          <w:sz w:val="22"/>
          <w:szCs w:val="22"/>
        </w:rPr>
        <w:t>menor tamaño, se señala que esta ley también busca promover el pronto pago de los bienes y servicios que provean o presten las micro o pequeñas empresas.</w:t>
      </w:r>
    </w:p>
    <w:p w:rsidR="00E7248C" w:rsidRPr="002A7659" w:rsidRDefault="002A7659" w:rsidP="00435F01">
      <w:pPr>
        <w:numPr>
          <w:ilvl w:val="0"/>
          <w:numId w:val="18"/>
        </w:numPr>
        <w:spacing w:line="276" w:lineRule="auto"/>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Si bien es positivo, no pasa de ser una mera declaración de buenas intenciones, que además está descontextualizada dado el carácter general que tiene la ley del Estatuto Pyme.</w:t>
      </w:r>
    </w:p>
    <w:p w:rsidR="00E7248C" w:rsidRDefault="002A7659" w:rsidP="00435F01">
      <w:pPr>
        <w:numPr>
          <w:ilvl w:val="0"/>
          <w:numId w:val="18"/>
        </w:numPr>
        <w:spacing w:line="276" w:lineRule="auto"/>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 xml:space="preserve">Sugerencia: </w:t>
      </w:r>
      <w:r w:rsidRPr="002A7659">
        <w:rPr>
          <w:rFonts w:asciiTheme="majorHAnsi" w:eastAsia="Calibri" w:hAnsiTheme="majorHAnsi" w:cs="Calibri"/>
          <w:b/>
          <w:sz w:val="22"/>
          <w:szCs w:val="22"/>
        </w:rPr>
        <w:t>Rechazar</w:t>
      </w:r>
      <w:r w:rsidRPr="002A7659">
        <w:rPr>
          <w:rFonts w:asciiTheme="majorHAnsi" w:eastAsia="Calibri" w:hAnsiTheme="majorHAnsi" w:cs="Calibri"/>
          <w:sz w:val="22"/>
          <w:szCs w:val="22"/>
        </w:rPr>
        <w:t>.</w:t>
      </w:r>
    </w:p>
    <w:p w:rsidR="003078A8" w:rsidRPr="002A7659" w:rsidRDefault="003078A8" w:rsidP="00435F01">
      <w:pPr>
        <w:numPr>
          <w:ilvl w:val="0"/>
          <w:numId w:val="18"/>
        </w:numPr>
        <w:spacing w:line="276" w:lineRule="auto"/>
        <w:ind w:left="2268"/>
        <w:contextualSpacing/>
        <w:jc w:val="both"/>
        <w:rPr>
          <w:rFonts w:asciiTheme="majorHAnsi" w:eastAsia="Calibri" w:hAnsiTheme="majorHAnsi" w:cs="Calibri"/>
          <w:sz w:val="22"/>
          <w:szCs w:val="22"/>
        </w:rPr>
      </w:pPr>
      <w:r w:rsidRPr="00B2235C">
        <w:rPr>
          <w:rFonts w:asciiTheme="majorHAnsi" w:eastAsia="Calibri" w:hAnsiTheme="majorHAnsi" w:cs="Calibri"/>
          <w:i/>
          <w:sz w:val="22"/>
          <w:szCs w:val="22"/>
        </w:rPr>
        <w:t>Rechazado por unanimidad</w:t>
      </w:r>
      <w:r>
        <w:rPr>
          <w:rFonts w:asciiTheme="majorHAnsi" w:eastAsia="Calibri" w:hAnsiTheme="majorHAnsi" w:cs="Calibri"/>
          <w:sz w:val="22"/>
          <w:szCs w:val="22"/>
        </w:rPr>
        <w:t xml:space="preserve"> por Comisión de Economía</w:t>
      </w:r>
    </w:p>
    <w:p w:rsidR="00E7248C" w:rsidRPr="002A7659" w:rsidRDefault="00E7248C">
      <w:pPr>
        <w:tabs>
          <w:tab w:val="left" w:pos="2835"/>
        </w:tabs>
        <w:spacing w:line="276" w:lineRule="auto"/>
        <w:jc w:val="both"/>
        <w:rPr>
          <w:rFonts w:asciiTheme="majorHAnsi" w:eastAsia="Calibri" w:hAnsiTheme="majorHAnsi" w:cs="Calibri"/>
          <w:sz w:val="22"/>
          <w:szCs w:val="22"/>
        </w:rPr>
      </w:pPr>
    </w:p>
    <w:p w:rsidR="00E7248C" w:rsidRPr="002A7659" w:rsidRDefault="002A7659" w:rsidP="00642E1B">
      <w:pPr>
        <w:numPr>
          <w:ilvl w:val="0"/>
          <w:numId w:val="9"/>
        </w:numPr>
        <w:pBdr>
          <w:top w:val="nil"/>
          <w:left w:val="nil"/>
          <w:bottom w:val="nil"/>
          <w:right w:val="nil"/>
          <w:between w:val="nil"/>
        </w:pBdr>
        <w:ind w:left="567"/>
        <w:contextualSpacing/>
        <w:jc w:val="both"/>
        <w:rPr>
          <w:rFonts w:asciiTheme="majorHAnsi" w:eastAsia="Calibri" w:hAnsiTheme="majorHAnsi" w:cs="Calibri"/>
          <w:sz w:val="22"/>
          <w:szCs w:val="22"/>
        </w:rPr>
      </w:pPr>
      <w:r w:rsidRPr="002A7659">
        <w:rPr>
          <w:rFonts w:asciiTheme="majorHAnsi" w:eastAsia="Calibri" w:hAnsiTheme="majorHAnsi" w:cs="Calibri"/>
          <w:b/>
          <w:sz w:val="22"/>
          <w:szCs w:val="22"/>
          <w:u w:val="single"/>
        </w:rPr>
        <w:t>A las disposiciones transitorias del proyecto de Ley</w:t>
      </w:r>
      <w:r w:rsidRPr="002A7659">
        <w:rPr>
          <w:rFonts w:asciiTheme="majorHAnsi" w:eastAsia="Calibri" w:hAnsiTheme="majorHAnsi" w:cs="Calibri"/>
          <w:sz w:val="22"/>
          <w:szCs w:val="22"/>
        </w:rPr>
        <w:t xml:space="preserve">: </w:t>
      </w:r>
    </w:p>
    <w:p w:rsidR="00E7248C" w:rsidRPr="002A7659" w:rsidRDefault="00E7248C">
      <w:pPr>
        <w:pBdr>
          <w:top w:val="nil"/>
          <w:left w:val="nil"/>
          <w:bottom w:val="nil"/>
          <w:right w:val="nil"/>
          <w:between w:val="nil"/>
        </w:pBdr>
        <w:ind w:left="1440"/>
        <w:jc w:val="both"/>
        <w:rPr>
          <w:rFonts w:asciiTheme="majorHAnsi" w:eastAsia="Calibri" w:hAnsiTheme="majorHAnsi" w:cs="Calibri"/>
          <w:sz w:val="22"/>
          <w:szCs w:val="22"/>
        </w:rPr>
      </w:pPr>
    </w:p>
    <w:p w:rsidR="00E7248C" w:rsidRPr="002A7659" w:rsidRDefault="002A7659" w:rsidP="00642E1B">
      <w:pPr>
        <w:numPr>
          <w:ilvl w:val="0"/>
          <w:numId w:val="13"/>
        </w:numPr>
        <w:pBdr>
          <w:top w:val="nil"/>
          <w:left w:val="nil"/>
          <w:bottom w:val="nil"/>
          <w:right w:val="nil"/>
          <w:between w:val="nil"/>
        </w:pBdr>
        <w:ind w:left="141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u w:val="single"/>
        </w:rPr>
        <w:t>Se elimina la excepción consagrada para CENABAST de los Servicios de Salud y Municipalidades</w:t>
      </w:r>
      <w:r w:rsidRPr="002A7659">
        <w:rPr>
          <w:rFonts w:asciiTheme="majorHAnsi" w:eastAsia="Calibri" w:hAnsiTheme="majorHAnsi" w:cs="Calibri"/>
          <w:sz w:val="22"/>
          <w:szCs w:val="22"/>
        </w:rPr>
        <w:t xml:space="preserve">. </w:t>
      </w:r>
      <w:r w:rsidRPr="002A7659">
        <w:rPr>
          <w:rFonts w:asciiTheme="majorHAnsi" w:eastAsia="Calibri" w:hAnsiTheme="majorHAnsi" w:cs="Calibri"/>
          <w:b/>
          <w:sz w:val="22"/>
          <w:szCs w:val="22"/>
          <w:u w:val="single"/>
        </w:rPr>
        <w:t>(Artículo primero</w:t>
      </w:r>
      <w:r>
        <w:rPr>
          <w:rFonts w:asciiTheme="majorHAnsi" w:eastAsia="Calibri" w:hAnsiTheme="majorHAnsi" w:cs="Calibri"/>
          <w:b/>
          <w:sz w:val="22"/>
          <w:szCs w:val="22"/>
          <w:u w:val="single"/>
        </w:rPr>
        <w:t xml:space="preserve"> </w:t>
      </w:r>
      <w:r w:rsidRPr="002A7659">
        <w:rPr>
          <w:rFonts w:asciiTheme="majorHAnsi" w:eastAsia="Calibri" w:hAnsiTheme="majorHAnsi" w:cs="Calibri"/>
          <w:b/>
          <w:sz w:val="22"/>
          <w:szCs w:val="22"/>
          <w:u w:val="single"/>
        </w:rPr>
        <w:t>transitorio)</w:t>
      </w:r>
    </w:p>
    <w:p w:rsidR="00E7248C" w:rsidRPr="002A7659" w:rsidRDefault="002A7659" w:rsidP="00435F01">
      <w:pPr>
        <w:numPr>
          <w:ilvl w:val="0"/>
          <w:numId w:val="20"/>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El proyecto contempla que comenzará a entrar en vigencia a partir del primer día del cuarto mes desde publicada.</w:t>
      </w:r>
    </w:p>
    <w:p w:rsidR="00E7248C" w:rsidRPr="002A7659" w:rsidRDefault="002A7659" w:rsidP="00435F01">
      <w:pPr>
        <w:numPr>
          <w:ilvl w:val="0"/>
          <w:numId w:val="20"/>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Sin embargo, el texto aprobado por el Senado contemplaba que, tratándose de CENABAST de los Servicios de Salud y de las Municipalidades se aplicaría el primer día del mes 25 desde publicada la ley. Estas excepciones a la entrada en vigencia de la ley se eliminaron por parte de la Cámara de Diputados.</w:t>
      </w:r>
    </w:p>
    <w:p w:rsidR="003078A8" w:rsidRPr="003078A8" w:rsidRDefault="002A7659" w:rsidP="003078A8">
      <w:pPr>
        <w:numPr>
          <w:ilvl w:val="0"/>
          <w:numId w:val="20"/>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 xml:space="preserve">Sugerencia: </w:t>
      </w:r>
      <w:r w:rsidRPr="002A7659">
        <w:rPr>
          <w:rFonts w:asciiTheme="majorHAnsi" w:eastAsia="Calibri" w:hAnsiTheme="majorHAnsi" w:cs="Calibri"/>
          <w:b/>
          <w:sz w:val="22"/>
          <w:szCs w:val="22"/>
        </w:rPr>
        <w:t>Rechazar</w:t>
      </w:r>
      <w:r w:rsidRPr="002A7659">
        <w:rPr>
          <w:rFonts w:asciiTheme="majorHAnsi" w:eastAsia="Calibri" w:hAnsiTheme="majorHAnsi" w:cs="Calibri"/>
          <w:sz w:val="22"/>
          <w:szCs w:val="22"/>
        </w:rPr>
        <w:t xml:space="preserve"> modificación propuesta, por cuanto no permite una aplicación gradual de la ley para estos servicios y órganos cuya realidad particular exige de mayor tiempo de adaptación a estas nuevas exigencias. </w:t>
      </w:r>
    </w:p>
    <w:p w:rsidR="00E7248C" w:rsidRDefault="002A7659" w:rsidP="00435F01">
      <w:pPr>
        <w:numPr>
          <w:ilvl w:val="0"/>
          <w:numId w:val="20"/>
        </w:numPr>
        <w:tabs>
          <w:tab w:val="left" w:pos="2835"/>
        </w:tabs>
        <w:spacing w:line="276" w:lineRule="auto"/>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La opinión del Ejecutivo va más allá, por cuanto estima que la nueva norma de plazos debería entrar en vigencia a partir del mes 37 de entrada en vigencia de la ley, partiendo por las Pymes, debido a la alta carga de endeudamiento de ambos sectores.</w:t>
      </w:r>
    </w:p>
    <w:p w:rsidR="003078A8" w:rsidRPr="002A7659" w:rsidRDefault="003078A8" w:rsidP="00435F01">
      <w:pPr>
        <w:numPr>
          <w:ilvl w:val="0"/>
          <w:numId w:val="20"/>
        </w:numPr>
        <w:tabs>
          <w:tab w:val="left" w:pos="2835"/>
        </w:tabs>
        <w:spacing w:line="276" w:lineRule="auto"/>
        <w:ind w:left="2268"/>
        <w:contextualSpacing/>
        <w:jc w:val="both"/>
        <w:rPr>
          <w:rFonts w:asciiTheme="majorHAnsi" w:eastAsia="Calibri" w:hAnsiTheme="majorHAnsi" w:cs="Calibri"/>
          <w:sz w:val="22"/>
          <w:szCs w:val="22"/>
        </w:rPr>
      </w:pPr>
      <w:r w:rsidRPr="00B2235C">
        <w:rPr>
          <w:rFonts w:asciiTheme="majorHAnsi" w:eastAsia="Calibri" w:hAnsiTheme="majorHAnsi" w:cs="Calibri"/>
          <w:i/>
          <w:sz w:val="22"/>
          <w:szCs w:val="22"/>
        </w:rPr>
        <w:t>Rechazado por unanimidad</w:t>
      </w:r>
      <w:r>
        <w:rPr>
          <w:rFonts w:asciiTheme="majorHAnsi" w:eastAsia="Calibri" w:hAnsiTheme="majorHAnsi" w:cs="Calibri"/>
          <w:sz w:val="22"/>
          <w:szCs w:val="22"/>
        </w:rPr>
        <w:t xml:space="preserve"> por Comisión de Economía</w:t>
      </w:r>
    </w:p>
    <w:p w:rsidR="00E7248C" w:rsidRPr="002A7659" w:rsidRDefault="00E7248C">
      <w:pPr>
        <w:pBdr>
          <w:top w:val="nil"/>
          <w:left w:val="nil"/>
          <w:bottom w:val="nil"/>
          <w:right w:val="nil"/>
          <w:between w:val="nil"/>
        </w:pBdr>
        <w:jc w:val="both"/>
        <w:rPr>
          <w:rFonts w:asciiTheme="majorHAnsi" w:eastAsia="Calibri" w:hAnsiTheme="majorHAnsi" w:cs="Calibri"/>
          <w:sz w:val="22"/>
          <w:szCs w:val="22"/>
        </w:rPr>
      </w:pPr>
    </w:p>
    <w:p w:rsidR="00E7248C" w:rsidRPr="002A7659" w:rsidRDefault="002A7659" w:rsidP="00642E1B">
      <w:pPr>
        <w:numPr>
          <w:ilvl w:val="0"/>
          <w:numId w:val="13"/>
        </w:numPr>
        <w:pBdr>
          <w:top w:val="nil"/>
          <w:left w:val="nil"/>
          <w:bottom w:val="nil"/>
          <w:right w:val="nil"/>
          <w:between w:val="nil"/>
        </w:pBdr>
        <w:ind w:left="141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u w:val="single"/>
        </w:rPr>
        <w:t xml:space="preserve">A entrada en vigencia de obligación de emitir guías de despacho electrónicas </w:t>
      </w:r>
      <w:r w:rsidRPr="002A7659">
        <w:rPr>
          <w:rFonts w:asciiTheme="majorHAnsi" w:eastAsia="Calibri" w:hAnsiTheme="majorHAnsi" w:cs="Calibri"/>
          <w:b/>
          <w:sz w:val="22"/>
          <w:szCs w:val="22"/>
          <w:u w:val="single"/>
        </w:rPr>
        <w:t>(Artículo segundo transitorio)</w:t>
      </w:r>
      <w:r w:rsidRPr="002A7659">
        <w:rPr>
          <w:rFonts w:asciiTheme="majorHAnsi" w:eastAsia="Calibri" w:hAnsiTheme="majorHAnsi" w:cs="Calibri"/>
          <w:sz w:val="22"/>
          <w:szCs w:val="22"/>
        </w:rPr>
        <w:t>:</w:t>
      </w:r>
    </w:p>
    <w:p w:rsidR="00E7248C" w:rsidRPr="002A7659" w:rsidRDefault="002A7659" w:rsidP="00435F01">
      <w:pPr>
        <w:numPr>
          <w:ilvl w:val="0"/>
          <w:numId w:val="8"/>
        </w:numP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A esta nueva obligación establecida por las modificaciones hechas por la Cámara, se establece que debe comenzar a regir a partir de 1 año desde la publicación de esta ley.</w:t>
      </w:r>
    </w:p>
    <w:p w:rsidR="00E7248C" w:rsidRDefault="002A7659" w:rsidP="00435F01">
      <w:pPr>
        <w:numPr>
          <w:ilvl w:val="0"/>
          <w:numId w:val="8"/>
        </w:numP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 xml:space="preserve">Sugerencia: </w:t>
      </w:r>
      <w:r w:rsidRPr="002A7659">
        <w:rPr>
          <w:rFonts w:asciiTheme="majorHAnsi" w:eastAsia="Calibri" w:hAnsiTheme="majorHAnsi" w:cs="Calibri"/>
          <w:b/>
          <w:sz w:val="22"/>
          <w:szCs w:val="22"/>
        </w:rPr>
        <w:t>Aprobar</w:t>
      </w:r>
      <w:r w:rsidRPr="002A7659">
        <w:rPr>
          <w:rFonts w:asciiTheme="majorHAnsi" w:eastAsia="Calibri" w:hAnsiTheme="majorHAnsi" w:cs="Calibri"/>
          <w:sz w:val="22"/>
          <w:szCs w:val="22"/>
        </w:rPr>
        <w:t>, por cuanto dicha obligación requiere necesariamente de una tiempo para la adaptación de los diferentes actores a esta nueva exigencia.</w:t>
      </w:r>
    </w:p>
    <w:p w:rsidR="00D403C7" w:rsidRPr="002A7659" w:rsidRDefault="00D403C7" w:rsidP="00435F01">
      <w:pPr>
        <w:numPr>
          <w:ilvl w:val="0"/>
          <w:numId w:val="8"/>
        </w:numPr>
        <w:ind w:left="2268"/>
        <w:contextualSpacing/>
        <w:jc w:val="both"/>
        <w:rPr>
          <w:rFonts w:asciiTheme="majorHAnsi" w:eastAsia="Calibri" w:hAnsiTheme="majorHAnsi" w:cs="Calibri"/>
          <w:sz w:val="22"/>
          <w:szCs w:val="22"/>
        </w:rPr>
      </w:pPr>
      <w:r w:rsidRPr="00B2235C">
        <w:rPr>
          <w:rFonts w:asciiTheme="majorHAnsi" w:eastAsia="Calibri" w:hAnsiTheme="majorHAnsi" w:cs="Calibri"/>
          <w:i/>
          <w:sz w:val="22"/>
          <w:szCs w:val="22"/>
        </w:rPr>
        <w:lastRenderedPageBreak/>
        <w:t>Rechazado por unanimidad</w:t>
      </w:r>
      <w:r>
        <w:rPr>
          <w:rFonts w:asciiTheme="majorHAnsi" w:eastAsia="Calibri" w:hAnsiTheme="majorHAnsi" w:cs="Calibri"/>
          <w:sz w:val="22"/>
          <w:szCs w:val="22"/>
        </w:rPr>
        <w:t xml:space="preserve"> por Comisión de Economía, debido a que habiendo rechazado la obligación establecida por la Cámara de la emisión electrónica obligatoria de las guías de despacho, correspondía rechazar el artículo que regulaba su aplicación transitoria.</w:t>
      </w:r>
    </w:p>
    <w:p w:rsidR="00E7248C" w:rsidRPr="002A7659" w:rsidRDefault="00E7248C">
      <w:pPr>
        <w:pBdr>
          <w:top w:val="nil"/>
          <w:left w:val="nil"/>
          <w:bottom w:val="nil"/>
          <w:right w:val="nil"/>
          <w:between w:val="nil"/>
        </w:pBdr>
        <w:jc w:val="both"/>
        <w:rPr>
          <w:rFonts w:asciiTheme="majorHAnsi" w:eastAsia="Calibri" w:hAnsiTheme="majorHAnsi" w:cs="Calibri"/>
          <w:sz w:val="22"/>
          <w:szCs w:val="22"/>
        </w:rPr>
      </w:pPr>
    </w:p>
    <w:p w:rsidR="00E7248C" w:rsidRPr="002A7659" w:rsidRDefault="002A7659" w:rsidP="00642E1B">
      <w:pPr>
        <w:numPr>
          <w:ilvl w:val="0"/>
          <w:numId w:val="13"/>
        </w:numPr>
        <w:pBdr>
          <w:top w:val="nil"/>
          <w:left w:val="nil"/>
          <w:bottom w:val="nil"/>
          <w:right w:val="nil"/>
          <w:between w:val="nil"/>
        </w:pBdr>
        <w:ind w:left="141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u w:val="single"/>
        </w:rPr>
        <w:t>Nueva obligación establecida para el SII de informar respecto a crédito IVA:</w:t>
      </w:r>
      <w:r w:rsidRPr="002A7659">
        <w:rPr>
          <w:rFonts w:asciiTheme="majorHAnsi" w:eastAsia="Calibri" w:hAnsiTheme="majorHAnsi" w:cs="Calibri"/>
          <w:sz w:val="22"/>
          <w:szCs w:val="22"/>
        </w:rPr>
        <w:t xml:space="preserve"> </w:t>
      </w:r>
      <w:r w:rsidRPr="002A7659">
        <w:rPr>
          <w:rFonts w:asciiTheme="majorHAnsi" w:eastAsia="Calibri" w:hAnsiTheme="majorHAnsi" w:cs="Calibri"/>
          <w:b/>
          <w:sz w:val="22"/>
          <w:szCs w:val="22"/>
          <w:u w:val="single"/>
        </w:rPr>
        <w:t>(Artículo cuarto transitorio)</w:t>
      </w:r>
    </w:p>
    <w:p w:rsidR="00E7248C" w:rsidRPr="002A7659" w:rsidRDefault="002A7659" w:rsidP="00435F01">
      <w:pPr>
        <w:numPr>
          <w:ilvl w:val="0"/>
          <w:numId w:val="12"/>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Se establece la obligación del SII de emitir un informe dentro de 12 meses desde la publicación de la ley, acerca de la</w:t>
      </w:r>
      <w:r w:rsidRPr="002A7659">
        <w:rPr>
          <w:rFonts w:asciiTheme="majorHAnsi" w:eastAsia="Calibri" w:hAnsiTheme="majorHAnsi" w:cs="Calibri"/>
          <w:b/>
          <w:sz w:val="22"/>
          <w:szCs w:val="22"/>
        </w:rPr>
        <w:t xml:space="preserve"> factibilidad técnica</w:t>
      </w:r>
      <w:r w:rsidRPr="002A7659">
        <w:rPr>
          <w:rFonts w:asciiTheme="majorHAnsi" w:eastAsia="Calibri" w:hAnsiTheme="majorHAnsi" w:cs="Calibri"/>
          <w:sz w:val="22"/>
          <w:szCs w:val="22"/>
        </w:rPr>
        <w:t xml:space="preserve"> de otorgar a los contribuyentes el derecho a crédito fiscal del impuesto al valor agregado en el período tributario en que el contribuyente pague el total del monto señalado en la factura.”</w:t>
      </w:r>
    </w:p>
    <w:p w:rsidR="00E7248C" w:rsidRDefault="002A7659" w:rsidP="00435F01">
      <w:pPr>
        <w:numPr>
          <w:ilvl w:val="0"/>
          <w:numId w:val="12"/>
        </w:numPr>
        <w:pBdr>
          <w:top w:val="nil"/>
          <w:left w:val="nil"/>
          <w:bottom w:val="nil"/>
          <w:right w:val="nil"/>
          <w:between w:val="nil"/>
        </w:pBdr>
        <w:ind w:left="2268"/>
        <w:contextualSpacing/>
        <w:jc w:val="both"/>
        <w:rPr>
          <w:rFonts w:asciiTheme="majorHAnsi" w:eastAsia="Calibri" w:hAnsiTheme="majorHAnsi" w:cs="Calibri"/>
          <w:sz w:val="22"/>
          <w:szCs w:val="22"/>
        </w:rPr>
      </w:pPr>
      <w:r w:rsidRPr="002A7659">
        <w:rPr>
          <w:rFonts w:asciiTheme="majorHAnsi" w:eastAsia="Calibri" w:hAnsiTheme="majorHAnsi" w:cs="Calibri"/>
          <w:sz w:val="22"/>
          <w:szCs w:val="22"/>
        </w:rPr>
        <w:t>Sugerencia</w:t>
      </w:r>
      <w:r w:rsidRPr="002A7659">
        <w:rPr>
          <w:rFonts w:asciiTheme="majorHAnsi" w:eastAsia="Calibri" w:hAnsiTheme="majorHAnsi" w:cs="Calibri"/>
          <w:b/>
          <w:sz w:val="22"/>
          <w:szCs w:val="22"/>
        </w:rPr>
        <w:t>: Aprobar</w:t>
      </w:r>
      <w:r w:rsidRPr="002A7659">
        <w:rPr>
          <w:rFonts w:asciiTheme="majorHAnsi" w:eastAsia="Calibri" w:hAnsiTheme="majorHAnsi" w:cs="Calibri"/>
          <w:sz w:val="22"/>
          <w:szCs w:val="22"/>
        </w:rPr>
        <w:t>.</w:t>
      </w:r>
    </w:p>
    <w:p w:rsidR="006F6DCF" w:rsidRDefault="00D403C7" w:rsidP="006F6DCF">
      <w:pPr>
        <w:numPr>
          <w:ilvl w:val="0"/>
          <w:numId w:val="12"/>
        </w:numPr>
        <w:pBdr>
          <w:top w:val="nil"/>
          <w:left w:val="nil"/>
          <w:bottom w:val="nil"/>
          <w:right w:val="nil"/>
          <w:between w:val="nil"/>
        </w:pBdr>
        <w:ind w:left="2268"/>
        <w:contextualSpacing/>
        <w:jc w:val="both"/>
        <w:rPr>
          <w:rFonts w:asciiTheme="majorHAnsi" w:eastAsia="Calibri" w:hAnsiTheme="majorHAnsi" w:cs="Calibri"/>
          <w:sz w:val="22"/>
          <w:szCs w:val="22"/>
        </w:rPr>
      </w:pPr>
      <w:r w:rsidRPr="00B2235C">
        <w:rPr>
          <w:rFonts w:asciiTheme="majorHAnsi" w:eastAsia="Calibri" w:hAnsiTheme="majorHAnsi" w:cs="Calibri"/>
          <w:i/>
          <w:sz w:val="22"/>
          <w:szCs w:val="22"/>
        </w:rPr>
        <w:t>Rechazado por unanimidad por Comisión de Economía</w:t>
      </w:r>
      <w:r>
        <w:rPr>
          <w:rFonts w:asciiTheme="majorHAnsi" w:eastAsia="Calibri" w:hAnsiTheme="majorHAnsi" w:cs="Calibri"/>
          <w:sz w:val="22"/>
          <w:szCs w:val="22"/>
        </w:rPr>
        <w:t>, por considerar que esta materia no es propia de ley, sino que de un protocolo que debe firmarse entre parlamentarios y el Ejecutivo.</w:t>
      </w:r>
    </w:p>
    <w:p w:rsidR="006F6DCF" w:rsidRDefault="00D403C7" w:rsidP="006F6DCF">
      <w:pPr>
        <w:pBdr>
          <w:top w:val="nil"/>
          <w:left w:val="nil"/>
          <w:bottom w:val="nil"/>
          <w:right w:val="nil"/>
          <w:between w:val="nil"/>
        </w:pBdr>
        <w:ind w:left="2268"/>
        <w:contextualSpacing/>
        <w:jc w:val="both"/>
        <w:rPr>
          <w:rFonts w:asciiTheme="majorHAnsi" w:eastAsia="Calibri" w:hAnsiTheme="majorHAnsi" w:cs="Calibri"/>
          <w:sz w:val="22"/>
          <w:szCs w:val="22"/>
        </w:rPr>
      </w:pPr>
      <w:r>
        <w:rPr>
          <w:rFonts w:asciiTheme="majorHAnsi" w:eastAsia="Calibri" w:hAnsiTheme="majorHAnsi" w:cs="Calibri"/>
          <w:sz w:val="22"/>
          <w:szCs w:val="22"/>
        </w:rPr>
        <w:t xml:space="preserve"> </w:t>
      </w:r>
    </w:p>
    <w:p w:rsidR="006F6DCF" w:rsidRDefault="006F6DCF" w:rsidP="006F6DCF">
      <w:pPr>
        <w:pBdr>
          <w:top w:val="nil"/>
          <w:left w:val="nil"/>
          <w:bottom w:val="nil"/>
          <w:right w:val="nil"/>
          <w:between w:val="nil"/>
        </w:pBdr>
        <w:contextualSpacing/>
        <w:jc w:val="both"/>
        <w:rPr>
          <w:rFonts w:asciiTheme="majorHAnsi" w:eastAsia="Calibri" w:hAnsiTheme="majorHAnsi" w:cs="Calibri"/>
          <w:sz w:val="22"/>
          <w:szCs w:val="22"/>
        </w:rPr>
      </w:pPr>
      <w:r w:rsidRPr="006F6DCF">
        <w:rPr>
          <w:rFonts w:asciiTheme="majorHAnsi" w:eastAsia="Calibri" w:hAnsiTheme="majorHAnsi" w:cs="Calibri"/>
          <w:b/>
          <w:u w:val="single"/>
        </w:rPr>
        <w:t>Conclusión</w:t>
      </w:r>
      <w:r>
        <w:rPr>
          <w:rFonts w:asciiTheme="majorHAnsi" w:eastAsia="Calibri" w:hAnsiTheme="majorHAnsi" w:cs="Calibri"/>
          <w:sz w:val="22"/>
          <w:szCs w:val="22"/>
        </w:rPr>
        <w:t xml:space="preserve">: </w:t>
      </w:r>
    </w:p>
    <w:p w:rsidR="006F6DCF" w:rsidRDefault="006F6DCF" w:rsidP="006F6DCF">
      <w:pPr>
        <w:pBdr>
          <w:top w:val="nil"/>
          <w:left w:val="nil"/>
          <w:bottom w:val="nil"/>
          <w:right w:val="nil"/>
          <w:between w:val="nil"/>
        </w:pBdr>
        <w:contextualSpacing/>
        <w:jc w:val="both"/>
        <w:rPr>
          <w:rFonts w:asciiTheme="majorHAnsi" w:eastAsia="Calibri" w:hAnsiTheme="majorHAnsi" w:cs="Calibri"/>
          <w:sz w:val="22"/>
          <w:szCs w:val="22"/>
        </w:rPr>
      </w:pPr>
    </w:p>
    <w:p w:rsidR="006F6DCF" w:rsidRPr="006F6DCF" w:rsidRDefault="006F6DCF" w:rsidP="006F6DCF">
      <w:pPr>
        <w:pBdr>
          <w:top w:val="nil"/>
          <w:left w:val="nil"/>
          <w:bottom w:val="nil"/>
          <w:right w:val="nil"/>
          <w:between w:val="nil"/>
        </w:pBdr>
        <w:contextualSpacing/>
        <w:jc w:val="both"/>
        <w:rPr>
          <w:rFonts w:asciiTheme="majorHAnsi" w:eastAsia="Calibri" w:hAnsiTheme="majorHAnsi" w:cs="Calibri"/>
          <w:sz w:val="22"/>
          <w:szCs w:val="22"/>
        </w:rPr>
      </w:pPr>
      <w:r>
        <w:rPr>
          <w:rFonts w:asciiTheme="majorHAnsi" w:eastAsia="Calibri" w:hAnsiTheme="majorHAnsi" w:cs="Calibri"/>
          <w:sz w:val="22"/>
          <w:szCs w:val="22"/>
        </w:rPr>
        <w:t>Se sugiere aprobar el informe de la Comisión de Economía que busca llevar el proyecto a una Comisión Mixta para extender el debate en esta materia.</w:t>
      </w:r>
      <w:bookmarkStart w:id="0" w:name="_GoBack"/>
      <w:bookmarkEnd w:id="0"/>
    </w:p>
    <w:p w:rsidR="00E7248C" w:rsidRPr="002A7659" w:rsidRDefault="00E7248C">
      <w:pPr>
        <w:rPr>
          <w:rFonts w:asciiTheme="majorHAnsi" w:hAnsiTheme="majorHAnsi"/>
          <w:sz w:val="22"/>
          <w:szCs w:val="22"/>
        </w:rPr>
      </w:pPr>
    </w:p>
    <w:sectPr w:rsidR="00E7248C" w:rsidRPr="002A7659">
      <w:headerReference w:type="default" r:id="rId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5C" w:rsidRDefault="00B2235C" w:rsidP="002A7659">
      <w:r>
        <w:separator/>
      </w:r>
    </w:p>
  </w:endnote>
  <w:endnote w:type="continuationSeparator" w:id="0">
    <w:p w:rsidR="00B2235C" w:rsidRDefault="00B2235C" w:rsidP="002A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5C" w:rsidRDefault="00B2235C" w:rsidP="002A7659">
      <w:r>
        <w:separator/>
      </w:r>
    </w:p>
  </w:footnote>
  <w:footnote w:type="continuationSeparator" w:id="0">
    <w:p w:rsidR="00B2235C" w:rsidRDefault="00B2235C" w:rsidP="002A7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5C" w:rsidRPr="002A7659" w:rsidRDefault="00B2235C" w:rsidP="002A7659">
    <w:pPr>
      <w:pStyle w:val="Header"/>
      <w:jc w:val="right"/>
      <w:rPr>
        <w:rFonts w:ascii="Calibri" w:hAnsi="Calibri"/>
        <w:sz w:val="20"/>
        <w:szCs w:val="20"/>
      </w:rPr>
    </w:pPr>
    <w:r w:rsidRPr="002A7659">
      <w:rPr>
        <w:rFonts w:ascii="Calibri" w:hAnsi="Calibri"/>
        <w:sz w:val="20"/>
        <w:szCs w:val="20"/>
      </w:rPr>
      <w:t>Juan Carlos Gazmuri</w:t>
    </w:r>
  </w:p>
  <w:p w:rsidR="00B2235C" w:rsidRPr="002A7659" w:rsidRDefault="00B2235C" w:rsidP="002A7659">
    <w:pPr>
      <w:pStyle w:val="Header"/>
      <w:jc w:val="right"/>
      <w:rPr>
        <w:rFonts w:ascii="Calibri" w:hAnsi="Calibri"/>
        <w:sz w:val="20"/>
        <w:szCs w:val="20"/>
      </w:rPr>
    </w:pPr>
    <w:r w:rsidRPr="002A7659">
      <w:rPr>
        <w:rFonts w:ascii="Calibri" w:hAnsi="Calibri"/>
        <w:sz w:val="20"/>
        <w:szCs w:val="20"/>
      </w:rPr>
      <w:t>Asesor Legislativo</w:t>
    </w:r>
  </w:p>
  <w:p w:rsidR="00B2235C" w:rsidRPr="002A7659" w:rsidRDefault="00B2235C" w:rsidP="002A7659">
    <w:pPr>
      <w:pStyle w:val="Header"/>
      <w:jc w:val="right"/>
      <w:rPr>
        <w:rFonts w:ascii="Calibri" w:hAnsi="Calibri"/>
        <w:sz w:val="20"/>
        <w:szCs w:val="20"/>
      </w:rPr>
    </w:pPr>
    <w:r w:rsidRPr="002A7659">
      <w:rPr>
        <w:rFonts w:ascii="Calibri" w:hAnsi="Calibri"/>
        <w:sz w:val="20"/>
        <w:szCs w:val="20"/>
      </w:rPr>
      <w:t xml:space="preserve">Senadora E. Von </w:t>
    </w:r>
    <w:proofErr w:type="spellStart"/>
    <w:r w:rsidRPr="002A7659">
      <w:rPr>
        <w:rFonts w:ascii="Calibri" w:hAnsi="Calibri"/>
        <w:sz w:val="20"/>
        <w:szCs w:val="20"/>
      </w:rPr>
      <w:t>Baer</w:t>
    </w:r>
    <w:proofErr w:type="spellEnd"/>
  </w:p>
  <w:p w:rsidR="00B2235C" w:rsidRDefault="00B223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3EB"/>
    <w:multiLevelType w:val="multilevel"/>
    <w:tmpl w:val="B728FAE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048C2886"/>
    <w:multiLevelType w:val="multilevel"/>
    <w:tmpl w:val="9572B040"/>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nsid w:val="0E4D5CF0"/>
    <w:multiLevelType w:val="multilevel"/>
    <w:tmpl w:val="7502386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nsid w:val="109425DD"/>
    <w:multiLevelType w:val="multilevel"/>
    <w:tmpl w:val="A826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25574"/>
    <w:multiLevelType w:val="multilevel"/>
    <w:tmpl w:val="28022E8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nsid w:val="18EC4F0C"/>
    <w:multiLevelType w:val="multilevel"/>
    <w:tmpl w:val="8C14407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nsid w:val="19E34BD6"/>
    <w:multiLevelType w:val="multilevel"/>
    <w:tmpl w:val="3AE6F45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nsid w:val="1EEB58C2"/>
    <w:multiLevelType w:val="multilevel"/>
    <w:tmpl w:val="C308A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BB75D6"/>
    <w:multiLevelType w:val="multilevel"/>
    <w:tmpl w:val="B87AB3C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nsid w:val="268B6C10"/>
    <w:multiLevelType w:val="multilevel"/>
    <w:tmpl w:val="BD7CE25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nsid w:val="349C04A9"/>
    <w:multiLevelType w:val="multilevel"/>
    <w:tmpl w:val="CD8CEF7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nsid w:val="359C5746"/>
    <w:multiLevelType w:val="multilevel"/>
    <w:tmpl w:val="B412AF7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nsid w:val="39B17FDF"/>
    <w:multiLevelType w:val="multilevel"/>
    <w:tmpl w:val="AF9ECF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nsid w:val="3C927371"/>
    <w:multiLevelType w:val="multilevel"/>
    <w:tmpl w:val="F1FCDACE"/>
    <w:lvl w:ilvl="0">
      <w:start w:val="1"/>
      <w:numFmt w:val="upperRoman"/>
      <w:lvlText w:val="%1."/>
      <w:lvlJc w:val="right"/>
      <w:pPr>
        <w:ind w:left="1440" w:hanging="1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AE85D7C"/>
    <w:multiLevelType w:val="multilevel"/>
    <w:tmpl w:val="5528503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nsid w:val="4B72140A"/>
    <w:multiLevelType w:val="multilevel"/>
    <w:tmpl w:val="F41EE02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nsid w:val="4B8D30B3"/>
    <w:multiLevelType w:val="multilevel"/>
    <w:tmpl w:val="0F302BA2"/>
    <w:lvl w:ilvl="0">
      <w:start w:val="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77978AE"/>
    <w:multiLevelType w:val="multilevel"/>
    <w:tmpl w:val="FD18462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nsid w:val="76AB4C65"/>
    <w:multiLevelType w:val="multilevel"/>
    <w:tmpl w:val="F1F4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0C3C3C"/>
    <w:multiLevelType w:val="multilevel"/>
    <w:tmpl w:val="1B3ACDA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nsid w:val="79882218"/>
    <w:multiLevelType w:val="multilevel"/>
    <w:tmpl w:val="36D6164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7A9164DA"/>
    <w:multiLevelType w:val="multilevel"/>
    <w:tmpl w:val="B4FEFE9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7"/>
  </w:num>
  <w:num w:numId="3">
    <w:abstractNumId w:val="16"/>
  </w:num>
  <w:num w:numId="4">
    <w:abstractNumId w:val="5"/>
  </w:num>
  <w:num w:numId="5">
    <w:abstractNumId w:val="8"/>
  </w:num>
  <w:num w:numId="6">
    <w:abstractNumId w:val="12"/>
  </w:num>
  <w:num w:numId="7">
    <w:abstractNumId w:val="21"/>
  </w:num>
  <w:num w:numId="8">
    <w:abstractNumId w:val="6"/>
  </w:num>
  <w:num w:numId="9">
    <w:abstractNumId w:val="20"/>
  </w:num>
  <w:num w:numId="10">
    <w:abstractNumId w:val="2"/>
  </w:num>
  <w:num w:numId="11">
    <w:abstractNumId w:val="13"/>
  </w:num>
  <w:num w:numId="12">
    <w:abstractNumId w:val="17"/>
  </w:num>
  <w:num w:numId="13">
    <w:abstractNumId w:val="14"/>
  </w:num>
  <w:num w:numId="14">
    <w:abstractNumId w:val="0"/>
  </w:num>
  <w:num w:numId="15">
    <w:abstractNumId w:val="19"/>
  </w:num>
  <w:num w:numId="16">
    <w:abstractNumId w:val="15"/>
  </w:num>
  <w:num w:numId="17">
    <w:abstractNumId w:val="11"/>
  </w:num>
  <w:num w:numId="18">
    <w:abstractNumId w:val="9"/>
  </w:num>
  <w:num w:numId="19">
    <w:abstractNumId w:val="10"/>
  </w:num>
  <w:num w:numId="20">
    <w:abstractNumId w:val="4"/>
  </w:num>
  <w:num w:numId="21">
    <w:abstractNumId w:val="18"/>
    <w:lvlOverride w:ilvl="0">
      <w:lvl w:ilvl="0">
        <w:numFmt w:val="upperRoman"/>
        <w:lvlText w:val="%1."/>
        <w:lvlJc w:val="right"/>
      </w:lvl>
    </w:lvlOverride>
  </w:num>
  <w:num w:numId="22">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E7248C"/>
    <w:rsid w:val="002A7659"/>
    <w:rsid w:val="003078A8"/>
    <w:rsid w:val="00435F01"/>
    <w:rsid w:val="00642E1B"/>
    <w:rsid w:val="006F6DCF"/>
    <w:rsid w:val="00B2235C"/>
    <w:rsid w:val="00BA4DC6"/>
    <w:rsid w:val="00D403C7"/>
    <w:rsid w:val="00E7248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rFonts w:ascii="Times New Roman" w:eastAsia="Times New Roman" w:hAnsi="Times New Roman" w:cs="Times New Roman"/>
      <w:sz w:val="22"/>
      <w:szCs w:val="22"/>
    </w:r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unhideWhenUsed/>
    <w:rsid w:val="002A7659"/>
    <w:pPr>
      <w:tabs>
        <w:tab w:val="center" w:pos="4419"/>
        <w:tab w:val="right" w:pos="8838"/>
      </w:tabs>
    </w:pPr>
  </w:style>
  <w:style w:type="character" w:customStyle="1" w:styleId="HeaderChar">
    <w:name w:val="Header Char"/>
    <w:basedOn w:val="DefaultParagraphFont"/>
    <w:link w:val="Header"/>
    <w:uiPriority w:val="99"/>
    <w:rsid w:val="002A7659"/>
  </w:style>
  <w:style w:type="paragraph" w:styleId="Footer">
    <w:name w:val="footer"/>
    <w:basedOn w:val="Normal"/>
    <w:link w:val="FooterChar"/>
    <w:uiPriority w:val="99"/>
    <w:unhideWhenUsed/>
    <w:rsid w:val="002A7659"/>
    <w:pPr>
      <w:tabs>
        <w:tab w:val="center" w:pos="4419"/>
        <w:tab w:val="right" w:pos="8838"/>
      </w:tabs>
    </w:pPr>
  </w:style>
  <w:style w:type="character" w:customStyle="1" w:styleId="FooterChar">
    <w:name w:val="Footer Char"/>
    <w:basedOn w:val="DefaultParagraphFont"/>
    <w:link w:val="Footer"/>
    <w:uiPriority w:val="99"/>
    <w:rsid w:val="002A7659"/>
  </w:style>
  <w:style w:type="paragraph" w:styleId="NormalWeb">
    <w:name w:val="Normal (Web)"/>
    <w:basedOn w:val="Normal"/>
    <w:uiPriority w:val="99"/>
    <w:semiHidden/>
    <w:unhideWhenUsed/>
    <w:rsid w:val="00642E1B"/>
    <w:pPr>
      <w:spacing w:before="100" w:beforeAutospacing="1" w:after="100" w:afterAutospacing="1"/>
    </w:pPr>
    <w:rPr>
      <w:rFonts w:ascii="Times" w:hAnsi="Times" w:cs="Times New Roman"/>
      <w:sz w:val="20"/>
      <w:szCs w:val="20"/>
      <w:lang w:val="es-ES_tradnl" w:eastAsia="en-US"/>
    </w:rPr>
  </w:style>
  <w:style w:type="paragraph" w:styleId="BodyText">
    <w:name w:val="Body Text"/>
    <w:basedOn w:val="Normal"/>
    <w:link w:val="BodyTextChar"/>
    <w:rsid w:val="00D403C7"/>
    <w:rPr>
      <w:rFonts w:ascii="Times New Roman" w:eastAsia="Times New Roman" w:hAnsi="Times New Roman" w:cs="Times New Roman"/>
      <w:szCs w:val="20"/>
      <w:lang w:val="es-ES_tradnl" w:eastAsia="es-ES"/>
    </w:rPr>
  </w:style>
  <w:style w:type="character" w:customStyle="1" w:styleId="BodyTextChar">
    <w:name w:val="Body Text Char"/>
    <w:basedOn w:val="DefaultParagraphFont"/>
    <w:link w:val="BodyText"/>
    <w:rsid w:val="00D403C7"/>
    <w:rPr>
      <w:rFonts w:ascii="Times New Roman" w:eastAsia="Times New Roman" w:hAnsi="Times New Roman" w:cs="Times New Roman"/>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rFonts w:ascii="Times New Roman" w:eastAsia="Times New Roman" w:hAnsi="Times New Roman" w:cs="Times New Roman"/>
      <w:sz w:val="22"/>
      <w:szCs w:val="22"/>
    </w:r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unhideWhenUsed/>
    <w:rsid w:val="002A7659"/>
    <w:pPr>
      <w:tabs>
        <w:tab w:val="center" w:pos="4419"/>
        <w:tab w:val="right" w:pos="8838"/>
      </w:tabs>
    </w:pPr>
  </w:style>
  <w:style w:type="character" w:customStyle="1" w:styleId="HeaderChar">
    <w:name w:val="Header Char"/>
    <w:basedOn w:val="DefaultParagraphFont"/>
    <w:link w:val="Header"/>
    <w:uiPriority w:val="99"/>
    <w:rsid w:val="002A7659"/>
  </w:style>
  <w:style w:type="paragraph" w:styleId="Footer">
    <w:name w:val="footer"/>
    <w:basedOn w:val="Normal"/>
    <w:link w:val="FooterChar"/>
    <w:uiPriority w:val="99"/>
    <w:unhideWhenUsed/>
    <w:rsid w:val="002A7659"/>
    <w:pPr>
      <w:tabs>
        <w:tab w:val="center" w:pos="4419"/>
        <w:tab w:val="right" w:pos="8838"/>
      </w:tabs>
    </w:pPr>
  </w:style>
  <w:style w:type="character" w:customStyle="1" w:styleId="FooterChar">
    <w:name w:val="Footer Char"/>
    <w:basedOn w:val="DefaultParagraphFont"/>
    <w:link w:val="Footer"/>
    <w:uiPriority w:val="99"/>
    <w:rsid w:val="002A7659"/>
  </w:style>
  <w:style w:type="paragraph" w:styleId="NormalWeb">
    <w:name w:val="Normal (Web)"/>
    <w:basedOn w:val="Normal"/>
    <w:uiPriority w:val="99"/>
    <w:semiHidden/>
    <w:unhideWhenUsed/>
    <w:rsid w:val="00642E1B"/>
    <w:pPr>
      <w:spacing w:before="100" w:beforeAutospacing="1" w:after="100" w:afterAutospacing="1"/>
    </w:pPr>
    <w:rPr>
      <w:rFonts w:ascii="Times" w:hAnsi="Times" w:cs="Times New Roman"/>
      <w:sz w:val="20"/>
      <w:szCs w:val="20"/>
      <w:lang w:val="es-ES_tradnl" w:eastAsia="en-US"/>
    </w:rPr>
  </w:style>
  <w:style w:type="paragraph" w:styleId="BodyText">
    <w:name w:val="Body Text"/>
    <w:basedOn w:val="Normal"/>
    <w:link w:val="BodyTextChar"/>
    <w:rsid w:val="00D403C7"/>
    <w:rPr>
      <w:rFonts w:ascii="Times New Roman" w:eastAsia="Times New Roman" w:hAnsi="Times New Roman" w:cs="Times New Roman"/>
      <w:szCs w:val="20"/>
      <w:lang w:val="es-ES_tradnl" w:eastAsia="es-ES"/>
    </w:rPr>
  </w:style>
  <w:style w:type="character" w:customStyle="1" w:styleId="BodyTextChar">
    <w:name w:val="Body Text Char"/>
    <w:basedOn w:val="DefaultParagraphFont"/>
    <w:link w:val="BodyText"/>
    <w:rsid w:val="00D403C7"/>
    <w:rPr>
      <w:rFonts w:ascii="Times New Roman" w:eastAsia="Times New Roman" w:hAnsi="Times New Roman"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53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B057-D7F7-014A-817E-08A490C5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6279</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Carlos Gazmuri</cp:lastModifiedBy>
  <cp:revision>2</cp:revision>
  <dcterms:created xsi:type="dcterms:W3CDTF">2018-10-17T19:06:00Z</dcterms:created>
  <dcterms:modified xsi:type="dcterms:W3CDTF">2018-10-17T19:06:00Z</dcterms:modified>
</cp:coreProperties>
</file>