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31" w:rsidRPr="00557331" w:rsidRDefault="00557331" w:rsidP="004866C1">
      <w:pPr>
        <w:spacing w:line="240" w:lineRule="auto"/>
        <w:jc w:val="center"/>
        <w:rPr>
          <w:rFonts w:asciiTheme="majorHAnsi" w:hAnsiTheme="majorHAnsi"/>
        </w:rPr>
      </w:pPr>
      <w:r w:rsidRPr="00557331">
        <w:rPr>
          <w:rFonts w:asciiTheme="majorHAnsi" w:hAnsiTheme="majorHAnsi"/>
          <w:b/>
          <w:u w:val="single"/>
        </w:rPr>
        <w:t>Proyecto de ley que fortalece la integridad pública</w:t>
      </w:r>
      <w:r w:rsidRPr="00557331">
        <w:rPr>
          <w:rFonts w:asciiTheme="majorHAnsi" w:hAnsiTheme="majorHAnsi"/>
        </w:rPr>
        <w:t>.</w:t>
      </w:r>
    </w:p>
    <w:p w:rsidR="00557331" w:rsidRDefault="00557331" w:rsidP="004866C1">
      <w:pPr>
        <w:spacing w:line="240" w:lineRule="auto"/>
        <w:jc w:val="center"/>
        <w:rPr>
          <w:rFonts w:asciiTheme="majorHAnsi" w:hAnsiTheme="majorHAnsi"/>
          <w:b/>
        </w:rPr>
      </w:pPr>
      <w:r w:rsidRPr="00557331">
        <w:rPr>
          <w:rFonts w:asciiTheme="majorHAnsi" w:hAnsiTheme="majorHAnsi"/>
          <w:b/>
        </w:rPr>
        <w:t>Boletín nº 11.883-06</w:t>
      </w:r>
    </w:p>
    <w:p w:rsidR="0023443F" w:rsidRPr="00557331" w:rsidRDefault="0023443F" w:rsidP="004866C1">
      <w:pPr>
        <w:spacing w:line="240" w:lineRule="auto"/>
        <w:jc w:val="center"/>
        <w:rPr>
          <w:rFonts w:asciiTheme="majorHAnsi" w:hAnsiTheme="majorHAnsi"/>
          <w:b/>
        </w:rPr>
      </w:pPr>
    </w:p>
    <w:tbl>
      <w:tblPr>
        <w:tblStyle w:val="TableGrid"/>
        <w:tblW w:w="0" w:type="auto"/>
        <w:tblLook w:val="04A0" w:firstRow="1" w:lastRow="0" w:firstColumn="1" w:lastColumn="0" w:noHBand="0" w:noVBand="1"/>
      </w:tblPr>
      <w:tblGrid>
        <w:gridCol w:w="4414"/>
        <w:gridCol w:w="4414"/>
      </w:tblGrid>
      <w:tr w:rsidR="00572626" w:rsidRPr="003F5624" w:rsidTr="00572626">
        <w:tc>
          <w:tcPr>
            <w:tcW w:w="4414" w:type="dxa"/>
          </w:tcPr>
          <w:p w:rsidR="00572626" w:rsidRPr="003F5624" w:rsidRDefault="00572626" w:rsidP="004866C1">
            <w:pPr>
              <w:tabs>
                <w:tab w:val="left" w:pos="7453"/>
              </w:tabs>
              <w:spacing w:line="240" w:lineRule="auto"/>
              <w:rPr>
                <w:rFonts w:asciiTheme="majorHAnsi" w:hAnsiTheme="majorHAnsi"/>
                <w:sz w:val="20"/>
              </w:rPr>
            </w:pPr>
            <w:r w:rsidRPr="003F5624">
              <w:rPr>
                <w:rFonts w:asciiTheme="majorHAnsi" w:hAnsiTheme="majorHAnsi"/>
                <w:sz w:val="20"/>
              </w:rPr>
              <w:t xml:space="preserve">Origen del proyecto </w:t>
            </w:r>
          </w:p>
          <w:p w:rsidR="00572626" w:rsidRPr="003F5624" w:rsidRDefault="00572626" w:rsidP="004866C1">
            <w:pPr>
              <w:tabs>
                <w:tab w:val="left" w:pos="7453"/>
              </w:tabs>
              <w:spacing w:line="240" w:lineRule="auto"/>
              <w:rPr>
                <w:rFonts w:asciiTheme="majorHAnsi" w:hAnsiTheme="majorHAnsi"/>
                <w:sz w:val="20"/>
              </w:rPr>
            </w:pPr>
          </w:p>
        </w:tc>
        <w:tc>
          <w:tcPr>
            <w:tcW w:w="4414" w:type="dxa"/>
          </w:tcPr>
          <w:p w:rsidR="00572626" w:rsidRPr="003F5624" w:rsidRDefault="00876697" w:rsidP="004866C1">
            <w:pPr>
              <w:tabs>
                <w:tab w:val="left" w:pos="1507"/>
              </w:tabs>
              <w:spacing w:line="240" w:lineRule="auto"/>
              <w:rPr>
                <w:rFonts w:asciiTheme="majorHAnsi" w:hAnsiTheme="majorHAnsi"/>
                <w:sz w:val="20"/>
              </w:rPr>
            </w:pPr>
            <w:r>
              <w:rPr>
                <w:rFonts w:asciiTheme="majorHAnsi" w:hAnsiTheme="majorHAnsi"/>
                <w:sz w:val="20"/>
              </w:rPr>
              <w:t>Mensaje</w:t>
            </w:r>
            <w:r w:rsidR="00572626">
              <w:rPr>
                <w:rFonts w:asciiTheme="majorHAnsi" w:hAnsiTheme="majorHAnsi"/>
                <w:sz w:val="20"/>
              </w:rPr>
              <w:t xml:space="preserve"> </w:t>
            </w:r>
            <w:r w:rsidR="00572626" w:rsidRPr="003F5624">
              <w:rPr>
                <w:rFonts w:asciiTheme="majorHAnsi" w:hAnsiTheme="majorHAnsi" w:cs="Arial"/>
                <w:sz w:val="20"/>
              </w:rPr>
              <w:t>(2018</w:t>
            </w:r>
            <w:r w:rsidR="00572626" w:rsidRPr="003F5624">
              <w:rPr>
                <w:rFonts w:asciiTheme="majorHAnsi" w:hAnsiTheme="majorHAnsi"/>
                <w:sz w:val="20"/>
              </w:rPr>
              <w:t>)</w:t>
            </w:r>
          </w:p>
        </w:tc>
      </w:tr>
      <w:tr w:rsidR="00572626" w:rsidRPr="003F5624" w:rsidTr="00572626">
        <w:tc>
          <w:tcPr>
            <w:tcW w:w="4414" w:type="dxa"/>
          </w:tcPr>
          <w:p w:rsidR="00572626" w:rsidRPr="003F5624" w:rsidRDefault="00572626" w:rsidP="004866C1">
            <w:pPr>
              <w:tabs>
                <w:tab w:val="left" w:pos="7453"/>
              </w:tabs>
              <w:spacing w:line="240" w:lineRule="auto"/>
              <w:rPr>
                <w:rFonts w:asciiTheme="majorHAnsi" w:hAnsiTheme="majorHAnsi"/>
                <w:sz w:val="20"/>
              </w:rPr>
            </w:pPr>
            <w:r w:rsidRPr="003F5624">
              <w:rPr>
                <w:rFonts w:asciiTheme="majorHAnsi" w:hAnsiTheme="majorHAnsi"/>
                <w:sz w:val="20"/>
              </w:rPr>
              <w:t xml:space="preserve">Trámite legislativo </w:t>
            </w:r>
          </w:p>
        </w:tc>
        <w:tc>
          <w:tcPr>
            <w:tcW w:w="4414" w:type="dxa"/>
          </w:tcPr>
          <w:p w:rsidR="00572626" w:rsidRPr="003F5624" w:rsidRDefault="00572626" w:rsidP="004866C1">
            <w:pPr>
              <w:tabs>
                <w:tab w:val="left" w:pos="7453"/>
              </w:tabs>
              <w:spacing w:line="240" w:lineRule="auto"/>
              <w:rPr>
                <w:rFonts w:asciiTheme="majorHAnsi" w:hAnsiTheme="majorHAnsi"/>
                <w:sz w:val="20"/>
              </w:rPr>
            </w:pPr>
            <w:r w:rsidRPr="003F5624">
              <w:rPr>
                <w:rFonts w:asciiTheme="majorHAnsi" w:hAnsiTheme="majorHAnsi"/>
                <w:sz w:val="20"/>
              </w:rPr>
              <w:t xml:space="preserve">Senado, </w:t>
            </w:r>
            <w:r w:rsidR="00557331">
              <w:rPr>
                <w:rFonts w:asciiTheme="majorHAnsi" w:hAnsiTheme="majorHAnsi"/>
                <w:sz w:val="20"/>
              </w:rPr>
              <w:t>Primer</w:t>
            </w:r>
            <w:r w:rsidRPr="003F5624">
              <w:rPr>
                <w:rFonts w:asciiTheme="majorHAnsi" w:hAnsiTheme="majorHAnsi"/>
                <w:sz w:val="20"/>
              </w:rPr>
              <w:t xml:space="preserve"> Tramite Constituc</w:t>
            </w:r>
            <w:r w:rsidR="00876697">
              <w:rPr>
                <w:rFonts w:asciiTheme="majorHAnsi" w:hAnsiTheme="majorHAnsi"/>
                <w:sz w:val="20"/>
              </w:rPr>
              <w:t>ional</w:t>
            </w:r>
            <w:r w:rsidRPr="003F5624">
              <w:rPr>
                <w:rFonts w:asciiTheme="majorHAnsi" w:hAnsiTheme="majorHAnsi"/>
                <w:sz w:val="20"/>
              </w:rPr>
              <w:t xml:space="preserve">.  </w:t>
            </w:r>
          </w:p>
        </w:tc>
      </w:tr>
      <w:tr w:rsidR="00572626" w:rsidRPr="003F5624" w:rsidTr="00572626">
        <w:trPr>
          <w:trHeight w:val="357"/>
        </w:trPr>
        <w:tc>
          <w:tcPr>
            <w:tcW w:w="4414" w:type="dxa"/>
          </w:tcPr>
          <w:p w:rsidR="00572626" w:rsidRPr="003F5624" w:rsidRDefault="00572626" w:rsidP="004866C1">
            <w:pPr>
              <w:tabs>
                <w:tab w:val="left" w:pos="7453"/>
              </w:tabs>
              <w:spacing w:line="240" w:lineRule="auto"/>
              <w:rPr>
                <w:rFonts w:asciiTheme="majorHAnsi" w:hAnsiTheme="majorHAnsi"/>
                <w:sz w:val="20"/>
              </w:rPr>
            </w:pPr>
            <w:r w:rsidRPr="003F5624">
              <w:rPr>
                <w:rFonts w:asciiTheme="majorHAnsi" w:hAnsiTheme="majorHAnsi"/>
                <w:sz w:val="20"/>
              </w:rPr>
              <w:t xml:space="preserve">Urgencia </w:t>
            </w:r>
          </w:p>
        </w:tc>
        <w:tc>
          <w:tcPr>
            <w:tcW w:w="4414" w:type="dxa"/>
          </w:tcPr>
          <w:p w:rsidR="00572626" w:rsidRPr="003F5624" w:rsidRDefault="00572626" w:rsidP="004866C1">
            <w:pPr>
              <w:tabs>
                <w:tab w:val="left" w:pos="7453"/>
              </w:tabs>
              <w:spacing w:line="240" w:lineRule="auto"/>
              <w:rPr>
                <w:rFonts w:asciiTheme="majorHAnsi" w:hAnsiTheme="majorHAnsi"/>
                <w:sz w:val="20"/>
              </w:rPr>
            </w:pPr>
            <w:r w:rsidRPr="003F5624">
              <w:rPr>
                <w:rFonts w:asciiTheme="majorHAnsi" w:hAnsiTheme="majorHAnsi"/>
                <w:sz w:val="20"/>
              </w:rPr>
              <w:t>No</w:t>
            </w:r>
          </w:p>
        </w:tc>
      </w:tr>
      <w:tr w:rsidR="00572626" w:rsidRPr="003F5624" w:rsidTr="00572626">
        <w:tc>
          <w:tcPr>
            <w:tcW w:w="4414" w:type="dxa"/>
          </w:tcPr>
          <w:p w:rsidR="00572626" w:rsidRPr="003F5624" w:rsidRDefault="00876697" w:rsidP="004866C1">
            <w:pPr>
              <w:tabs>
                <w:tab w:val="left" w:pos="7453"/>
              </w:tabs>
              <w:spacing w:line="240" w:lineRule="auto"/>
              <w:rPr>
                <w:rFonts w:asciiTheme="majorHAnsi" w:hAnsiTheme="majorHAnsi"/>
                <w:sz w:val="20"/>
              </w:rPr>
            </w:pPr>
            <w:r>
              <w:rPr>
                <w:rFonts w:asciiTheme="majorHAnsi" w:hAnsiTheme="majorHAnsi"/>
                <w:sz w:val="20"/>
              </w:rPr>
              <w:t>Informe</w:t>
            </w:r>
          </w:p>
        </w:tc>
        <w:tc>
          <w:tcPr>
            <w:tcW w:w="4414" w:type="dxa"/>
          </w:tcPr>
          <w:p w:rsidR="00572626" w:rsidRPr="003F5624" w:rsidRDefault="00876697" w:rsidP="004866C1">
            <w:pPr>
              <w:tabs>
                <w:tab w:val="left" w:pos="7453"/>
              </w:tabs>
              <w:spacing w:line="240" w:lineRule="auto"/>
              <w:rPr>
                <w:rFonts w:asciiTheme="majorHAnsi" w:hAnsiTheme="majorHAnsi"/>
                <w:sz w:val="20"/>
              </w:rPr>
            </w:pPr>
            <w:r>
              <w:rPr>
                <w:rFonts w:asciiTheme="majorHAnsi" w:hAnsiTheme="majorHAnsi"/>
                <w:sz w:val="20"/>
              </w:rPr>
              <w:t>Comisión de Gobierno, Descentralización y Regionalización</w:t>
            </w:r>
            <w:r w:rsidRPr="003F5624">
              <w:rPr>
                <w:rFonts w:asciiTheme="majorHAnsi" w:hAnsiTheme="majorHAnsi"/>
                <w:sz w:val="20"/>
              </w:rPr>
              <w:t xml:space="preserve">.  </w:t>
            </w:r>
          </w:p>
        </w:tc>
      </w:tr>
      <w:tr w:rsidR="00572626" w:rsidRPr="003F5624" w:rsidTr="00572626">
        <w:tc>
          <w:tcPr>
            <w:tcW w:w="4414" w:type="dxa"/>
          </w:tcPr>
          <w:p w:rsidR="00572626" w:rsidRPr="003F5624" w:rsidRDefault="00876697" w:rsidP="004866C1">
            <w:pPr>
              <w:tabs>
                <w:tab w:val="left" w:pos="7453"/>
              </w:tabs>
              <w:spacing w:line="240" w:lineRule="auto"/>
              <w:rPr>
                <w:rFonts w:asciiTheme="majorHAnsi" w:hAnsiTheme="majorHAnsi"/>
                <w:sz w:val="20"/>
              </w:rPr>
            </w:pPr>
            <w:r w:rsidRPr="003F5624">
              <w:rPr>
                <w:rFonts w:asciiTheme="majorHAnsi" w:hAnsiTheme="majorHAnsi"/>
                <w:sz w:val="20"/>
              </w:rPr>
              <w:t>Quórum</w:t>
            </w:r>
          </w:p>
        </w:tc>
        <w:tc>
          <w:tcPr>
            <w:tcW w:w="4414" w:type="dxa"/>
          </w:tcPr>
          <w:p w:rsidR="00572626" w:rsidRPr="003F5624" w:rsidRDefault="006753FB" w:rsidP="004866C1">
            <w:pPr>
              <w:tabs>
                <w:tab w:val="left" w:pos="7453"/>
              </w:tabs>
              <w:spacing w:line="240" w:lineRule="auto"/>
              <w:rPr>
                <w:rFonts w:asciiTheme="majorHAnsi" w:hAnsiTheme="majorHAnsi"/>
                <w:sz w:val="20"/>
              </w:rPr>
            </w:pPr>
            <w:r>
              <w:rPr>
                <w:rFonts w:asciiTheme="majorHAnsi" w:hAnsiTheme="majorHAnsi"/>
                <w:sz w:val="20"/>
              </w:rPr>
              <w:t>LOC</w:t>
            </w:r>
          </w:p>
        </w:tc>
      </w:tr>
      <w:tr w:rsidR="00876697" w:rsidRPr="003F5624" w:rsidTr="00572626">
        <w:tc>
          <w:tcPr>
            <w:tcW w:w="4414" w:type="dxa"/>
          </w:tcPr>
          <w:p w:rsidR="00876697" w:rsidRPr="003F5624" w:rsidRDefault="00876697" w:rsidP="004866C1">
            <w:pPr>
              <w:tabs>
                <w:tab w:val="left" w:pos="7453"/>
              </w:tabs>
              <w:spacing w:line="240" w:lineRule="auto"/>
              <w:rPr>
                <w:rFonts w:asciiTheme="majorHAnsi" w:hAnsiTheme="majorHAnsi"/>
                <w:sz w:val="20"/>
              </w:rPr>
            </w:pPr>
            <w:r w:rsidRPr="003F5624">
              <w:rPr>
                <w:rFonts w:asciiTheme="majorHAnsi" w:hAnsiTheme="majorHAnsi"/>
                <w:sz w:val="20"/>
              </w:rPr>
              <w:t>Forma de discusión</w:t>
            </w:r>
          </w:p>
        </w:tc>
        <w:tc>
          <w:tcPr>
            <w:tcW w:w="4414" w:type="dxa"/>
          </w:tcPr>
          <w:p w:rsidR="00876697" w:rsidRPr="003F5624" w:rsidRDefault="00876697" w:rsidP="004866C1">
            <w:pPr>
              <w:tabs>
                <w:tab w:val="left" w:pos="7453"/>
              </w:tabs>
              <w:spacing w:line="240" w:lineRule="auto"/>
              <w:rPr>
                <w:rFonts w:asciiTheme="majorHAnsi" w:hAnsiTheme="majorHAnsi"/>
                <w:sz w:val="20"/>
              </w:rPr>
            </w:pPr>
            <w:r>
              <w:rPr>
                <w:rFonts w:asciiTheme="majorHAnsi" w:hAnsiTheme="majorHAnsi"/>
                <w:sz w:val="20"/>
              </w:rPr>
              <w:t>En general</w:t>
            </w:r>
          </w:p>
        </w:tc>
      </w:tr>
    </w:tbl>
    <w:p w:rsidR="00E3653D" w:rsidRPr="00E3653D" w:rsidRDefault="00E3653D" w:rsidP="004866C1">
      <w:pPr>
        <w:autoSpaceDE w:val="0"/>
        <w:autoSpaceDN w:val="0"/>
        <w:adjustRightInd w:val="0"/>
        <w:spacing w:line="240" w:lineRule="auto"/>
        <w:rPr>
          <w:rFonts w:asciiTheme="majorHAnsi" w:hAnsiTheme="majorHAnsi"/>
          <w:b/>
          <w:sz w:val="22"/>
          <w:szCs w:val="22"/>
        </w:rPr>
      </w:pPr>
    </w:p>
    <w:p w:rsidR="00C16FDB" w:rsidRPr="0064145F" w:rsidRDefault="00E3653D" w:rsidP="0064145F">
      <w:pPr>
        <w:pStyle w:val="ListParagraph"/>
        <w:numPr>
          <w:ilvl w:val="0"/>
          <w:numId w:val="7"/>
        </w:numPr>
        <w:spacing w:line="240" w:lineRule="auto"/>
        <w:rPr>
          <w:rFonts w:asciiTheme="majorHAnsi" w:hAnsiTheme="majorHAnsi"/>
          <w:sz w:val="22"/>
          <w:szCs w:val="22"/>
        </w:rPr>
      </w:pPr>
      <w:r w:rsidRPr="0064145F">
        <w:rPr>
          <w:rFonts w:asciiTheme="majorHAnsi" w:hAnsiTheme="majorHAnsi"/>
          <w:b/>
          <w:szCs w:val="24"/>
          <w:u w:val="single"/>
        </w:rPr>
        <w:t>El Proyecto</w:t>
      </w:r>
      <w:r w:rsidRPr="0064145F">
        <w:rPr>
          <w:rFonts w:asciiTheme="majorHAnsi" w:hAnsiTheme="majorHAnsi"/>
          <w:sz w:val="22"/>
          <w:szCs w:val="22"/>
        </w:rPr>
        <w:t>:</w:t>
      </w:r>
    </w:p>
    <w:p w:rsidR="0064145F" w:rsidRPr="0064145F" w:rsidRDefault="0064145F" w:rsidP="0064145F">
      <w:pPr>
        <w:pStyle w:val="ListParagraph"/>
        <w:spacing w:line="240" w:lineRule="auto"/>
        <w:ind w:left="1080"/>
        <w:rPr>
          <w:rFonts w:asciiTheme="majorHAnsi" w:hAnsiTheme="majorHAnsi"/>
          <w:sz w:val="22"/>
          <w:szCs w:val="22"/>
        </w:rPr>
      </w:pPr>
    </w:p>
    <w:p w:rsidR="00E3653D" w:rsidRDefault="00E3653D" w:rsidP="004866C1">
      <w:pPr>
        <w:spacing w:line="240" w:lineRule="auto"/>
        <w:rPr>
          <w:rFonts w:asciiTheme="majorHAnsi" w:hAnsiTheme="majorHAnsi"/>
          <w:sz w:val="22"/>
          <w:szCs w:val="22"/>
        </w:rPr>
      </w:pPr>
      <w:r>
        <w:rPr>
          <w:rFonts w:asciiTheme="majorHAnsi" w:hAnsiTheme="majorHAnsi"/>
          <w:sz w:val="22"/>
          <w:szCs w:val="22"/>
        </w:rPr>
        <w:t xml:space="preserve">La iniciativa propuesta busca fortalecer la integridad publica, estableciendo </w:t>
      </w:r>
      <w:r w:rsidR="0023443F">
        <w:rPr>
          <w:rFonts w:asciiTheme="majorHAnsi" w:hAnsiTheme="majorHAnsi"/>
          <w:sz w:val="22"/>
          <w:szCs w:val="22"/>
        </w:rPr>
        <w:t>diferentes obligaciones y prohibiciones en distintos cuerpos legales</w:t>
      </w:r>
      <w:r>
        <w:rPr>
          <w:rFonts w:asciiTheme="majorHAnsi" w:hAnsiTheme="majorHAnsi"/>
          <w:sz w:val="22"/>
          <w:szCs w:val="22"/>
        </w:rPr>
        <w:t>:</w:t>
      </w:r>
    </w:p>
    <w:p w:rsidR="0064145F" w:rsidRDefault="0064145F" w:rsidP="004866C1">
      <w:pPr>
        <w:spacing w:line="240" w:lineRule="auto"/>
        <w:rPr>
          <w:rFonts w:asciiTheme="majorHAnsi" w:hAnsiTheme="majorHAnsi"/>
          <w:sz w:val="22"/>
          <w:szCs w:val="22"/>
        </w:rPr>
      </w:pPr>
    </w:p>
    <w:p w:rsidR="00CD3B52" w:rsidRDefault="00CD3B52" w:rsidP="004866C1">
      <w:pPr>
        <w:pStyle w:val="ListParagraph"/>
        <w:numPr>
          <w:ilvl w:val="0"/>
          <w:numId w:val="5"/>
        </w:numPr>
        <w:spacing w:line="240" w:lineRule="auto"/>
        <w:rPr>
          <w:rFonts w:asciiTheme="majorHAnsi" w:hAnsiTheme="majorHAnsi"/>
          <w:sz w:val="22"/>
          <w:szCs w:val="22"/>
        </w:rPr>
      </w:pPr>
      <w:r w:rsidRPr="00CD3B52">
        <w:rPr>
          <w:rFonts w:asciiTheme="majorHAnsi" w:hAnsiTheme="majorHAnsi"/>
          <w:b/>
          <w:szCs w:val="24"/>
          <w:u w:val="single"/>
        </w:rPr>
        <w:t>Modificaciones Ley de Bases Generales de la Administración del Estado</w:t>
      </w:r>
      <w:r w:rsidRPr="00CD3B52">
        <w:rPr>
          <w:rFonts w:asciiTheme="majorHAnsi" w:hAnsiTheme="majorHAnsi"/>
          <w:sz w:val="22"/>
          <w:szCs w:val="22"/>
        </w:rPr>
        <w:t xml:space="preserve">: </w:t>
      </w:r>
    </w:p>
    <w:p w:rsidR="004866C1" w:rsidRPr="00CD3B52" w:rsidRDefault="004866C1" w:rsidP="004866C1">
      <w:pPr>
        <w:pStyle w:val="ListParagraph"/>
        <w:spacing w:line="240" w:lineRule="auto"/>
        <w:rPr>
          <w:rFonts w:asciiTheme="majorHAnsi" w:hAnsiTheme="majorHAnsi"/>
          <w:sz w:val="22"/>
          <w:szCs w:val="22"/>
        </w:rPr>
      </w:pPr>
    </w:p>
    <w:p w:rsidR="00622C61" w:rsidRDefault="00F624F0" w:rsidP="004866C1">
      <w:pPr>
        <w:pStyle w:val="ListParagraph"/>
        <w:numPr>
          <w:ilvl w:val="0"/>
          <w:numId w:val="1"/>
        </w:numPr>
        <w:spacing w:line="240" w:lineRule="auto"/>
        <w:ind w:left="284"/>
        <w:rPr>
          <w:rFonts w:asciiTheme="majorHAnsi" w:hAnsiTheme="majorHAnsi"/>
          <w:sz w:val="22"/>
          <w:szCs w:val="22"/>
        </w:rPr>
      </w:pPr>
      <w:r w:rsidRPr="00622C61">
        <w:rPr>
          <w:rFonts w:asciiTheme="majorHAnsi" w:hAnsiTheme="majorHAnsi"/>
          <w:sz w:val="22"/>
          <w:szCs w:val="22"/>
        </w:rPr>
        <w:t xml:space="preserve">Para los nombramientos o contrataciones de la Administración del Estado que recaigan en el cónyuge, conviviente civil o un pariente (hasta 3er grado por consanguinidad o 2da de afinidad) del Presidente, de algún Ministro, Intendente, Subsecretarios, Gobernadores, Seremis, Jefes de Servicios, Embajadores, Alcaldes, Senadores y Diputados, la autoridad que debe efectuar el nombramiento o contratación debe </w:t>
      </w:r>
      <w:r w:rsidRPr="00622C61">
        <w:rPr>
          <w:rFonts w:asciiTheme="majorHAnsi" w:hAnsiTheme="majorHAnsi"/>
          <w:b/>
          <w:sz w:val="22"/>
          <w:szCs w:val="22"/>
          <w:u w:val="single"/>
        </w:rPr>
        <w:t>solicitar previamente un informe</w:t>
      </w:r>
      <w:r w:rsidRPr="00622C61">
        <w:rPr>
          <w:rFonts w:asciiTheme="majorHAnsi" w:hAnsiTheme="majorHAnsi"/>
          <w:sz w:val="22"/>
          <w:szCs w:val="22"/>
        </w:rPr>
        <w:t xml:space="preserve"> a la Dirección Nacional del Servicio Civil. Y  a su vez, el Consejo de Alta Dirección Pública deberá manifestar su parecer sobre el informe. </w:t>
      </w:r>
    </w:p>
    <w:p w:rsidR="004866C1" w:rsidRPr="00622C61" w:rsidRDefault="004866C1" w:rsidP="004866C1">
      <w:pPr>
        <w:pStyle w:val="ListParagraph"/>
        <w:spacing w:line="240" w:lineRule="auto"/>
        <w:ind w:left="284"/>
        <w:rPr>
          <w:rFonts w:asciiTheme="majorHAnsi" w:hAnsiTheme="majorHAnsi"/>
          <w:sz w:val="22"/>
          <w:szCs w:val="22"/>
        </w:rPr>
      </w:pPr>
    </w:p>
    <w:p w:rsidR="00F624F0" w:rsidRDefault="00491DD6" w:rsidP="004866C1">
      <w:pPr>
        <w:pStyle w:val="ListParagraph"/>
        <w:numPr>
          <w:ilvl w:val="0"/>
          <w:numId w:val="1"/>
        </w:numPr>
        <w:spacing w:line="240" w:lineRule="auto"/>
        <w:ind w:left="284"/>
        <w:rPr>
          <w:rFonts w:asciiTheme="majorHAnsi" w:hAnsiTheme="majorHAnsi"/>
          <w:sz w:val="22"/>
          <w:szCs w:val="22"/>
        </w:rPr>
      </w:pPr>
      <w:r w:rsidRPr="00622C61">
        <w:rPr>
          <w:rFonts w:asciiTheme="majorHAnsi" w:hAnsiTheme="majorHAnsi"/>
          <w:sz w:val="22"/>
          <w:szCs w:val="22"/>
        </w:rPr>
        <w:t xml:space="preserve">Por su parte, se establece la </w:t>
      </w:r>
      <w:r w:rsidRPr="00622C61">
        <w:rPr>
          <w:rFonts w:asciiTheme="majorHAnsi" w:hAnsiTheme="majorHAnsi"/>
          <w:b/>
          <w:sz w:val="22"/>
          <w:szCs w:val="22"/>
          <w:u w:val="single"/>
        </w:rPr>
        <w:t xml:space="preserve">prohibición </w:t>
      </w:r>
      <w:r w:rsidR="00622C61" w:rsidRPr="00622C61">
        <w:rPr>
          <w:rFonts w:asciiTheme="majorHAnsi" w:hAnsiTheme="majorHAnsi"/>
          <w:b/>
          <w:sz w:val="22"/>
          <w:szCs w:val="22"/>
          <w:u w:val="single"/>
        </w:rPr>
        <w:t>para los lobistas</w:t>
      </w:r>
      <w:r w:rsidR="00622C61">
        <w:rPr>
          <w:rFonts w:asciiTheme="majorHAnsi" w:hAnsiTheme="majorHAnsi"/>
          <w:sz w:val="22"/>
          <w:szCs w:val="22"/>
        </w:rPr>
        <w:t xml:space="preserve"> inscritos en el registro de la ley del lobby (20.730) </w:t>
      </w:r>
      <w:r w:rsidRPr="00622C61">
        <w:rPr>
          <w:rFonts w:asciiTheme="majorHAnsi" w:hAnsiTheme="majorHAnsi"/>
          <w:sz w:val="22"/>
          <w:szCs w:val="22"/>
        </w:rPr>
        <w:t>de desempeñar las funciones de Ministro, Subsecretario, Jefe de Servicio ni Directivo Superior del organismo de la</w:t>
      </w:r>
      <w:r w:rsidR="00622C61">
        <w:rPr>
          <w:rFonts w:asciiTheme="majorHAnsi" w:hAnsiTheme="majorHAnsi"/>
          <w:sz w:val="22"/>
          <w:szCs w:val="22"/>
        </w:rPr>
        <w:t xml:space="preserve"> Administración del Estado</w:t>
      </w:r>
      <w:r w:rsidRPr="00622C61">
        <w:rPr>
          <w:rFonts w:asciiTheme="majorHAnsi" w:hAnsiTheme="majorHAnsi"/>
          <w:sz w:val="22"/>
          <w:szCs w:val="22"/>
        </w:rPr>
        <w:t xml:space="preserve">, cuando hubieren realizado ante el organismo </w:t>
      </w:r>
      <w:r w:rsidR="00622C61" w:rsidRPr="00622C61">
        <w:rPr>
          <w:rFonts w:asciiTheme="majorHAnsi" w:hAnsiTheme="majorHAnsi"/>
          <w:sz w:val="22"/>
          <w:szCs w:val="22"/>
        </w:rPr>
        <w:t>respectivo actuaciones de lobby dentro de los 12 meses anteriores a su nombramiento.</w:t>
      </w:r>
    </w:p>
    <w:p w:rsidR="004866C1" w:rsidRPr="004866C1" w:rsidRDefault="004866C1" w:rsidP="004866C1">
      <w:pPr>
        <w:spacing w:line="240" w:lineRule="auto"/>
        <w:rPr>
          <w:rFonts w:asciiTheme="majorHAnsi" w:hAnsiTheme="majorHAnsi"/>
          <w:sz w:val="22"/>
          <w:szCs w:val="22"/>
        </w:rPr>
      </w:pPr>
    </w:p>
    <w:p w:rsidR="00622C61" w:rsidRDefault="00622C61"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A su vez, se establece la </w:t>
      </w:r>
      <w:r w:rsidRPr="00937893">
        <w:rPr>
          <w:rFonts w:asciiTheme="majorHAnsi" w:hAnsiTheme="majorHAnsi"/>
          <w:b/>
          <w:sz w:val="22"/>
          <w:szCs w:val="22"/>
          <w:u w:val="single"/>
        </w:rPr>
        <w:t xml:space="preserve">prohibición para </w:t>
      </w:r>
      <w:r w:rsidR="00937893" w:rsidRPr="00937893">
        <w:rPr>
          <w:rFonts w:asciiTheme="majorHAnsi" w:hAnsiTheme="majorHAnsi"/>
          <w:b/>
          <w:sz w:val="22"/>
          <w:szCs w:val="22"/>
          <w:u w:val="single"/>
        </w:rPr>
        <w:t>prestar servicios de cualquier tipo</w:t>
      </w:r>
      <w:r w:rsidR="00937893" w:rsidRPr="00825C18">
        <w:rPr>
          <w:rFonts w:asciiTheme="majorHAnsi" w:hAnsiTheme="majorHAnsi"/>
          <w:b/>
          <w:sz w:val="22"/>
          <w:szCs w:val="22"/>
          <w:u w:val="single"/>
        </w:rPr>
        <w:t xml:space="preserve">, </w:t>
      </w:r>
      <w:r w:rsidR="00825C18" w:rsidRPr="00825C18">
        <w:rPr>
          <w:rFonts w:asciiTheme="majorHAnsi" w:hAnsiTheme="majorHAnsi"/>
          <w:b/>
          <w:sz w:val="22"/>
          <w:szCs w:val="22"/>
          <w:u w:val="single"/>
        </w:rPr>
        <w:t>y de adquirir participación</w:t>
      </w:r>
      <w:r w:rsidR="00825C18">
        <w:rPr>
          <w:rFonts w:asciiTheme="majorHAnsi" w:hAnsiTheme="majorHAnsi"/>
          <w:sz w:val="22"/>
          <w:szCs w:val="22"/>
        </w:rPr>
        <w:t xml:space="preserve"> en la propiedad, para</w:t>
      </w:r>
      <w:r w:rsidR="00937893">
        <w:rPr>
          <w:rFonts w:asciiTheme="majorHAnsi" w:hAnsiTheme="majorHAnsi"/>
          <w:sz w:val="22"/>
          <w:szCs w:val="22"/>
        </w:rPr>
        <w:t xml:space="preserve"> </w:t>
      </w:r>
      <w:r>
        <w:rPr>
          <w:rFonts w:asciiTheme="majorHAnsi" w:hAnsiTheme="majorHAnsi"/>
          <w:sz w:val="22"/>
          <w:szCs w:val="22"/>
        </w:rPr>
        <w:t>los ex M</w:t>
      </w:r>
      <w:r w:rsidR="00937893">
        <w:rPr>
          <w:rFonts w:asciiTheme="majorHAnsi" w:hAnsiTheme="majorHAnsi"/>
          <w:sz w:val="22"/>
          <w:szCs w:val="22"/>
        </w:rPr>
        <w:t>inistros, Subsecretarios, y ex J</w:t>
      </w:r>
      <w:r w:rsidR="00825C18">
        <w:rPr>
          <w:rFonts w:asciiTheme="majorHAnsi" w:hAnsiTheme="majorHAnsi"/>
          <w:sz w:val="22"/>
          <w:szCs w:val="22"/>
        </w:rPr>
        <w:t>efes S</w:t>
      </w:r>
      <w:r>
        <w:rPr>
          <w:rFonts w:asciiTheme="majorHAnsi" w:hAnsiTheme="majorHAnsi"/>
          <w:sz w:val="22"/>
          <w:szCs w:val="22"/>
        </w:rPr>
        <w:t>uperiores de Servi</w:t>
      </w:r>
      <w:r w:rsidR="00825C18">
        <w:rPr>
          <w:rFonts w:asciiTheme="majorHAnsi" w:hAnsiTheme="majorHAnsi"/>
          <w:sz w:val="22"/>
          <w:szCs w:val="22"/>
        </w:rPr>
        <w:t>cio, respecto de las entidades privadas que hayan estado sujetas a la fiscalización de instituciones que se relacionen con el Presidente a través del Ministerio o del Servicio del cual desempeñaron funciones, cuando hayan emitido actos o resoluciones respecto de ellas.</w:t>
      </w:r>
      <w:r w:rsidR="0064145F">
        <w:rPr>
          <w:rFonts w:asciiTheme="majorHAnsi" w:hAnsiTheme="majorHAnsi"/>
          <w:sz w:val="22"/>
          <w:szCs w:val="22"/>
        </w:rPr>
        <w:t xml:space="preserve"> (Art. 57)</w:t>
      </w:r>
    </w:p>
    <w:p w:rsidR="004866C1" w:rsidRPr="004866C1" w:rsidRDefault="004866C1" w:rsidP="004866C1">
      <w:pPr>
        <w:spacing w:line="240" w:lineRule="auto"/>
        <w:rPr>
          <w:rFonts w:asciiTheme="majorHAnsi" w:hAnsiTheme="majorHAnsi"/>
          <w:sz w:val="22"/>
          <w:szCs w:val="22"/>
        </w:rPr>
      </w:pPr>
    </w:p>
    <w:p w:rsidR="00825C18" w:rsidRDefault="00825C18"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También tendrán </w:t>
      </w:r>
      <w:r w:rsidRPr="00825C18">
        <w:rPr>
          <w:rFonts w:asciiTheme="majorHAnsi" w:hAnsiTheme="majorHAnsi"/>
          <w:b/>
          <w:sz w:val="22"/>
          <w:szCs w:val="22"/>
          <w:u w:val="single"/>
        </w:rPr>
        <w:t xml:space="preserve">prohibido hacer lobby o gestiones </w:t>
      </w:r>
      <w:r>
        <w:rPr>
          <w:rFonts w:asciiTheme="majorHAnsi" w:hAnsiTheme="majorHAnsi"/>
          <w:b/>
          <w:sz w:val="22"/>
          <w:szCs w:val="22"/>
          <w:u w:val="single"/>
        </w:rPr>
        <w:t>de intereses</w:t>
      </w:r>
      <w:r w:rsidRPr="00825C18">
        <w:rPr>
          <w:rFonts w:asciiTheme="majorHAnsi" w:hAnsiTheme="majorHAnsi"/>
          <w:sz w:val="22"/>
          <w:szCs w:val="22"/>
        </w:rPr>
        <w:t xml:space="preserve"> particulares</w:t>
      </w:r>
      <w:r>
        <w:rPr>
          <w:rFonts w:asciiTheme="majorHAnsi" w:hAnsiTheme="majorHAnsi"/>
          <w:sz w:val="22"/>
          <w:szCs w:val="22"/>
        </w:rPr>
        <w:t xml:space="preserve"> durante 12 meses desde la fecha de cese de sus funciones ante la misma institución en que se desempeñaron.</w:t>
      </w:r>
    </w:p>
    <w:p w:rsidR="004866C1" w:rsidRPr="004866C1" w:rsidRDefault="004866C1" w:rsidP="004866C1">
      <w:pPr>
        <w:spacing w:line="240" w:lineRule="auto"/>
        <w:rPr>
          <w:rFonts w:asciiTheme="majorHAnsi" w:hAnsiTheme="majorHAnsi"/>
          <w:sz w:val="22"/>
          <w:szCs w:val="22"/>
        </w:rPr>
      </w:pPr>
    </w:p>
    <w:p w:rsidR="00825C18" w:rsidRDefault="004973CA"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Se establece similar </w:t>
      </w:r>
      <w:r w:rsidRPr="004973CA">
        <w:rPr>
          <w:rFonts w:asciiTheme="majorHAnsi" w:hAnsiTheme="majorHAnsi"/>
          <w:b/>
          <w:sz w:val="22"/>
          <w:szCs w:val="22"/>
          <w:u w:val="single"/>
        </w:rPr>
        <w:t>prohibición para los ex funcionarios</w:t>
      </w:r>
      <w:r>
        <w:rPr>
          <w:rFonts w:asciiTheme="majorHAnsi" w:hAnsiTheme="majorHAnsi"/>
          <w:sz w:val="22"/>
          <w:szCs w:val="22"/>
        </w:rPr>
        <w:t xml:space="preserve"> de diferentes servicios públicos que se hayan desempeñado hasta el 3er nivel jerárquico de la planta de la </w:t>
      </w:r>
      <w:r>
        <w:rPr>
          <w:rFonts w:asciiTheme="majorHAnsi" w:hAnsiTheme="majorHAnsi"/>
          <w:sz w:val="22"/>
          <w:szCs w:val="22"/>
        </w:rPr>
        <w:lastRenderedPageBreak/>
        <w:t xml:space="preserve">entidad, </w:t>
      </w:r>
      <w:r w:rsidR="0013412E">
        <w:rPr>
          <w:rFonts w:asciiTheme="majorHAnsi" w:hAnsiTheme="majorHAnsi"/>
          <w:sz w:val="22"/>
          <w:szCs w:val="22"/>
        </w:rPr>
        <w:t>de (i) prestar ningún tipo de servicios ni de adquirir participación respecto de las entidades que hayan estado sujetas a la fiscalización del organismo en que se hayan desempeñado durante un año desde que hayan cesado de sus cargos. Así como tampoco podrán (ii) realizar lobby ni gestiones de intereses particulares ante la misma institución por el mismo plazo.</w:t>
      </w:r>
      <w:r w:rsidR="004866C1">
        <w:rPr>
          <w:rFonts w:asciiTheme="majorHAnsi" w:hAnsiTheme="majorHAnsi"/>
          <w:sz w:val="22"/>
          <w:szCs w:val="22"/>
        </w:rPr>
        <w:t xml:space="preserve"> (Art. 58)</w:t>
      </w:r>
    </w:p>
    <w:p w:rsidR="0064145F" w:rsidRPr="0064145F" w:rsidRDefault="0064145F" w:rsidP="0064145F">
      <w:pPr>
        <w:spacing w:line="240" w:lineRule="auto"/>
        <w:rPr>
          <w:rFonts w:asciiTheme="majorHAnsi" w:hAnsiTheme="majorHAnsi"/>
          <w:sz w:val="22"/>
          <w:szCs w:val="22"/>
        </w:rPr>
      </w:pPr>
    </w:p>
    <w:p w:rsidR="0013412E" w:rsidRDefault="0013412E"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Estos órganos de la Administración del Estado deberán </w:t>
      </w:r>
      <w:r w:rsidRPr="003A6B3A">
        <w:rPr>
          <w:rFonts w:asciiTheme="majorHAnsi" w:hAnsiTheme="majorHAnsi"/>
          <w:b/>
          <w:sz w:val="22"/>
          <w:szCs w:val="22"/>
          <w:u w:val="single"/>
        </w:rPr>
        <w:t>mantener un registro público</w:t>
      </w:r>
      <w:r>
        <w:rPr>
          <w:rFonts w:asciiTheme="majorHAnsi" w:hAnsiTheme="majorHAnsi"/>
          <w:sz w:val="22"/>
          <w:szCs w:val="22"/>
        </w:rPr>
        <w:t xml:space="preserve"> de las entidades </w:t>
      </w:r>
      <w:r w:rsidR="003A6B3A">
        <w:rPr>
          <w:rFonts w:asciiTheme="majorHAnsi" w:hAnsiTheme="majorHAnsi"/>
          <w:sz w:val="22"/>
          <w:szCs w:val="22"/>
        </w:rPr>
        <w:t>privadas que fiscalicen.</w:t>
      </w:r>
    </w:p>
    <w:p w:rsidR="0064145F" w:rsidRPr="0064145F" w:rsidRDefault="0064145F" w:rsidP="0064145F">
      <w:pPr>
        <w:spacing w:line="240" w:lineRule="auto"/>
        <w:rPr>
          <w:rFonts w:asciiTheme="majorHAnsi" w:hAnsiTheme="majorHAnsi"/>
          <w:sz w:val="22"/>
          <w:szCs w:val="22"/>
        </w:rPr>
      </w:pPr>
    </w:p>
    <w:p w:rsidR="003A6B3A" w:rsidRDefault="003A6B3A"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Las ex autoridades y funcionarios afectas a estas prohibiciones deberán </w:t>
      </w:r>
      <w:r w:rsidRPr="003A6B3A">
        <w:rPr>
          <w:rFonts w:asciiTheme="majorHAnsi" w:hAnsiTheme="majorHAnsi"/>
          <w:b/>
          <w:sz w:val="22"/>
          <w:szCs w:val="22"/>
          <w:u w:val="single"/>
        </w:rPr>
        <w:t>informar al órgano al que pertenecían</w:t>
      </w:r>
      <w:r>
        <w:rPr>
          <w:rFonts w:asciiTheme="majorHAnsi" w:hAnsiTheme="majorHAnsi"/>
          <w:sz w:val="22"/>
          <w:szCs w:val="22"/>
        </w:rPr>
        <w:t xml:space="preserve"> de las actividades laborales que realicen mientras duren esas prohibiciones.</w:t>
      </w:r>
    </w:p>
    <w:p w:rsidR="0064145F" w:rsidRPr="0064145F" w:rsidRDefault="0064145F" w:rsidP="0064145F">
      <w:pPr>
        <w:spacing w:line="240" w:lineRule="auto"/>
        <w:rPr>
          <w:rFonts w:asciiTheme="majorHAnsi" w:hAnsiTheme="majorHAnsi"/>
          <w:sz w:val="22"/>
          <w:szCs w:val="22"/>
        </w:rPr>
      </w:pPr>
    </w:p>
    <w:p w:rsidR="003A6B3A" w:rsidRDefault="003A6B3A"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La infracción a estas prohibiciones se sancionará con </w:t>
      </w:r>
      <w:r w:rsidRPr="00A75420">
        <w:rPr>
          <w:rFonts w:asciiTheme="majorHAnsi" w:hAnsiTheme="majorHAnsi"/>
          <w:b/>
          <w:sz w:val="22"/>
          <w:szCs w:val="22"/>
          <w:u w:val="single"/>
        </w:rPr>
        <w:t>multa</w:t>
      </w:r>
      <w:r w:rsidR="00A75420" w:rsidRPr="00A75420">
        <w:rPr>
          <w:rFonts w:asciiTheme="majorHAnsi" w:hAnsiTheme="majorHAnsi"/>
          <w:b/>
          <w:sz w:val="22"/>
          <w:szCs w:val="22"/>
          <w:u w:val="single"/>
        </w:rPr>
        <w:t xml:space="preserve"> a beneficio fiscal</w:t>
      </w:r>
      <w:r>
        <w:rPr>
          <w:rFonts w:asciiTheme="majorHAnsi" w:hAnsiTheme="majorHAnsi"/>
          <w:sz w:val="22"/>
          <w:szCs w:val="22"/>
        </w:rPr>
        <w:t xml:space="preserve"> de entre 100 y 2000 UTM. Y el infractor quedará inhabilitado por 5 años para prestar servicios al Estado.</w:t>
      </w:r>
      <w:r w:rsidR="00A75420">
        <w:rPr>
          <w:rFonts w:asciiTheme="majorHAnsi" w:hAnsiTheme="majorHAnsi"/>
          <w:sz w:val="22"/>
          <w:szCs w:val="22"/>
        </w:rPr>
        <w:t xml:space="preserve"> Esta responsabilidad se hará efectiva por la Contraloría General y prescribirá dentro </w:t>
      </w:r>
      <w:bookmarkStart w:id="0" w:name="_GoBack"/>
      <w:bookmarkEnd w:id="0"/>
      <w:r w:rsidR="00A75420">
        <w:rPr>
          <w:rFonts w:asciiTheme="majorHAnsi" w:hAnsiTheme="majorHAnsi"/>
          <w:sz w:val="22"/>
          <w:szCs w:val="22"/>
        </w:rPr>
        <w:t>de 5 años desde la infracción. Las sanciones que esta imponga serán reclamables antes la Corte de Apelaciones respectiva.</w:t>
      </w:r>
    </w:p>
    <w:p w:rsidR="00CD3B52" w:rsidRDefault="00CD3B52" w:rsidP="004866C1">
      <w:pPr>
        <w:pStyle w:val="ListParagraph"/>
        <w:spacing w:line="240" w:lineRule="auto"/>
        <w:ind w:left="284"/>
        <w:rPr>
          <w:rFonts w:asciiTheme="majorHAnsi" w:hAnsiTheme="majorHAnsi"/>
          <w:sz w:val="22"/>
          <w:szCs w:val="22"/>
        </w:rPr>
      </w:pPr>
    </w:p>
    <w:p w:rsidR="00CD3B52" w:rsidRDefault="00CD3B52" w:rsidP="004866C1">
      <w:pPr>
        <w:pStyle w:val="ListParagraph"/>
        <w:numPr>
          <w:ilvl w:val="0"/>
          <w:numId w:val="5"/>
        </w:numPr>
        <w:spacing w:line="240" w:lineRule="auto"/>
        <w:rPr>
          <w:rFonts w:asciiTheme="majorHAnsi" w:hAnsiTheme="majorHAnsi"/>
          <w:sz w:val="22"/>
          <w:szCs w:val="22"/>
        </w:rPr>
      </w:pPr>
      <w:r w:rsidRPr="00CD3B52">
        <w:rPr>
          <w:rFonts w:asciiTheme="majorHAnsi" w:hAnsiTheme="majorHAnsi"/>
          <w:b/>
          <w:szCs w:val="24"/>
          <w:u w:val="single"/>
        </w:rPr>
        <w:t>Modificaciones a la Ley Orgánica de Contraloría General</w:t>
      </w:r>
      <w:r>
        <w:rPr>
          <w:rFonts w:asciiTheme="majorHAnsi" w:hAnsiTheme="majorHAnsi"/>
          <w:sz w:val="22"/>
          <w:szCs w:val="22"/>
        </w:rPr>
        <w:t>:</w:t>
      </w:r>
    </w:p>
    <w:p w:rsidR="0064145F" w:rsidRPr="00CD3B52" w:rsidRDefault="0064145F" w:rsidP="0064145F">
      <w:pPr>
        <w:pStyle w:val="ListParagraph"/>
        <w:spacing w:line="240" w:lineRule="auto"/>
        <w:rPr>
          <w:rFonts w:asciiTheme="majorHAnsi" w:hAnsiTheme="majorHAnsi"/>
          <w:sz w:val="22"/>
          <w:szCs w:val="22"/>
        </w:rPr>
      </w:pPr>
    </w:p>
    <w:p w:rsidR="00A75420" w:rsidRDefault="00A75420"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Se impone </w:t>
      </w:r>
      <w:r w:rsidRPr="00A75420">
        <w:rPr>
          <w:rFonts w:asciiTheme="majorHAnsi" w:hAnsiTheme="majorHAnsi"/>
          <w:b/>
          <w:sz w:val="22"/>
          <w:szCs w:val="22"/>
          <w:u w:val="single"/>
        </w:rPr>
        <w:t>la prohibición a C</w:t>
      </w:r>
      <w:r>
        <w:rPr>
          <w:rFonts w:asciiTheme="majorHAnsi" w:hAnsiTheme="majorHAnsi"/>
          <w:b/>
          <w:sz w:val="22"/>
          <w:szCs w:val="22"/>
          <w:u w:val="single"/>
        </w:rPr>
        <w:t>ontraloría</w:t>
      </w:r>
      <w:r>
        <w:rPr>
          <w:rFonts w:asciiTheme="majorHAnsi" w:hAnsiTheme="majorHAnsi"/>
          <w:sz w:val="22"/>
          <w:szCs w:val="22"/>
        </w:rPr>
        <w:t xml:space="preserve"> de nombrar y designar personal a contrata a quienes estén casados, tengan un AUC o parentesco por consanguinidad dentro del 3er grado o por afinidad en el 2do, con el Contralor, el Subcontrarlo</w:t>
      </w:r>
      <w:r w:rsidR="00FE0000">
        <w:rPr>
          <w:rFonts w:asciiTheme="majorHAnsi" w:hAnsiTheme="majorHAnsi"/>
          <w:sz w:val="22"/>
          <w:szCs w:val="22"/>
        </w:rPr>
        <w:t>r</w:t>
      </w:r>
      <w:r>
        <w:rPr>
          <w:rFonts w:asciiTheme="majorHAnsi" w:hAnsiTheme="majorHAnsi"/>
          <w:sz w:val="22"/>
          <w:szCs w:val="22"/>
        </w:rPr>
        <w:t xml:space="preserve"> o con quien pueda participar en su nombramiento.</w:t>
      </w:r>
      <w:r w:rsidR="00FE0000">
        <w:rPr>
          <w:rFonts w:asciiTheme="majorHAnsi" w:hAnsiTheme="majorHAnsi"/>
          <w:sz w:val="22"/>
          <w:szCs w:val="22"/>
        </w:rPr>
        <w:t xml:space="preserve"> (Modificación a LOC de la CGR)</w:t>
      </w:r>
    </w:p>
    <w:p w:rsidR="0064145F" w:rsidRDefault="0064145F" w:rsidP="0064145F">
      <w:pPr>
        <w:pStyle w:val="ListParagraph"/>
        <w:spacing w:line="240" w:lineRule="auto"/>
        <w:ind w:left="284"/>
        <w:rPr>
          <w:rFonts w:asciiTheme="majorHAnsi" w:hAnsiTheme="majorHAnsi"/>
          <w:sz w:val="22"/>
          <w:szCs w:val="22"/>
        </w:rPr>
      </w:pPr>
    </w:p>
    <w:p w:rsidR="00FE0000" w:rsidRDefault="00FE0000"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Se le </w:t>
      </w:r>
      <w:r>
        <w:rPr>
          <w:rFonts w:asciiTheme="majorHAnsi" w:hAnsiTheme="majorHAnsi"/>
          <w:b/>
          <w:sz w:val="22"/>
          <w:szCs w:val="22"/>
          <w:u w:val="single"/>
        </w:rPr>
        <w:t>prohíbe</w:t>
      </w:r>
      <w:r w:rsidRPr="00FE0000">
        <w:rPr>
          <w:rFonts w:asciiTheme="majorHAnsi" w:hAnsiTheme="majorHAnsi"/>
          <w:b/>
          <w:sz w:val="22"/>
          <w:szCs w:val="22"/>
          <w:u w:val="single"/>
        </w:rPr>
        <w:t xml:space="preserve"> a los abogados</w:t>
      </w:r>
      <w:r>
        <w:rPr>
          <w:rFonts w:asciiTheme="majorHAnsi" w:hAnsiTheme="majorHAnsi"/>
          <w:sz w:val="22"/>
          <w:szCs w:val="22"/>
        </w:rPr>
        <w:t xml:space="preserve"> que se retiren de algún Servicio de la Administración del Estado, efectuar presentaciones ante la CGR representando intereses de terceros en contra del Servicio o Institución a la que pertenecía, durante un año desde su retiro, en los asuntos que conoció en razón de sus funciones.</w:t>
      </w:r>
    </w:p>
    <w:p w:rsidR="0064145F" w:rsidRPr="0064145F" w:rsidRDefault="0064145F" w:rsidP="0064145F">
      <w:pPr>
        <w:spacing w:line="240" w:lineRule="auto"/>
        <w:rPr>
          <w:rFonts w:asciiTheme="majorHAnsi" w:hAnsiTheme="majorHAnsi"/>
          <w:sz w:val="22"/>
          <w:szCs w:val="22"/>
        </w:rPr>
      </w:pPr>
    </w:p>
    <w:p w:rsidR="00CD3B52" w:rsidRDefault="00E221F9" w:rsidP="004866C1">
      <w:pPr>
        <w:pStyle w:val="ListParagraph"/>
        <w:numPr>
          <w:ilvl w:val="0"/>
          <w:numId w:val="5"/>
        </w:numPr>
        <w:spacing w:line="240" w:lineRule="auto"/>
        <w:rPr>
          <w:rFonts w:asciiTheme="majorHAnsi" w:hAnsiTheme="majorHAnsi"/>
          <w:sz w:val="22"/>
          <w:szCs w:val="22"/>
        </w:rPr>
      </w:pPr>
      <w:r>
        <w:rPr>
          <w:rFonts w:asciiTheme="majorHAnsi" w:hAnsiTheme="majorHAnsi"/>
          <w:b/>
          <w:szCs w:val="24"/>
          <w:u w:val="single"/>
        </w:rPr>
        <w:t>Modificación a L</w:t>
      </w:r>
      <w:r w:rsidR="00CD3B52" w:rsidRPr="00CD3B52">
        <w:rPr>
          <w:rFonts w:asciiTheme="majorHAnsi" w:hAnsiTheme="majorHAnsi"/>
          <w:b/>
          <w:szCs w:val="24"/>
          <w:u w:val="single"/>
        </w:rPr>
        <w:t>ey de Contrataciones Públicas</w:t>
      </w:r>
      <w:r w:rsidR="00CD3B52">
        <w:rPr>
          <w:rFonts w:asciiTheme="majorHAnsi" w:hAnsiTheme="majorHAnsi"/>
          <w:sz w:val="22"/>
          <w:szCs w:val="22"/>
        </w:rPr>
        <w:t>:</w:t>
      </w:r>
    </w:p>
    <w:p w:rsidR="0064145F" w:rsidRPr="00CD3B52" w:rsidRDefault="0064145F" w:rsidP="0064145F">
      <w:pPr>
        <w:pStyle w:val="ListParagraph"/>
        <w:spacing w:line="240" w:lineRule="auto"/>
        <w:rPr>
          <w:rFonts w:asciiTheme="majorHAnsi" w:hAnsiTheme="majorHAnsi"/>
          <w:sz w:val="22"/>
          <w:szCs w:val="22"/>
        </w:rPr>
      </w:pPr>
    </w:p>
    <w:p w:rsidR="00FE0000" w:rsidRDefault="00FE0000"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Se </w:t>
      </w:r>
      <w:r w:rsidRPr="00FE0000">
        <w:rPr>
          <w:rFonts w:asciiTheme="majorHAnsi" w:hAnsiTheme="majorHAnsi"/>
          <w:b/>
          <w:sz w:val="22"/>
          <w:szCs w:val="22"/>
          <w:u w:val="single"/>
        </w:rPr>
        <w:t>prohíbe a las empresas y a los órganos de la Administración del Estado</w:t>
      </w:r>
      <w:r w:rsidR="00A75E38" w:rsidRPr="00A75E38">
        <w:rPr>
          <w:rFonts w:asciiTheme="majorHAnsi" w:hAnsiTheme="majorHAnsi"/>
          <w:b/>
          <w:sz w:val="22"/>
          <w:szCs w:val="22"/>
          <w:u w:val="single"/>
        </w:rPr>
        <w:t xml:space="preserve"> suscribir contratos</w:t>
      </w:r>
      <w:r w:rsidR="00A75E38">
        <w:rPr>
          <w:rFonts w:asciiTheme="majorHAnsi" w:hAnsiTheme="majorHAnsi"/>
          <w:sz w:val="22"/>
          <w:szCs w:val="22"/>
        </w:rPr>
        <w:t xml:space="preserve"> de provisión de bienes o servicios con los directivos del mismo órgano, ni con sus cónyuges, convivientes civiles o parientes, ni con las sociedades en que estas formen parte</w:t>
      </w:r>
      <w:r>
        <w:rPr>
          <w:rFonts w:asciiTheme="majorHAnsi" w:hAnsiTheme="majorHAnsi"/>
          <w:sz w:val="22"/>
          <w:szCs w:val="22"/>
        </w:rPr>
        <w:t>.</w:t>
      </w:r>
    </w:p>
    <w:p w:rsidR="00E221F9" w:rsidRDefault="00E221F9" w:rsidP="004866C1">
      <w:pPr>
        <w:pStyle w:val="ListParagraph"/>
        <w:spacing w:line="240" w:lineRule="auto"/>
        <w:ind w:left="284"/>
        <w:rPr>
          <w:rFonts w:asciiTheme="majorHAnsi" w:hAnsiTheme="majorHAnsi"/>
          <w:sz w:val="22"/>
          <w:szCs w:val="22"/>
        </w:rPr>
      </w:pPr>
    </w:p>
    <w:p w:rsidR="00E221F9" w:rsidRDefault="00E221F9" w:rsidP="0064145F">
      <w:pPr>
        <w:pStyle w:val="ListParagraph"/>
        <w:numPr>
          <w:ilvl w:val="0"/>
          <w:numId w:val="5"/>
        </w:numPr>
        <w:spacing w:line="240" w:lineRule="auto"/>
        <w:rPr>
          <w:rFonts w:asciiTheme="majorHAnsi" w:hAnsiTheme="majorHAnsi"/>
          <w:sz w:val="22"/>
          <w:szCs w:val="22"/>
        </w:rPr>
      </w:pPr>
      <w:r w:rsidRPr="00E221F9">
        <w:rPr>
          <w:rFonts w:asciiTheme="majorHAnsi" w:hAnsiTheme="majorHAnsi"/>
          <w:b/>
          <w:szCs w:val="24"/>
          <w:u w:val="single"/>
        </w:rPr>
        <w:t>Modificaciones a la Ley Orgánica del Congreso Nacional</w:t>
      </w:r>
      <w:r>
        <w:rPr>
          <w:rFonts w:asciiTheme="majorHAnsi" w:hAnsiTheme="majorHAnsi"/>
          <w:sz w:val="22"/>
          <w:szCs w:val="22"/>
        </w:rPr>
        <w:t>:</w:t>
      </w:r>
    </w:p>
    <w:p w:rsidR="0064145F" w:rsidRDefault="0064145F" w:rsidP="0064145F">
      <w:pPr>
        <w:pStyle w:val="ListParagraph"/>
        <w:spacing w:line="240" w:lineRule="auto"/>
        <w:rPr>
          <w:rFonts w:asciiTheme="majorHAnsi" w:hAnsiTheme="majorHAnsi"/>
          <w:sz w:val="22"/>
          <w:szCs w:val="22"/>
        </w:rPr>
      </w:pPr>
    </w:p>
    <w:p w:rsidR="00CD3B52" w:rsidRDefault="00CD3B52" w:rsidP="004866C1">
      <w:pPr>
        <w:pStyle w:val="ListParagraph"/>
        <w:numPr>
          <w:ilvl w:val="0"/>
          <w:numId w:val="1"/>
        </w:numPr>
        <w:spacing w:line="240" w:lineRule="auto"/>
        <w:ind w:left="284"/>
        <w:rPr>
          <w:rFonts w:asciiTheme="majorHAnsi" w:hAnsiTheme="majorHAnsi"/>
          <w:sz w:val="22"/>
          <w:szCs w:val="22"/>
        </w:rPr>
      </w:pPr>
      <w:r w:rsidRPr="00CD3B52">
        <w:rPr>
          <w:rFonts w:asciiTheme="majorHAnsi" w:hAnsiTheme="majorHAnsi"/>
          <w:b/>
          <w:sz w:val="22"/>
          <w:szCs w:val="22"/>
          <w:u w:val="single"/>
        </w:rPr>
        <w:t>Prohibición de desempeñar funciones en el Congreso</w:t>
      </w:r>
      <w:r>
        <w:rPr>
          <w:rFonts w:asciiTheme="majorHAnsi" w:hAnsiTheme="majorHAnsi"/>
          <w:sz w:val="22"/>
          <w:szCs w:val="22"/>
        </w:rPr>
        <w:t xml:space="preserve"> (Senado, Cámara, </w:t>
      </w:r>
      <w:r w:rsidR="00E221F9">
        <w:rPr>
          <w:rFonts w:asciiTheme="majorHAnsi" w:hAnsiTheme="majorHAnsi"/>
          <w:sz w:val="22"/>
          <w:szCs w:val="22"/>
        </w:rPr>
        <w:t>Biblioteca</w:t>
      </w:r>
      <w:r>
        <w:rPr>
          <w:rFonts w:asciiTheme="majorHAnsi" w:hAnsiTheme="majorHAnsi"/>
          <w:sz w:val="22"/>
          <w:szCs w:val="22"/>
        </w:rPr>
        <w:t xml:space="preserve"> Nacional, etc</w:t>
      </w:r>
      <w:r w:rsidR="00312873">
        <w:rPr>
          <w:rFonts w:asciiTheme="majorHAnsi" w:hAnsiTheme="majorHAnsi"/>
          <w:sz w:val="22"/>
          <w:szCs w:val="22"/>
        </w:rPr>
        <w:t>.</w:t>
      </w:r>
      <w:r>
        <w:rPr>
          <w:rFonts w:asciiTheme="majorHAnsi" w:hAnsiTheme="majorHAnsi"/>
          <w:sz w:val="22"/>
          <w:szCs w:val="22"/>
        </w:rPr>
        <w:t>) a las personas casad</w:t>
      </w:r>
      <w:r w:rsidR="00312873">
        <w:rPr>
          <w:rFonts w:asciiTheme="majorHAnsi" w:hAnsiTheme="majorHAnsi"/>
          <w:sz w:val="22"/>
          <w:szCs w:val="22"/>
        </w:rPr>
        <w:t xml:space="preserve">as, convivientes civiles o parientes (3ero consanguinidad y 2do de afinidad) de senadores, diputados, secretarios, o con quien intervenga en su nombramiento. </w:t>
      </w:r>
    </w:p>
    <w:p w:rsidR="0064145F" w:rsidRDefault="0064145F" w:rsidP="0064145F">
      <w:pPr>
        <w:pStyle w:val="ListParagraph"/>
        <w:spacing w:line="240" w:lineRule="auto"/>
        <w:ind w:left="284"/>
        <w:rPr>
          <w:rFonts w:asciiTheme="majorHAnsi" w:hAnsiTheme="majorHAnsi"/>
          <w:sz w:val="22"/>
          <w:szCs w:val="22"/>
        </w:rPr>
      </w:pPr>
    </w:p>
    <w:p w:rsidR="00312873" w:rsidRDefault="00312873" w:rsidP="004866C1">
      <w:pPr>
        <w:pStyle w:val="ListParagraph"/>
        <w:numPr>
          <w:ilvl w:val="0"/>
          <w:numId w:val="1"/>
        </w:numPr>
        <w:spacing w:line="240" w:lineRule="auto"/>
        <w:ind w:left="284"/>
        <w:rPr>
          <w:rFonts w:asciiTheme="majorHAnsi" w:hAnsiTheme="majorHAnsi"/>
          <w:sz w:val="22"/>
          <w:szCs w:val="22"/>
        </w:rPr>
      </w:pPr>
      <w:r w:rsidRPr="00312873">
        <w:rPr>
          <w:rFonts w:asciiTheme="majorHAnsi" w:hAnsiTheme="majorHAnsi"/>
          <w:b/>
          <w:sz w:val="22"/>
          <w:szCs w:val="22"/>
          <w:u w:val="single"/>
        </w:rPr>
        <w:t>Prohibición a parlamentarios de intervenir ni votar</w:t>
      </w:r>
      <w:r>
        <w:rPr>
          <w:rFonts w:asciiTheme="majorHAnsi" w:hAnsiTheme="majorHAnsi"/>
          <w:sz w:val="22"/>
          <w:szCs w:val="22"/>
        </w:rPr>
        <w:t xml:space="preserve"> en asuntos que los afecte a ellos, sus cónyuges, convivientes civiles, o parientes. Para esto, los parlamentarios pueden consultar a la Comisión de Ética respectiva sobre eventuales inhabilidades que les afecten (consultas no suspenderán tramitación de los proyectos). La infracción a esta prohibición será sancionada por la Comisión de Ética respectiva.</w:t>
      </w:r>
    </w:p>
    <w:p w:rsidR="0064145F" w:rsidRPr="0064145F" w:rsidRDefault="0064145F" w:rsidP="0064145F">
      <w:pPr>
        <w:spacing w:line="240" w:lineRule="auto"/>
        <w:rPr>
          <w:rFonts w:asciiTheme="majorHAnsi" w:hAnsiTheme="majorHAnsi"/>
          <w:sz w:val="22"/>
          <w:szCs w:val="22"/>
        </w:rPr>
      </w:pPr>
    </w:p>
    <w:p w:rsidR="00312873" w:rsidRDefault="00312873" w:rsidP="004866C1">
      <w:pPr>
        <w:pStyle w:val="ListParagraph"/>
        <w:numPr>
          <w:ilvl w:val="0"/>
          <w:numId w:val="1"/>
        </w:numPr>
        <w:spacing w:line="240" w:lineRule="auto"/>
        <w:ind w:left="284"/>
        <w:rPr>
          <w:rFonts w:asciiTheme="majorHAnsi" w:hAnsiTheme="majorHAnsi"/>
          <w:sz w:val="22"/>
          <w:szCs w:val="22"/>
        </w:rPr>
      </w:pPr>
      <w:r>
        <w:rPr>
          <w:rFonts w:asciiTheme="majorHAnsi" w:hAnsiTheme="majorHAnsi"/>
          <w:sz w:val="22"/>
          <w:szCs w:val="22"/>
        </w:rPr>
        <w:t xml:space="preserve">Se les </w:t>
      </w:r>
      <w:r w:rsidRPr="00E221F9">
        <w:rPr>
          <w:rFonts w:asciiTheme="majorHAnsi" w:hAnsiTheme="majorHAnsi"/>
          <w:b/>
          <w:sz w:val="22"/>
          <w:szCs w:val="22"/>
          <w:u w:val="single"/>
        </w:rPr>
        <w:t>prohíbe a parlamentarios recibir remuneraciones ni honorarios diversos</w:t>
      </w:r>
      <w:r>
        <w:rPr>
          <w:rFonts w:asciiTheme="majorHAnsi" w:hAnsiTheme="majorHAnsi"/>
          <w:sz w:val="22"/>
          <w:szCs w:val="22"/>
        </w:rPr>
        <w:t xml:space="preserve"> a la dieta parlamentaria </w:t>
      </w:r>
      <w:r w:rsidR="00E221F9">
        <w:rPr>
          <w:rFonts w:asciiTheme="majorHAnsi" w:hAnsiTheme="majorHAnsi"/>
          <w:sz w:val="22"/>
          <w:szCs w:val="22"/>
        </w:rPr>
        <w:t>(salvo las provenientes de labores docentes). A su vez que se prohíbe destinar las asignaciones a sus cónyuges, convivientes civiles, parientes (3er y 2do grado) y funcionarios de categorías A, B y C de ambas Corporaciones o de planta de la Biblioteca.</w:t>
      </w:r>
    </w:p>
    <w:p w:rsidR="00A75420" w:rsidRPr="00FE0000" w:rsidRDefault="00A75420" w:rsidP="004866C1">
      <w:pPr>
        <w:widowControl w:val="0"/>
        <w:tabs>
          <w:tab w:val="left" w:pos="2835"/>
        </w:tabs>
        <w:spacing w:line="240" w:lineRule="auto"/>
        <w:rPr>
          <w:rFonts w:cs="Arial"/>
          <w:bCs/>
        </w:rPr>
      </w:pPr>
    </w:p>
    <w:p w:rsidR="00E221F9" w:rsidRPr="00F17319" w:rsidRDefault="00E221F9" w:rsidP="00F17319">
      <w:pPr>
        <w:pStyle w:val="ListParagraph"/>
        <w:widowControl w:val="0"/>
        <w:numPr>
          <w:ilvl w:val="0"/>
          <w:numId w:val="7"/>
        </w:numPr>
        <w:tabs>
          <w:tab w:val="left" w:pos="2835"/>
        </w:tabs>
        <w:spacing w:line="240" w:lineRule="auto"/>
        <w:rPr>
          <w:rFonts w:asciiTheme="majorHAnsi" w:hAnsiTheme="majorHAnsi" w:cs="Arial"/>
          <w:b/>
          <w:bCs/>
        </w:rPr>
      </w:pPr>
      <w:r w:rsidRPr="00F17319">
        <w:rPr>
          <w:rFonts w:asciiTheme="majorHAnsi" w:hAnsiTheme="majorHAnsi" w:cs="Arial"/>
          <w:b/>
          <w:bCs/>
          <w:u w:val="single"/>
        </w:rPr>
        <w:t>Comentarios</w:t>
      </w:r>
      <w:r w:rsidRPr="00F17319">
        <w:rPr>
          <w:rFonts w:asciiTheme="majorHAnsi" w:hAnsiTheme="majorHAnsi" w:cs="Arial"/>
          <w:b/>
          <w:bCs/>
        </w:rPr>
        <w:t xml:space="preserve">: </w:t>
      </w:r>
    </w:p>
    <w:p w:rsidR="00E221F9" w:rsidRDefault="00E221F9" w:rsidP="00F17319">
      <w:pPr>
        <w:widowControl w:val="0"/>
        <w:tabs>
          <w:tab w:val="left" w:pos="2835"/>
        </w:tabs>
        <w:spacing w:line="240" w:lineRule="auto"/>
        <w:rPr>
          <w:rFonts w:asciiTheme="majorHAnsi" w:hAnsiTheme="majorHAnsi" w:cs="Arial"/>
          <w:b/>
          <w:bCs/>
        </w:rPr>
      </w:pPr>
    </w:p>
    <w:p w:rsidR="0064145F" w:rsidRDefault="00E221F9" w:rsidP="0064145F">
      <w:pPr>
        <w:widowControl w:val="0"/>
        <w:tabs>
          <w:tab w:val="left" w:pos="2835"/>
        </w:tabs>
        <w:spacing w:line="240" w:lineRule="auto"/>
        <w:rPr>
          <w:rFonts w:asciiTheme="majorHAnsi" w:hAnsiTheme="majorHAnsi" w:cs="Arial"/>
          <w:bCs/>
          <w:sz w:val="22"/>
          <w:szCs w:val="22"/>
        </w:rPr>
      </w:pPr>
      <w:r w:rsidRPr="0064145F">
        <w:rPr>
          <w:rFonts w:asciiTheme="majorHAnsi" w:hAnsiTheme="majorHAnsi" w:cs="Arial"/>
          <w:bCs/>
          <w:sz w:val="22"/>
          <w:szCs w:val="22"/>
        </w:rPr>
        <w:t>En general el proyecto de ley es muy positivo y recoge una serie de propuestas de distintas iniciativas legales se habían propuesto anteriormente, y que</w:t>
      </w:r>
      <w:r w:rsidR="0064145F" w:rsidRPr="0064145F">
        <w:rPr>
          <w:rFonts w:asciiTheme="majorHAnsi" w:hAnsiTheme="majorHAnsi" w:cs="Arial"/>
          <w:bCs/>
          <w:sz w:val="22"/>
          <w:szCs w:val="22"/>
        </w:rPr>
        <w:t xml:space="preserve"> avanzan</w:t>
      </w:r>
      <w:r w:rsidRPr="0064145F">
        <w:rPr>
          <w:rFonts w:asciiTheme="majorHAnsi" w:hAnsiTheme="majorHAnsi" w:cs="Arial"/>
          <w:bCs/>
          <w:sz w:val="22"/>
          <w:szCs w:val="22"/>
        </w:rPr>
        <w:t xml:space="preserve"> en el sentido correcto. </w:t>
      </w:r>
      <w:r w:rsidR="0064145F" w:rsidRPr="0064145F">
        <w:rPr>
          <w:rFonts w:asciiTheme="majorHAnsi" w:hAnsiTheme="majorHAnsi" w:cs="Arial"/>
          <w:bCs/>
          <w:sz w:val="22"/>
          <w:szCs w:val="22"/>
        </w:rPr>
        <w:t>Sin</w:t>
      </w:r>
      <w:r w:rsidR="0064145F">
        <w:rPr>
          <w:rFonts w:asciiTheme="majorHAnsi" w:hAnsiTheme="majorHAnsi" w:cs="Arial"/>
          <w:bCs/>
          <w:sz w:val="22"/>
          <w:szCs w:val="22"/>
        </w:rPr>
        <w:t xml:space="preserve"> embargo, existen una serie de aspectos que deben subsanarse para abordar correctamente el desafío de la integridad y probidad pública:</w:t>
      </w:r>
    </w:p>
    <w:p w:rsidR="0064145F" w:rsidRDefault="0064145F" w:rsidP="0064145F">
      <w:pPr>
        <w:widowControl w:val="0"/>
        <w:tabs>
          <w:tab w:val="left" w:pos="2835"/>
        </w:tabs>
        <w:spacing w:line="240" w:lineRule="auto"/>
        <w:rPr>
          <w:rFonts w:asciiTheme="majorHAnsi" w:hAnsiTheme="majorHAnsi" w:cs="Arial"/>
          <w:bCs/>
          <w:sz w:val="22"/>
          <w:szCs w:val="22"/>
        </w:rPr>
      </w:pPr>
    </w:p>
    <w:p w:rsidR="00FA3FF4" w:rsidRDefault="0064145F" w:rsidP="00FA3FF4">
      <w:pPr>
        <w:pStyle w:val="ListParagraph"/>
        <w:widowControl w:val="0"/>
        <w:numPr>
          <w:ilvl w:val="0"/>
          <w:numId w:val="8"/>
        </w:numPr>
        <w:tabs>
          <w:tab w:val="left" w:pos="2835"/>
        </w:tabs>
        <w:spacing w:line="240" w:lineRule="auto"/>
        <w:ind w:left="426"/>
        <w:rPr>
          <w:rFonts w:asciiTheme="majorHAnsi" w:hAnsiTheme="majorHAnsi" w:cs="Arial"/>
          <w:bCs/>
          <w:sz w:val="22"/>
          <w:szCs w:val="22"/>
        </w:rPr>
      </w:pPr>
      <w:r w:rsidRPr="001F248E">
        <w:rPr>
          <w:rFonts w:asciiTheme="majorHAnsi" w:hAnsiTheme="majorHAnsi" w:cs="Arial"/>
          <w:bCs/>
          <w:sz w:val="22"/>
          <w:szCs w:val="22"/>
        </w:rPr>
        <w:t xml:space="preserve">Cabe cuestionarse </w:t>
      </w:r>
      <w:r w:rsidRPr="001F248E">
        <w:rPr>
          <w:rFonts w:asciiTheme="majorHAnsi" w:hAnsiTheme="majorHAnsi" w:cs="Arial"/>
          <w:bCs/>
          <w:sz w:val="22"/>
          <w:szCs w:val="22"/>
          <w:u w:val="single"/>
        </w:rPr>
        <w:t>cuál es verdaderamente el rol que tendrá el informe</w:t>
      </w:r>
      <w:r w:rsidRPr="001F248E">
        <w:rPr>
          <w:rFonts w:asciiTheme="majorHAnsi" w:hAnsiTheme="majorHAnsi" w:cs="Arial"/>
          <w:bCs/>
          <w:sz w:val="22"/>
          <w:szCs w:val="22"/>
        </w:rPr>
        <w:t xml:space="preserve"> que se debe solicitar a la Dirección Nacional del Servicio Civil para las contrataciones de parientes de ciertas autoridades en la Administración del Estado. Esto ya que al no ser vinculante el resultado del informe, se podría proceder de todas formas con el nombramiento respectivo, por lo que surge la pregunta de si deberá o no la CGR to</w:t>
      </w:r>
      <w:r w:rsidR="001F248E" w:rsidRPr="001F248E">
        <w:rPr>
          <w:rFonts w:asciiTheme="majorHAnsi" w:hAnsiTheme="majorHAnsi" w:cs="Arial"/>
          <w:bCs/>
          <w:sz w:val="22"/>
          <w:szCs w:val="22"/>
        </w:rPr>
        <w:t>mar razón de dicho nombramiento.</w:t>
      </w:r>
      <w:r w:rsidR="00FA3FF4">
        <w:rPr>
          <w:rFonts w:asciiTheme="majorHAnsi" w:hAnsiTheme="majorHAnsi" w:cs="Arial"/>
          <w:bCs/>
          <w:sz w:val="22"/>
          <w:szCs w:val="22"/>
        </w:rPr>
        <w:t xml:space="preserve"> </w:t>
      </w:r>
    </w:p>
    <w:p w:rsidR="00FA3FF4" w:rsidRDefault="00FA3FF4" w:rsidP="00FA3FF4">
      <w:pPr>
        <w:pStyle w:val="ListParagraph"/>
        <w:widowControl w:val="0"/>
        <w:tabs>
          <w:tab w:val="left" w:pos="2835"/>
        </w:tabs>
        <w:spacing w:line="240" w:lineRule="auto"/>
        <w:ind w:left="426"/>
        <w:rPr>
          <w:rFonts w:asciiTheme="majorHAnsi" w:hAnsiTheme="majorHAnsi" w:cs="Arial"/>
          <w:bCs/>
          <w:sz w:val="22"/>
          <w:szCs w:val="22"/>
        </w:rPr>
      </w:pPr>
    </w:p>
    <w:p w:rsidR="00FA3FF4" w:rsidRDefault="001F248E" w:rsidP="00FA3FF4">
      <w:pPr>
        <w:pStyle w:val="ListParagraph"/>
        <w:widowControl w:val="0"/>
        <w:tabs>
          <w:tab w:val="left" w:pos="2835"/>
        </w:tabs>
        <w:spacing w:line="240" w:lineRule="auto"/>
        <w:ind w:left="426"/>
        <w:rPr>
          <w:rFonts w:asciiTheme="majorHAnsi" w:hAnsiTheme="majorHAnsi" w:cs="Arial"/>
          <w:bCs/>
          <w:sz w:val="22"/>
          <w:szCs w:val="22"/>
        </w:rPr>
      </w:pPr>
      <w:r w:rsidRPr="00FA3FF4">
        <w:rPr>
          <w:rFonts w:asciiTheme="majorHAnsi" w:hAnsiTheme="majorHAnsi" w:cs="Arial"/>
          <w:bCs/>
          <w:sz w:val="22"/>
          <w:szCs w:val="22"/>
        </w:rPr>
        <w:t>En la misma línea, hay quienes han hecho ver la necesidad de que dicho informe sea público para efectos de una mayor fiscalización por parte de la ciudadanía.</w:t>
      </w:r>
      <w:r w:rsidR="00FA3FF4" w:rsidRPr="00FA3FF4">
        <w:rPr>
          <w:rFonts w:asciiTheme="majorHAnsi" w:hAnsiTheme="majorHAnsi" w:cs="Arial"/>
          <w:bCs/>
          <w:sz w:val="22"/>
          <w:szCs w:val="22"/>
        </w:rPr>
        <w:t>-</w:t>
      </w:r>
      <w:r w:rsidRPr="00FA3FF4">
        <w:rPr>
          <w:rFonts w:asciiTheme="majorHAnsi" w:hAnsiTheme="majorHAnsi" w:cs="Arial"/>
          <w:bCs/>
          <w:sz w:val="22"/>
          <w:szCs w:val="22"/>
        </w:rPr>
        <w:t xml:space="preserve">Sin embargo, quizás el punto más problemático en torno a dicho informe, es que no se establecen con claridad los criterios y elementos a considerar al momento de su elaboración. ¿Cuándo se </w:t>
      </w:r>
      <w:r w:rsidR="00FA3FF4" w:rsidRPr="00FA3FF4">
        <w:rPr>
          <w:rFonts w:asciiTheme="majorHAnsi" w:hAnsiTheme="majorHAnsi" w:cs="Arial"/>
          <w:bCs/>
          <w:sz w:val="22"/>
          <w:szCs w:val="22"/>
        </w:rPr>
        <w:t>podrá considerar</w:t>
      </w:r>
      <w:r w:rsidRPr="00FA3FF4">
        <w:rPr>
          <w:rFonts w:asciiTheme="majorHAnsi" w:hAnsiTheme="majorHAnsi" w:cs="Arial"/>
          <w:bCs/>
          <w:sz w:val="22"/>
          <w:szCs w:val="22"/>
        </w:rPr>
        <w:t xml:space="preserve"> que un sujeto cumple con las condiciones de “integridad pública” requeridas? </w:t>
      </w:r>
      <w:r w:rsidR="00FA3FF4" w:rsidRPr="00FA3FF4">
        <w:rPr>
          <w:rFonts w:asciiTheme="majorHAnsi" w:hAnsiTheme="majorHAnsi" w:cs="Arial"/>
          <w:bCs/>
          <w:sz w:val="22"/>
          <w:szCs w:val="22"/>
        </w:rPr>
        <w:t>¿Cuándo se podrá considerar que un sujeto cumple con el mérito y capacidades suficientes para el cargo que se le postula</w:t>
      </w:r>
      <w:r w:rsidRPr="00FA3FF4">
        <w:rPr>
          <w:rFonts w:asciiTheme="majorHAnsi" w:hAnsiTheme="majorHAnsi" w:cs="Arial"/>
          <w:bCs/>
          <w:sz w:val="22"/>
          <w:szCs w:val="22"/>
        </w:rPr>
        <w:t>?</w:t>
      </w:r>
      <w:r w:rsidR="00FA3FF4">
        <w:rPr>
          <w:rFonts w:asciiTheme="majorHAnsi" w:hAnsiTheme="majorHAnsi" w:cs="Arial"/>
          <w:bCs/>
          <w:sz w:val="22"/>
          <w:szCs w:val="22"/>
        </w:rPr>
        <w:t xml:space="preserve"> </w:t>
      </w:r>
    </w:p>
    <w:p w:rsidR="00FA3FF4" w:rsidRDefault="00FA3FF4" w:rsidP="00FA3FF4">
      <w:pPr>
        <w:pStyle w:val="ListParagraph"/>
        <w:widowControl w:val="0"/>
        <w:tabs>
          <w:tab w:val="left" w:pos="2835"/>
        </w:tabs>
        <w:spacing w:line="240" w:lineRule="auto"/>
        <w:ind w:left="426"/>
        <w:rPr>
          <w:rFonts w:asciiTheme="majorHAnsi" w:hAnsiTheme="majorHAnsi" w:cs="Arial"/>
          <w:bCs/>
          <w:sz w:val="22"/>
          <w:szCs w:val="22"/>
        </w:rPr>
      </w:pPr>
    </w:p>
    <w:p w:rsidR="00FA3FF4" w:rsidRDefault="00FA3FF4" w:rsidP="00FA3FF4">
      <w:pPr>
        <w:pStyle w:val="ListParagraph"/>
        <w:widowControl w:val="0"/>
        <w:tabs>
          <w:tab w:val="left" w:pos="2835"/>
        </w:tabs>
        <w:spacing w:line="240" w:lineRule="auto"/>
        <w:ind w:left="426"/>
        <w:rPr>
          <w:rFonts w:asciiTheme="majorHAnsi" w:hAnsiTheme="majorHAnsi" w:cs="Arial"/>
          <w:bCs/>
          <w:sz w:val="22"/>
          <w:szCs w:val="22"/>
        </w:rPr>
      </w:pPr>
      <w:r w:rsidRPr="00FA3FF4">
        <w:rPr>
          <w:rFonts w:asciiTheme="majorHAnsi" w:hAnsiTheme="majorHAnsi" w:cs="Arial"/>
          <w:bCs/>
          <w:sz w:val="22"/>
          <w:szCs w:val="22"/>
        </w:rPr>
        <w:t>Por último, cabe señalar que el informe propuesto lo realizaría la Dirección Nacional del Servicio Civil, lo que parece discutible, toda vez que su director es elegido directamente por el Presidente de la República, y su Consejo es elegido también por el Presidente con acuerdo del Senado.</w:t>
      </w:r>
    </w:p>
    <w:p w:rsidR="00FA3FF4" w:rsidRDefault="00FA3FF4" w:rsidP="00FA3FF4">
      <w:pPr>
        <w:pStyle w:val="ListParagraph"/>
        <w:widowControl w:val="0"/>
        <w:tabs>
          <w:tab w:val="left" w:pos="2835"/>
        </w:tabs>
        <w:spacing w:line="240" w:lineRule="auto"/>
        <w:rPr>
          <w:rFonts w:asciiTheme="majorHAnsi" w:hAnsiTheme="majorHAnsi" w:cs="Arial"/>
          <w:bCs/>
          <w:sz w:val="22"/>
          <w:szCs w:val="22"/>
        </w:rPr>
      </w:pPr>
    </w:p>
    <w:p w:rsidR="00FA3FF4" w:rsidRDefault="00FA3FF4" w:rsidP="00707264">
      <w:pPr>
        <w:pStyle w:val="ListParagraph"/>
        <w:widowControl w:val="0"/>
        <w:numPr>
          <w:ilvl w:val="0"/>
          <w:numId w:val="8"/>
        </w:numPr>
        <w:tabs>
          <w:tab w:val="left" w:pos="2835"/>
        </w:tabs>
        <w:spacing w:line="240" w:lineRule="auto"/>
        <w:ind w:left="426"/>
        <w:rPr>
          <w:rFonts w:asciiTheme="majorHAnsi" w:hAnsiTheme="majorHAnsi" w:cs="Arial"/>
          <w:bCs/>
          <w:sz w:val="22"/>
          <w:szCs w:val="22"/>
        </w:rPr>
      </w:pPr>
      <w:r>
        <w:rPr>
          <w:rFonts w:asciiTheme="majorHAnsi" w:hAnsiTheme="majorHAnsi" w:cs="Arial"/>
          <w:bCs/>
          <w:sz w:val="22"/>
          <w:szCs w:val="22"/>
        </w:rPr>
        <w:t>Por otro lado, hay quienes</w:t>
      </w:r>
      <w:r w:rsidR="00707264">
        <w:rPr>
          <w:rFonts w:asciiTheme="majorHAnsi" w:hAnsiTheme="majorHAnsi" w:cs="Arial"/>
          <w:bCs/>
          <w:sz w:val="22"/>
          <w:szCs w:val="22"/>
        </w:rPr>
        <w:t xml:space="preserve"> cuestionan la fuerte prohibición que se establece a los lobistas inscritos para desempeñarse en cargos de función pública. Esto debido a que </w:t>
      </w:r>
      <w:r w:rsidR="00707264" w:rsidRPr="00015453">
        <w:rPr>
          <w:rFonts w:asciiTheme="majorHAnsi" w:hAnsiTheme="majorHAnsi" w:cs="Arial"/>
          <w:bCs/>
          <w:sz w:val="22"/>
          <w:szCs w:val="22"/>
          <w:u w:val="single"/>
        </w:rPr>
        <w:t>contradice el mismo propósito que tenía la ley de Lobby</w:t>
      </w:r>
      <w:r w:rsidR="00707264">
        <w:rPr>
          <w:rFonts w:asciiTheme="majorHAnsi" w:hAnsiTheme="majorHAnsi" w:cs="Arial"/>
          <w:bCs/>
          <w:sz w:val="22"/>
          <w:szCs w:val="22"/>
        </w:rPr>
        <w:t>, la cual buscaba transparentar y no demonizar la actividad de los lobistas. Con la prohibición que se est</w:t>
      </w:r>
      <w:r w:rsidR="00015453">
        <w:rPr>
          <w:rFonts w:asciiTheme="majorHAnsi" w:hAnsiTheme="majorHAnsi" w:cs="Arial"/>
          <w:bCs/>
          <w:sz w:val="22"/>
          <w:szCs w:val="22"/>
        </w:rPr>
        <w:t xml:space="preserve">ablece, se generar un fuerte </w:t>
      </w:r>
      <w:r w:rsidR="00707264">
        <w:rPr>
          <w:rFonts w:asciiTheme="majorHAnsi" w:hAnsiTheme="majorHAnsi" w:cs="Arial"/>
          <w:bCs/>
          <w:sz w:val="22"/>
          <w:szCs w:val="22"/>
        </w:rPr>
        <w:t>incentivo a</w:t>
      </w:r>
      <w:r w:rsidR="00015453">
        <w:rPr>
          <w:rFonts w:asciiTheme="majorHAnsi" w:hAnsiTheme="majorHAnsi" w:cs="Arial"/>
          <w:bCs/>
          <w:sz w:val="22"/>
          <w:szCs w:val="22"/>
        </w:rPr>
        <w:t xml:space="preserve"> que, en lugar de que se transparente dicha actividad, se opte por hacerlo por vías no oficiales de las cuales no quede registro.</w:t>
      </w:r>
    </w:p>
    <w:p w:rsidR="00015453" w:rsidRDefault="00015453" w:rsidP="00015453">
      <w:pPr>
        <w:pStyle w:val="ListParagraph"/>
        <w:widowControl w:val="0"/>
        <w:tabs>
          <w:tab w:val="left" w:pos="2835"/>
        </w:tabs>
        <w:spacing w:line="240" w:lineRule="auto"/>
        <w:ind w:left="426"/>
        <w:rPr>
          <w:rFonts w:asciiTheme="majorHAnsi" w:hAnsiTheme="majorHAnsi" w:cs="Arial"/>
          <w:bCs/>
          <w:sz w:val="22"/>
          <w:szCs w:val="22"/>
        </w:rPr>
      </w:pPr>
    </w:p>
    <w:p w:rsidR="00015453" w:rsidRDefault="00015453" w:rsidP="00707264">
      <w:pPr>
        <w:pStyle w:val="ListParagraph"/>
        <w:widowControl w:val="0"/>
        <w:numPr>
          <w:ilvl w:val="0"/>
          <w:numId w:val="8"/>
        </w:numPr>
        <w:tabs>
          <w:tab w:val="left" w:pos="2835"/>
        </w:tabs>
        <w:spacing w:line="240" w:lineRule="auto"/>
        <w:ind w:left="426"/>
        <w:rPr>
          <w:rFonts w:asciiTheme="majorHAnsi" w:hAnsiTheme="majorHAnsi" w:cs="Arial"/>
          <w:bCs/>
          <w:sz w:val="22"/>
          <w:szCs w:val="22"/>
        </w:rPr>
      </w:pPr>
      <w:r>
        <w:rPr>
          <w:rFonts w:asciiTheme="majorHAnsi" w:hAnsiTheme="majorHAnsi" w:cs="Arial"/>
          <w:bCs/>
          <w:sz w:val="22"/>
          <w:szCs w:val="22"/>
        </w:rPr>
        <w:t>Por último</w:t>
      </w:r>
      <w:r w:rsidR="003D20E9">
        <w:rPr>
          <w:rFonts w:asciiTheme="majorHAnsi" w:hAnsiTheme="majorHAnsi" w:cs="Arial"/>
          <w:bCs/>
          <w:sz w:val="22"/>
          <w:szCs w:val="22"/>
        </w:rPr>
        <w:t>,</w:t>
      </w:r>
      <w:r>
        <w:rPr>
          <w:rFonts w:asciiTheme="majorHAnsi" w:hAnsiTheme="majorHAnsi" w:cs="Arial"/>
          <w:bCs/>
          <w:sz w:val="22"/>
          <w:szCs w:val="22"/>
        </w:rPr>
        <w:t xml:space="preserve"> hay quienes señalan </w:t>
      </w:r>
      <w:r w:rsidR="00E979BF">
        <w:rPr>
          <w:rFonts w:asciiTheme="majorHAnsi" w:hAnsiTheme="majorHAnsi" w:cs="Arial"/>
          <w:bCs/>
          <w:sz w:val="22"/>
          <w:szCs w:val="22"/>
        </w:rPr>
        <w:t xml:space="preserve">que la prohibición absoluta </w:t>
      </w:r>
      <w:r w:rsidR="00D16E5C">
        <w:rPr>
          <w:rFonts w:asciiTheme="majorHAnsi" w:hAnsiTheme="majorHAnsi" w:cs="Arial"/>
          <w:bCs/>
          <w:sz w:val="22"/>
          <w:szCs w:val="22"/>
        </w:rPr>
        <w:t xml:space="preserve">de prestar servicios </w:t>
      </w:r>
      <w:r w:rsidR="003D20E9">
        <w:rPr>
          <w:rFonts w:asciiTheme="majorHAnsi" w:hAnsiTheme="majorHAnsi" w:cs="Arial"/>
          <w:bCs/>
          <w:sz w:val="22"/>
          <w:szCs w:val="22"/>
        </w:rPr>
        <w:t xml:space="preserve">en las entidades fiscalizadas para los ex funcionarios </w:t>
      </w:r>
      <w:r w:rsidR="0023443F">
        <w:rPr>
          <w:rFonts w:asciiTheme="majorHAnsi" w:hAnsiTheme="majorHAnsi" w:cs="Arial"/>
          <w:bCs/>
          <w:sz w:val="22"/>
          <w:szCs w:val="22"/>
        </w:rPr>
        <w:t>de los órganos fiscalizadores,</w:t>
      </w:r>
      <w:r w:rsidR="00D16E5C">
        <w:rPr>
          <w:rFonts w:asciiTheme="majorHAnsi" w:hAnsiTheme="majorHAnsi" w:cs="Arial"/>
          <w:bCs/>
          <w:sz w:val="22"/>
          <w:szCs w:val="22"/>
        </w:rPr>
        <w:t xml:space="preserve"> puede generar un</w:t>
      </w:r>
      <w:r w:rsidR="00D16E5C" w:rsidRPr="0023443F">
        <w:rPr>
          <w:rFonts w:asciiTheme="majorHAnsi" w:hAnsiTheme="majorHAnsi" w:cs="Arial"/>
          <w:bCs/>
          <w:sz w:val="22"/>
          <w:szCs w:val="22"/>
        </w:rPr>
        <w:t xml:space="preserve"> </w:t>
      </w:r>
      <w:r w:rsidR="00D16E5C" w:rsidRPr="0023443F">
        <w:rPr>
          <w:rFonts w:asciiTheme="majorHAnsi" w:hAnsiTheme="majorHAnsi" w:cs="Arial"/>
          <w:bCs/>
          <w:sz w:val="22"/>
          <w:szCs w:val="22"/>
          <w:u w:val="single"/>
        </w:rPr>
        <w:t>fuerte desincentivo para el involucramiento de profesionales en la función pública</w:t>
      </w:r>
      <w:r w:rsidR="00D16E5C">
        <w:rPr>
          <w:rFonts w:asciiTheme="majorHAnsi" w:hAnsiTheme="majorHAnsi" w:cs="Arial"/>
          <w:bCs/>
          <w:sz w:val="22"/>
          <w:szCs w:val="22"/>
        </w:rPr>
        <w:t>. Sobretodo tratándose de ámbitos técnicos especializados, donde no abundan profesionales expertos, la prohibición de no prestar servicios, durante todo un año desde el cese de las funciones, puede significar una fuerte restricción a la libertad de trabajo consagrada en nuestra CPR.</w:t>
      </w:r>
    </w:p>
    <w:p w:rsidR="00D16E5C" w:rsidRPr="00D16E5C" w:rsidRDefault="00D16E5C" w:rsidP="00D16E5C">
      <w:pPr>
        <w:widowControl w:val="0"/>
        <w:tabs>
          <w:tab w:val="left" w:pos="2835"/>
        </w:tabs>
        <w:spacing w:line="240" w:lineRule="auto"/>
        <w:rPr>
          <w:rFonts w:asciiTheme="majorHAnsi" w:hAnsiTheme="majorHAnsi" w:cs="Arial"/>
          <w:bCs/>
          <w:sz w:val="22"/>
          <w:szCs w:val="22"/>
        </w:rPr>
      </w:pPr>
    </w:p>
    <w:p w:rsidR="00D16E5C" w:rsidRPr="00FA3FF4" w:rsidRDefault="00D16E5C" w:rsidP="00D16E5C">
      <w:pPr>
        <w:pStyle w:val="ListParagraph"/>
        <w:widowControl w:val="0"/>
        <w:tabs>
          <w:tab w:val="left" w:pos="2835"/>
        </w:tabs>
        <w:spacing w:line="240" w:lineRule="auto"/>
        <w:ind w:left="426"/>
        <w:rPr>
          <w:rFonts w:asciiTheme="majorHAnsi" w:hAnsiTheme="majorHAnsi" w:cs="Arial"/>
          <w:bCs/>
          <w:sz w:val="22"/>
          <w:szCs w:val="22"/>
        </w:rPr>
      </w:pPr>
      <w:r>
        <w:rPr>
          <w:rFonts w:asciiTheme="majorHAnsi" w:hAnsiTheme="majorHAnsi" w:cs="Arial"/>
          <w:bCs/>
          <w:sz w:val="22"/>
          <w:szCs w:val="22"/>
        </w:rPr>
        <w:t>En otras legislac</w:t>
      </w:r>
      <w:r w:rsidR="00443BDD">
        <w:rPr>
          <w:rFonts w:asciiTheme="majorHAnsi" w:hAnsiTheme="majorHAnsi" w:cs="Arial"/>
          <w:bCs/>
          <w:sz w:val="22"/>
          <w:szCs w:val="22"/>
        </w:rPr>
        <w:t>iones incluso, reconociendo la fuerte restricción que implican prohibiciones como estas, se contemplan</w:t>
      </w:r>
      <w:r>
        <w:rPr>
          <w:rFonts w:asciiTheme="majorHAnsi" w:hAnsiTheme="majorHAnsi" w:cs="Arial"/>
          <w:bCs/>
          <w:sz w:val="22"/>
          <w:szCs w:val="22"/>
        </w:rPr>
        <w:t xml:space="preserve"> medidas compensatorias para </w:t>
      </w:r>
      <w:r w:rsidR="00443BDD">
        <w:rPr>
          <w:rFonts w:asciiTheme="majorHAnsi" w:hAnsiTheme="majorHAnsi" w:cs="Arial"/>
          <w:bCs/>
          <w:sz w:val="22"/>
          <w:szCs w:val="22"/>
        </w:rPr>
        <w:t xml:space="preserve">quienes </w:t>
      </w:r>
      <w:r>
        <w:rPr>
          <w:rFonts w:asciiTheme="majorHAnsi" w:hAnsiTheme="majorHAnsi" w:cs="Arial"/>
          <w:bCs/>
          <w:sz w:val="22"/>
          <w:szCs w:val="22"/>
        </w:rPr>
        <w:t xml:space="preserve">se ven privados de poder trabajar durante </w:t>
      </w:r>
      <w:r w:rsidR="00443BDD">
        <w:rPr>
          <w:rFonts w:asciiTheme="majorHAnsi" w:hAnsiTheme="majorHAnsi" w:cs="Arial"/>
          <w:bCs/>
          <w:sz w:val="22"/>
          <w:szCs w:val="22"/>
        </w:rPr>
        <w:t>1 año por haber trabajado en el servicio público.</w:t>
      </w:r>
    </w:p>
    <w:p w:rsidR="00E221F9" w:rsidRPr="00E221F9" w:rsidRDefault="00E221F9" w:rsidP="00443BDD">
      <w:pPr>
        <w:widowControl w:val="0"/>
        <w:tabs>
          <w:tab w:val="left" w:pos="2835"/>
        </w:tabs>
        <w:spacing w:line="240" w:lineRule="auto"/>
        <w:rPr>
          <w:rFonts w:asciiTheme="majorHAnsi" w:hAnsiTheme="majorHAnsi" w:cs="Arial"/>
          <w:b/>
          <w:bCs/>
        </w:rPr>
      </w:pPr>
    </w:p>
    <w:p w:rsidR="00F17319" w:rsidRPr="00F17319" w:rsidRDefault="00E221F9" w:rsidP="00F17319">
      <w:pPr>
        <w:pStyle w:val="ListParagraph"/>
        <w:widowControl w:val="0"/>
        <w:numPr>
          <w:ilvl w:val="0"/>
          <w:numId w:val="7"/>
        </w:numPr>
        <w:tabs>
          <w:tab w:val="left" w:pos="2835"/>
        </w:tabs>
        <w:spacing w:line="240" w:lineRule="auto"/>
        <w:rPr>
          <w:rFonts w:asciiTheme="majorHAnsi" w:hAnsiTheme="majorHAnsi" w:cs="Arial"/>
          <w:b/>
          <w:bCs/>
        </w:rPr>
      </w:pPr>
      <w:r w:rsidRPr="00F17319">
        <w:rPr>
          <w:rFonts w:asciiTheme="majorHAnsi" w:hAnsiTheme="majorHAnsi" w:cs="Arial"/>
          <w:b/>
          <w:bCs/>
          <w:u w:val="single"/>
        </w:rPr>
        <w:t>Conclusiones</w:t>
      </w:r>
      <w:r w:rsidRPr="00F17319">
        <w:rPr>
          <w:rFonts w:asciiTheme="majorHAnsi" w:hAnsiTheme="majorHAnsi" w:cs="Arial"/>
          <w:b/>
          <w:bCs/>
        </w:rPr>
        <w:t>:</w:t>
      </w:r>
    </w:p>
    <w:p w:rsidR="00572626" w:rsidRDefault="00A75420" w:rsidP="00F17319">
      <w:pPr>
        <w:pStyle w:val="ListParagraph"/>
        <w:widowControl w:val="0"/>
        <w:tabs>
          <w:tab w:val="left" w:pos="2835"/>
        </w:tabs>
        <w:spacing w:line="240" w:lineRule="auto"/>
        <w:ind w:left="1080"/>
      </w:pPr>
      <w:r w:rsidRPr="00F17319">
        <w:rPr>
          <w:rFonts w:cs="Arial"/>
          <w:bCs/>
        </w:rPr>
        <w:tab/>
      </w:r>
    </w:p>
    <w:p w:rsidR="00443BDD" w:rsidRPr="00443BDD" w:rsidRDefault="00443BDD" w:rsidP="004866C1">
      <w:pPr>
        <w:spacing w:line="240" w:lineRule="auto"/>
        <w:rPr>
          <w:rFonts w:asciiTheme="majorHAnsi" w:hAnsiTheme="majorHAnsi"/>
          <w:sz w:val="22"/>
          <w:szCs w:val="22"/>
        </w:rPr>
      </w:pPr>
      <w:r>
        <w:rPr>
          <w:rFonts w:asciiTheme="majorHAnsi" w:hAnsiTheme="majorHAnsi"/>
          <w:sz w:val="22"/>
          <w:szCs w:val="22"/>
        </w:rPr>
        <w:t>Si bien el proyecto de ley avanza en la dirección correcta, se ven muchos aspectos que deben perfec</w:t>
      </w:r>
      <w:r w:rsidR="0023443F">
        <w:rPr>
          <w:rFonts w:asciiTheme="majorHAnsi" w:hAnsiTheme="majorHAnsi"/>
          <w:sz w:val="22"/>
          <w:szCs w:val="22"/>
        </w:rPr>
        <w:t>cionarse y corregirse. Por esto</w:t>
      </w:r>
      <w:r>
        <w:rPr>
          <w:rFonts w:asciiTheme="majorHAnsi" w:hAnsiTheme="majorHAnsi"/>
          <w:sz w:val="22"/>
          <w:szCs w:val="22"/>
        </w:rPr>
        <w:t xml:space="preserve"> se aconseja aprobar en general</w:t>
      </w:r>
      <w:r w:rsidR="0023443F">
        <w:rPr>
          <w:rFonts w:asciiTheme="majorHAnsi" w:hAnsiTheme="majorHAnsi"/>
          <w:sz w:val="22"/>
          <w:szCs w:val="22"/>
        </w:rPr>
        <w:t xml:space="preserve"> el proyecto de ley, pero haciendo presente los  falencias y aspectos que deben corregirse.</w:t>
      </w:r>
    </w:p>
    <w:p w:rsidR="00A75E38" w:rsidRPr="00092624" w:rsidRDefault="00A75E38" w:rsidP="004866C1">
      <w:pPr>
        <w:widowControl w:val="0"/>
        <w:tabs>
          <w:tab w:val="left" w:pos="2835"/>
        </w:tabs>
        <w:spacing w:line="240" w:lineRule="auto"/>
        <w:rPr>
          <w:rFonts w:cs="Arial"/>
          <w:bCs/>
        </w:rPr>
      </w:pPr>
      <w:r>
        <w:rPr>
          <w:rFonts w:cs="Arial"/>
          <w:bCs/>
        </w:rPr>
        <w:tab/>
      </w:r>
    </w:p>
    <w:p w:rsidR="00572626" w:rsidRPr="00E979BF" w:rsidRDefault="00572626" w:rsidP="00E979BF">
      <w:pPr>
        <w:spacing w:line="240" w:lineRule="auto"/>
        <w:rPr>
          <w:rFonts w:asciiTheme="majorHAnsi" w:hAnsiTheme="majorHAnsi"/>
          <w:sz w:val="22"/>
          <w:szCs w:val="22"/>
        </w:rPr>
      </w:pPr>
    </w:p>
    <w:sectPr w:rsidR="00572626" w:rsidRPr="00E979BF" w:rsidSect="0057262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DD" w:rsidRDefault="00443BDD" w:rsidP="00572626">
      <w:pPr>
        <w:spacing w:line="240" w:lineRule="auto"/>
      </w:pPr>
      <w:r>
        <w:separator/>
      </w:r>
    </w:p>
  </w:endnote>
  <w:endnote w:type="continuationSeparator" w:id="0">
    <w:p w:rsidR="00443BDD" w:rsidRDefault="00443BDD" w:rsidP="00572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DD" w:rsidRDefault="00443BDD" w:rsidP="00572626">
      <w:pPr>
        <w:spacing w:line="240" w:lineRule="auto"/>
      </w:pPr>
      <w:r>
        <w:separator/>
      </w:r>
    </w:p>
  </w:footnote>
  <w:footnote w:type="continuationSeparator" w:id="0">
    <w:p w:rsidR="00443BDD" w:rsidRDefault="00443BDD" w:rsidP="005726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443BDD" w:rsidRPr="0088634D" w:rsidTr="00572626">
      <w:tc>
        <w:tcPr>
          <w:tcW w:w="1152" w:type="dxa"/>
        </w:tcPr>
        <w:p w:rsidR="00443BDD" w:rsidRPr="00572626" w:rsidRDefault="00443BDD" w:rsidP="00572626">
          <w:pPr>
            <w:pStyle w:val="Header"/>
            <w:jc w:val="right"/>
            <w:rPr>
              <w:rFonts w:asciiTheme="majorHAnsi" w:hAnsiTheme="majorHAnsi"/>
              <w:sz w:val="22"/>
              <w:szCs w:val="22"/>
            </w:rPr>
          </w:pPr>
          <w:r w:rsidRPr="00572626">
            <w:rPr>
              <w:rFonts w:asciiTheme="majorHAnsi" w:hAnsiTheme="majorHAnsi"/>
              <w:sz w:val="22"/>
              <w:szCs w:val="22"/>
            </w:rPr>
            <w:fldChar w:fldCharType="begin"/>
          </w:r>
          <w:r w:rsidRPr="00572626">
            <w:rPr>
              <w:rFonts w:asciiTheme="majorHAnsi" w:hAnsiTheme="majorHAnsi"/>
              <w:sz w:val="22"/>
              <w:szCs w:val="22"/>
            </w:rPr>
            <w:instrText xml:space="preserve"> PAGE   \* MERGEFORMAT </w:instrText>
          </w:r>
          <w:r w:rsidRPr="00572626">
            <w:rPr>
              <w:rFonts w:asciiTheme="majorHAnsi" w:hAnsiTheme="majorHAnsi"/>
              <w:sz w:val="22"/>
              <w:szCs w:val="22"/>
            </w:rPr>
            <w:fldChar w:fldCharType="separate"/>
          </w:r>
          <w:r w:rsidR="00F17319">
            <w:rPr>
              <w:rFonts w:asciiTheme="majorHAnsi" w:hAnsiTheme="majorHAnsi"/>
              <w:noProof/>
              <w:sz w:val="22"/>
              <w:szCs w:val="22"/>
            </w:rPr>
            <w:t>4</w:t>
          </w:r>
          <w:r w:rsidRPr="00572626">
            <w:rPr>
              <w:rFonts w:asciiTheme="majorHAnsi" w:hAnsiTheme="majorHAnsi"/>
              <w:sz w:val="22"/>
              <w:szCs w:val="22"/>
            </w:rPr>
            <w:fldChar w:fldCharType="end"/>
          </w:r>
        </w:p>
      </w:tc>
      <w:tc>
        <w:tcPr>
          <w:tcW w:w="0" w:type="auto"/>
          <w:noWrap/>
        </w:tcPr>
        <w:p w:rsidR="00443BDD" w:rsidRPr="00572626" w:rsidRDefault="00443BDD" w:rsidP="00572626">
          <w:pPr>
            <w:pStyle w:val="Header"/>
            <w:rPr>
              <w:rFonts w:asciiTheme="majorHAnsi" w:hAnsiTheme="majorHAnsi"/>
              <w:sz w:val="22"/>
              <w:szCs w:val="22"/>
            </w:rPr>
          </w:pPr>
        </w:p>
      </w:tc>
    </w:tr>
  </w:tbl>
  <w:p w:rsidR="00443BDD" w:rsidRDefault="00443B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DD" w:rsidRPr="00572626" w:rsidRDefault="00443BDD" w:rsidP="00572626">
    <w:pPr>
      <w:pStyle w:val="Header"/>
      <w:jc w:val="right"/>
      <w:rPr>
        <w:rFonts w:asciiTheme="majorHAnsi" w:hAnsiTheme="majorHAnsi" w:cs="Arial"/>
        <w:sz w:val="22"/>
        <w:szCs w:val="22"/>
      </w:rPr>
    </w:pPr>
    <w:r w:rsidRPr="00572626">
      <w:rPr>
        <w:rFonts w:asciiTheme="majorHAnsi" w:hAnsiTheme="majorHAnsi" w:cs="Arial"/>
        <w:sz w:val="22"/>
        <w:szCs w:val="22"/>
      </w:rPr>
      <w:t>Juan Carlos Gazmuri</w:t>
    </w:r>
  </w:p>
  <w:p w:rsidR="00443BDD" w:rsidRPr="00572626" w:rsidRDefault="00443BDD" w:rsidP="00572626">
    <w:pPr>
      <w:pStyle w:val="Header"/>
      <w:jc w:val="right"/>
      <w:rPr>
        <w:rFonts w:asciiTheme="majorHAnsi" w:hAnsiTheme="majorHAnsi" w:cs="Arial"/>
        <w:sz w:val="22"/>
        <w:szCs w:val="22"/>
      </w:rPr>
    </w:pPr>
    <w:r w:rsidRPr="00572626">
      <w:rPr>
        <w:rFonts w:asciiTheme="majorHAnsi" w:hAnsiTheme="majorHAnsi" w:cs="Arial"/>
        <w:sz w:val="22"/>
        <w:szCs w:val="22"/>
      </w:rPr>
      <w:t>Asesor Legislativo</w:t>
    </w:r>
  </w:p>
  <w:p w:rsidR="00443BDD" w:rsidRDefault="00443BDD" w:rsidP="00572626">
    <w:pPr>
      <w:pStyle w:val="Header"/>
      <w:jc w:val="right"/>
      <w:rPr>
        <w:rFonts w:asciiTheme="majorHAnsi" w:hAnsiTheme="majorHAnsi" w:cs="Arial"/>
        <w:sz w:val="22"/>
        <w:szCs w:val="22"/>
      </w:rPr>
    </w:pPr>
    <w:r w:rsidRPr="00572626">
      <w:rPr>
        <w:rFonts w:asciiTheme="majorHAnsi" w:hAnsiTheme="majorHAnsi" w:cs="Arial"/>
        <w:sz w:val="22"/>
        <w:szCs w:val="22"/>
      </w:rPr>
      <w:t xml:space="preserve">Senadora E. Von </w:t>
    </w:r>
    <w:proofErr w:type="spellStart"/>
    <w:r w:rsidRPr="00572626">
      <w:rPr>
        <w:rFonts w:asciiTheme="majorHAnsi" w:hAnsiTheme="majorHAnsi" w:cs="Arial"/>
        <w:sz w:val="22"/>
        <w:szCs w:val="22"/>
      </w:rPr>
      <w:t>Baer</w:t>
    </w:r>
    <w:proofErr w:type="spellEnd"/>
  </w:p>
  <w:p w:rsidR="00443BDD" w:rsidRPr="00572626" w:rsidRDefault="00443BDD" w:rsidP="00572626">
    <w:pPr>
      <w:pStyle w:val="Header"/>
      <w:jc w:val="right"/>
      <w:rPr>
        <w:rFonts w:asciiTheme="majorHAnsi" w:hAnsiTheme="majorHAnsi" w:cs="Arial"/>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287"/>
    <w:multiLevelType w:val="hybridMultilevel"/>
    <w:tmpl w:val="B69A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4E69"/>
    <w:multiLevelType w:val="hybridMultilevel"/>
    <w:tmpl w:val="8C702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F475A"/>
    <w:multiLevelType w:val="singleLevel"/>
    <w:tmpl w:val="2BF80CB6"/>
    <w:lvl w:ilvl="0">
      <w:start w:val="7"/>
      <w:numFmt w:val="upperRoman"/>
      <w:lvlText w:val="%1."/>
      <w:lvlJc w:val="left"/>
      <w:pPr>
        <w:tabs>
          <w:tab w:val="num" w:pos="855"/>
        </w:tabs>
        <w:ind w:left="855" w:hanging="855"/>
      </w:pPr>
      <w:rPr>
        <w:rFonts w:hint="default"/>
        <w:b/>
      </w:rPr>
    </w:lvl>
  </w:abstractNum>
  <w:abstractNum w:abstractNumId="3">
    <w:nsid w:val="25A31D6A"/>
    <w:multiLevelType w:val="hybridMultilevel"/>
    <w:tmpl w:val="66264626"/>
    <w:lvl w:ilvl="0" w:tplc="3A52BBD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7E5325"/>
    <w:multiLevelType w:val="hybridMultilevel"/>
    <w:tmpl w:val="334669BA"/>
    <w:lvl w:ilvl="0" w:tplc="E07CB24A">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83B4B"/>
    <w:multiLevelType w:val="hybridMultilevel"/>
    <w:tmpl w:val="B69A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A003D"/>
    <w:multiLevelType w:val="hybridMultilevel"/>
    <w:tmpl w:val="24E27106"/>
    <w:lvl w:ilvl="0" w:tplc="C48E07E4">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37268C"/>
    <w:multiLevelType w:val="hybridMultilevel"/>
    <w:tmpl w:val="2B4EACFE"/>
    <w:lvl w:ilvl="0" w:tplc="83B88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26"/>
    <w:rsid w:val="00015453"/>
    <w:rsid w:val="00090C25"/>
    <w:rsid w:val="0013412E"/>
    <w:rsid w:val="001F248E"/>
    <w:rsid w:val="0023443F"/>
    <w:rsid w:val="00312873"/>
    <w:rsid w:val="003A6B3A"/>
    <w:rsid w:val="003D20E9"/>
    <w:rsid w:val="00443BDD"/>
    <w:rsid w:val="004866C1"/>
    <w:rsid w:val="00491DD6"/>
    <w:rsid w:val="004973CA"/>
    <w:rsid w:val="00557331"/>
    <w:rsid w:val="00572626"/>
    <w:rsid w:val="00622C61"/>
    <w:rsid w:val="0064145F"/>
    <w:rsid w:val="006753FB"/>
    <w:rsid w:val="00707264"/>
    <w:rsid w:val="00823F83"/>
    <w:rsid w:val="00825C18"/>
    <w:rsid w:val="00876697"/>
    <w:rsid w:val="00937893"/>
    <w:rsid w:val="00A75420"/>
    <w:rsid w:val="00A75E38"/>
    <w:rsid w:val="00BC066C"/>
    <w:rsid w:val="00C16FDB"/>
    <w:rsid w:val="00CD3B52"/>
    <w:rsid w:val="00D16E5C"/>
    <w:rsid w:val="00E221F9"/>
    <w:rsid w:val="00E3653D"/>
    <w:rsid w:val="00E654FA"/>
    <w:rsid w:val="00E979BF"/>
    <w:rsid w:val="00F17319"/>
    <w:rsid w:val="00F624F0"/>
    <w:rsid w:val="00FA3FF4"/>
    <w:rsid w:val="00FE00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26"/>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62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626"/>
    <w:pPr>
      <w:tabs>
        <w:tab w:val="center" w:pos="4153"/>
        <w:tab w:val="right" w:pos="8306"/>
      </w:tabs>
      <w:spacing w:line="240" w:lineRule="auto"/>
    </w:pPr>
  </w:style>
  <w:style w:type="character" w:customStyle="1" w:styleId="HeaderChar">
    <w:name w:val="Header Char"/>
    <w:basedOn w:val="DefaultParagraphFont"/>
    <w:link w:val="Header"/>
    <w:uiPriority w:val="99"/>
    <w:rsid w:val="00572626"/>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572626"/>
    <w:pPr>
      <w:tabs>
        <w:tab w:val="center" w:pos="4153"/>
        <w:tab w:val="right" w:pos="8306"/>
      </w:tabs>
      <w:spacing w:line="240" w:lineRule="auto"/>
    </w:pPr>
  </w:style>
  <w:style w:type="character" w:customStyle="1" w:styleId="FooterChar">
    <w:name w:val="Footer Char"/>
    <w:basedOn w:val="DefaultParagraphFont"/>
    <w:link w:val="Footer"/>
    <w:uiPriority w:val="99"/>
    <w:rsid w:val="00572626"/>
    <w:rPr>
      <w:rFonts w:ascii="Arial" w:eastAsia="Times New Roman" w:hAnsi="Arial" w:cs="Times New Roman"/>
      <w:spacing w:val="6"/>
      <w:szCs w:val="20"/>
      <w:lang w:val="es-ES" w:eastAsia="es-ES"/>
    </w:rPr>
  </w:style>
  <w:style w:type="paragraph" w:customStyle="1" w:styleId="CharChar">
    <w:name w:val=" Char Char"/>
    <w:basedOn w:val="Normal"/>
    <w:rsid w:val="00557331"/>
    <w:pPr>
      <w:spacing w:after="160" w:line="240" w:lineRule="exact"/>
      <w:ind w:left="500"/>
      <w:jc w:val="center"/>
    </w:pPr>
    <w:rPr>
      <w:rFonts w:ascii="Verdana" w:hAnsi="Verdana" w:cs="Arial"/>
      <w:b/>
      <w:spacing w:val="0"/>
      <w:sz w:val="20"/>
      <w:lang w:val="es-VE" w:eastAsia="en-US"/>
    </w:rPr>
  </w:style>
  <w:style w:type="paragraph" w:styleId="ListParagraph">
    <w:name w:val="List Paragraph"/>
    <w:basedOn w:val="Normal"/>
    <w:uiPriority w:val="34"/>
    <w:qFormat/>
    <w:rsid w:val="00F624F0"/>
    <w:pPr>
      <w:ind w:left="720"/>
      <w:contextualSpacing/>
    </w:pPr>
  </w:style>
  <w:style w:type="character" w:customStyle="1" w:styleId="textarticulo1">
    <w:name w:val="textarticulo1"/>
    <w:rsid w:val="00A75420"/>
    <w:rPr>
      <w:rFonts w:ascii="Arial" w:hAnsi="Arial" w:cs="Arial" w:hint="default"/>
      <w:b w:val="0"/>
      <w:bCs w:val="0"/>
      <w:i w:val="0"/>
      <w:iCs w:val="0"/>
      <w:color w:val="666666"/>
      <w:sz w:val="13"/>
      <w:szCs w:val="13"/>
    </w:rPr>
  </w:style>
  <w:style w:type="paragraph" w:styleId="FootnoteText">
    <w:name w:val="footnote text"/>
    <w:basedOn w:val="Normal"/>
    <w:link w:val="FootnoteTextChar"/>
    <w:rsid w:val="00823F83"/>
    <w:pPr>
      <w:spacing w:line="240" w:lineRule="auto"/>
      <w:jc w:val="left"/>
    </w:pPr>
    <w:rPr>
      <w:spacing w:val="-3"/>
      <w:sz w:val="20"/>
      <w:lang w:val="es-ES_tradnl"/>
    </w:rPr>
  </w:style>
  <w:style w:type="character" w:customStyle="1" w:styleId="FootnoteTextChar">
    <w:name w:val="Footnote Text Char"/>
    <w:basedOn w:val="DefaultParagraphFont"/>
    <w:link w:val="FootnoteText"/>
    <w:rsid w:val="00823F83"/>
    <w:rPr>
      <w:rFonts w:ascii="Arial" w:eastAsia="Times New Roman" w:hAnsi="Arial" w:cs="Times New Roman"/>
      <w:spacing w:val="-3"/>
      <w:sz w:val="20"/>
      <w:szCs w:val="20"/>
      <w:lang w:eastAsia="es-ES"/>
    </w:rPr>
  </w:style>
  <w:style w:type="character" w:styleId="FootnoteReference">
    <w:name w:val="footnote reference"/>
    <w:rsid w:val="00823F8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26"/>
    <w:pPr>
      <w:spacing w:line="360" w:lineRule="auto"/>
      <w:jc w:val="both"/>
    </w:pPr>
    <w:rPr>
      <w:rFonts w:ascii="Arial" w:eastAsia="Times New Roman" w:hAnsi="Arial" w:cs="Times New Roman"/>
      <w:spacing w:val="6"/>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626"/>
    <w:rPr>
      <w:rFonts w:ascii="Times New Roman" w:eastAsiaTheme="minorHAnsi"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72626"/>
    <w:pPr>
      <w:tabs>
        <w:tab w:val="center" w:pos="4153"/>
        <w:tab w:val="right" w:pos="8306"/>
      </w:tabs>
      <w:spacing w:line="240" w:lineRule="auto"/>
    </w:pPr>
  </w:style>
  <w:style w:type="character" w:customStyle="1" w:styleId="HeaderChar">
    <w:name w:val="Header Char"/>
    <w:basedOn w:val="DefaultParagraphFont"/>
    <w:link w:val="Header"/>
    <w:uiPriority w:val="99"/>
    <w:rsid w:val="00572626"/>
    <w:rPr>
      <w:rFonts w:ascii="Arial" w:eastAsia="Times New Roman" w:hAnsi="Arial" w:cs="Times New Roman"/>
      <w:spacing w:val="6"/>
      <w:szCs w:val="20"/>
      <w:lang w:val="es-ES" w:eastAsia="es-ES"/>
    </w:rPr>
  </w:style>
  <w:style w:type="paragraph" w:styleId="Footer">
    <w:name w:val="footer"/>
    <w:basedOn w:val="Normal"/>
    <w:link w:val="FooterChar"/>
    <w:uiPriority w:val="99"/>
    <w:unhideWhenUsed/>
    <w:rsid w:val="00572626"/>
    <w:pPr>
      <w:tabs>
        <w:tab w:val="center" w:pos="4153"/>
        <w:tab w:val="right" w:pos="8306"/>
      </w:tabs>
      <w:spacing w:line="240" w:lineRule="auto"/>
    </w:pPr>
  </w:style>
  <w:style w:type="character" w:customStyle="1" w:styleId="FooterChar">
    <w:name w:val="Footer Char"/>
    <w:basedOn w:val="DefaultParagraphFont"/>
    <w:link w:val="Footer"/>
    <w:uiPriority w:val="99"/>
    <w:rsid w:val="00572626"/>
    <w:rPr>
      <w:rFonts w:ascii="Arial" w:eastAsia="Times New Roman" w:hAnsi="Arial" w:cs="Times New Roman"/>
      <w:spacing w:val="6"/>
      <w:szCs w:val="20"/>
      <w:lang w:val="es-ES" w:eastAsia="es-ES"/>
    </w:rPr>
  </w:style>
  <w:style w:type="paragraph" w:customStyle="1" w:styleId="CharChar">
    <w:name w:val=" Char Char"/>
    <w:basedOn w:val="Normal"/>
    <w:rsid w:val="00557331"/>
    <w:pPr>
      <w:spacing w:after="160" w:line="240" w:lineRule="exact"/>
      <w:ind w:left="500"/>
      <w:jc w:val="center"/>
    </w:pPr>
    <w:rPr>
      <w:rFonts w:ascii="Verdana" w:hAnsi="Verdana" w:cs="Arial"/>
      <w:b/>
      <w:spacing w:val="0"/>
      <w:sz w:val="20"/>
      <w:lang w:val="es-VE" w:eastAsia="en-US"/>
    </w:rPr>
  </w:style>
  <w:style w:type="paragraph" w:styleId="ListParagraph">
    <w:name w:val="List Paragraph"/>
    <w:basedOn w:val="Normal"/>
    <w:uiPriority w:val="34"/>
    <w:qFormat/>
    <w:rsid w:val="00F624F0"/>
    <w:pPr>
      <w:ind w:left="720"/>
      <w:contextualSpacing/>
    </w:pPr>
  </w:style>
  <w:style w:type="character" w:customStyle="1" w:styleId="textarticulo1">
    <w:name w:val="textarticulo1"/>
    <w:rsid w:val="00A75420"/>
    <w:rPr>
      <w:rFonts w:ascii="Arial" w:hAnsi="Arial" w:cs="Arial" w:hint="default"/>
      <w:b w:val="0"/>
      <w:bCs w:val="0"/>
      <w:i w:val="0"/>
      <w:iCs w:val="0"/>
      <w:color w:val="666666"/>
      <w:sz w:val="13"/>
      <w:szCs w:val="13"/>
    </w:rPr>
  </w:style>
  <w:style w:type="paragraph" w:styleId="FootnoteText">
    <w:name w:val="footnote text"/>
    <w:basedOn w:val="Normal"/>
    <w:link w:val="FootnoteTextChar"/>
    <w:rsid w:val="00823F83"/>
    <w:pPr>
      <w:spacing w:line="240" w:lineRule="auto"/>
      <w:jc w:val="left"/>
    </w:pPr>
    <w:rPr>
      <w:spacing w:val="-3"/>
      <w:sz w:val="20"/>
      <w:lang w:val="es-ES_tradnl"/>
    </w:rPr>
  </w:style>
  <w:style w:type="character" w:customStyle="1" w:styleId="FootnoteTextChar">
    <w:name w:val="Footnote Text Char"/>
    <w:basedOn w:val="DefaultParagraphFont"/>
    <w:link w:val="FootnoteText"/>
    <w:rsid w:val="00823F83"/>
    <w:rPr>
      <w:rFonts w:ascii="Arial" w:eastAsia="Times New Roman" w:hAnsi="Arial" w:cs="Times New Roman"/>
      <w:spacing w:val="-3"/>
      <w:sz w:val="20"/>
      <w:szCs w:val="20"/>
      <w:lang w:eastAsia="es-ES"/>
    </w:rPr>
  </w:style>
  <w:style w:type="character" w:styleId="FootnoteReference">
    <w:name w:val="footnote reference"/>
    <w:rsid w:val="00823F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019F-435C-C04C-948F-03CC9D6F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1304</Words>
  <Characters>7434</Characters>
  <Application>Microsoft Macintosh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2</cp:revision>
  <dcterms:created xsi:type="dcterms:W3CDTF">2018-10-09T01:44:00Z</dcterms:created>
  <dcterms:modified xsi:type="dcterms:W3CDTF">2018-10-09T01:44:00Z</dcterms:modified>
</cp:coreProperties>
</file>