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E3" w:rsidRDefault="009822E3" w:rsidP="009822E3">
      <w:pPr>
        <w:jc w:val="center"/>
        <w:rPr>
          <w:rFonts w:ascii="Calibri" w:eastAsia="Calibri" w:hAnsi="Calibri" w:cs="Calibri"/>
          <w:b/>
        </w:rPr>
      </w:pPr>
      <w:r>
        <w:rPr>
          <w:rFonts w:ascii="Calibri" w:eastAsia="Calibri" w:hAnsi="Calibri" w:cs="Calibri"/>
          <w:b/>
          <w:highlight w:val="white"/>
          <w:u w:val="single"/>
        </w:rPr>
        <w:t xml:space="preserve">Proyecto que modifica el Código Penal en los delitos de cohecho y soborno, aumentando las penas, tipifica los delitos de soborno entre particulares y de administración </w:t>
      </w:r>
      <w:r w:rsidRPr="009822E3">
        <w:rPr>
          <w:rFonts w:ascii="Calibri" w:eastAsia="Calibri" w:hAnsi="Calibri" w:cs="Calibri"/>
          <w:b/>
          <w:highlight w:val="white"/>
          <w:u w:val="single"/>
        </w:rPr>
        <w:t>deslea</w:t>
      </w:r>
      <w:r w:rsidRPr="009822E3">
        <w:rPr>
          <w:rFonts w:ascii="Calibri" w:eastAsia="Calibri" w:hAnsi="Calibri" w:cs="Calibri"/>
          <w:b/>
          <w:highlight w:val="white"/>
        </w:rPr>
        <w:t>l</w:t>
      </w:r>
      <w:r>
        <w:rPr>
          <w:rFonts w:ascii="Calibri" w:eastAsia="Calibri" w:hAnsi="Calibri" w:cs="Calibri"/>
          <w:b/>
        </w:rPr>
        <w:t>.</w:t>
      </w:r>
    </w:p>
    <w:p w:rsidR="009822E3" w:rsidRDefault="009822E3" w:rsidP="009822E3">
      <w:pPr>
        <w:jc w:val="center"/>
        <w:rPr>
          <w:rFonts w:ascii="Calibri" w:eastAsia="Calibri" w:hAnsi="Calibri" w:cs="Calibri"/>
          <w:highlight w:val="white"/>
        </w:rPr>
      </w:pPr>
      <w:r w:rsidRPr="009822E3">
        <w:rPr>
          <w:rFonts w:ascii="Calibri" w:eastAsia="Calibri" w:hAnsi="Calibri" w:cs="Calibri"/>
        </w:rPr>
        <w:t>Boletín</w:t>
      </w:r>
      <w:r>
        <w:rPr>
          <w:rFonts w:ascii="Calibri" w:eastAsia="Calibri" w:hAnsi="Calibri" w:cs="Calibri"/>
        </w:rPr>
        <w:t xml:space="preserve"> 10.739-07</w:t>
      </w:r>
    </w:p>
    <w:p w:rsidR="009822E3" w:rsidRDefault="009822E3" w:rsidP="009A51B5">
      <w:pPr>
        <w:jc w:val="both"/>
        <w:rPr>
          <w:rFonts w:ascii="Calibri" w:eastAsia="Calibri" w:hAnsi="Calibri" w:cs="Calibri"/>
          <w:sz w:val="22"/>
          <w:szCs w:val="22"/>
          <w:highlight w:val="white"/>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9822E3" w:rsidTr="009822E3">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 xml:space="preserve">Origen del proyecto </w:t>
            </w:r>
          </w:p>
          <w:p w:rsidR="009822E3" w:rsidRDefault="009822E3" w:rsidP="009A51B5">
            <w:pPr>
              <w:tabs>
                <w:tab w:val="left" w:pos="7453"/>
              </w:tabs>
              <w:jc w:val="both"/>
              <w:rPr>
                <w:rFonts w:ascii="Calibri" w:eastAsia="Calibri" w:hAnsi="Calibri" w:cs="Calibri"/>
              </w:rPr>
            </w:pPr>
          </w:p>
        </w:tc>
        <w:tc>
          <w:tcPr>
            <w:tcW w:w="4414" w:type="dxa"/>
          </w:tcPr>
          <w:p w:rsidR="009822E3" w:rsidRDefault="009822E3" w:rsidP="009A51B5">
            <w:pPr>
              <w:tabs>
                <w:tab w:val="left" w:pos="1507"/>
              </w:tabs>
              <w:jc w:val="both"/>
              <w:rPr>
                <w:rFonts w:ascii="Calibri" w:eastAsia="Calibri" w:hAnsi="Calibri" w:cs="Calibri"/>
              </w:rPr>
            </w:pPr>
            <w:r>
              <w:rPr>
                <w:rFonts w:ascii="Calibri" w:eastAsia="Calibri" w:hAnsi="Calibri" w:cs="Calibri"/>
              </w:rPr>
              <w:t>Moción</w:t>
            </w:r>
          </w:p>
        </w:tc>
      </w:tr>
      <w:tr w:rsidR="009822E3" w:rsidTr="009822E3">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 xml:space="preserve">Trámite legislativo </w:t>
            </w:r>
          </w:p>
        </w:tc>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 xml:space="preserve">Comisión Mixta </w:t>
            </w:r>
          </w:p>
        </w:tc>
      </w:tr>
      <w:tr w:rsidR="009822E3" w:rsidTr="009822E3">
        <w:trPr>
          <w:trHeight w:val="340"/>
        </w:trPr>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 xml:space="preserve">Urgencia </w:t>
            </w:r>
          </w:p>
        </w:tc>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Discusión inmediata</w:t>
            </w:r>
          </w:p>
          <w:p w:rsidR="009822E3" w:rsidRDefault="009822E3" w:rsidP="009A51B5">
            <w:pPr>
              <w:tabs>
                <w:tab w:val="left" w:pos="7453"/>
              </w:tabs>
              <w:jc w:val="both"/>
              <w:rPr>
                <w:rFonts w:ascii="Calibri" w:eastAsia="Calibri" w:hAnsi="Calibri" w:cs="Calibri"/>
              </w:rPr>
            </w:pPr>
          </w:p>
        </w:tc>
      </w:tr>
      <w:tr w:rsidR="009822E3" w:rsidTr="009822E3">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Quórum</w:t>
            </w:r>
          </w:p>
        </w:tc>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QC y LOC</w:t>
            </w:r>
          </w:p>
        </w:tc>
      </w:tr>
      <w:tr w:rsidR="009822E3" w:rsidTr="009822E3">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Forma de discusión</w:t>
            </w:r>
          </w:p>
        </w:tc>
        <w:tc>
          <w:tcPr>
            <w:tcW w:w="4414" w:type="dxa"/>
          </w:tcPr>
          <w:p w:rsidR="009822E3" w:rsidRDefault="009822E3" w:rsidP="009A51B5">
            <w:pPr>
              <w:tabs>
                <w:tab w:val="left" w:pos="7453"/>
              </w:tabs>
              <w:jc w:val="both"/>
              <w:rPr>
                <w:rFonts w:ascii="Calibri" w:eastAsia="Calibri" w:hAnsi="Calibri" w:cs="Calibri"/>
              </w:rPr>
            </w:pPr>
            <w:r>
              <w:rPr>
                <w:rFonts w:ascii="Calibri" w:eastAsia="Calibri" w:hAnsi="Calibri" w:cs="Calibri"/>
              </w:rPr>
              <w:t>En particular</w:t>
            </w:r>
          </w:p>
        </w:tc>
      </w:tr>
    </w:tbl>
    <w:p w:rsidR="00C16FDB" w:rsidRDefault="00C16FDB" w:rsidP="009A51B5">
      <w:pPr>
        <w:jc w:val="both"/>
      </w:pPr>
    </w:p>
    <w:p w:rsidR="009822E3" w:rsidRDefault="009822E3" w:rsidP="009A51B5">
      <w:pPr>
        <w:jc w:val="both"/>
      </w:pPr>
      <w:r w:rsidRPr="009822E3">
        <w:rPr>
          <w:rFonts w:asciiTheme="majorHAnsi" w:hAnsiTheme="majorHAnsi"/>
          <w:b/>
          <w:u w:val="single"/>
        </w:rPr>
        <w:t>Objetivos del Proyecto</w:t>
      </w:r>
      <w:r>
        <w:t>:</w:t>
      </w:r>
    </w:p>
    <w:p w:rsidR="009822E3" w:rsidRDefault="009822E3" w:rsidP="009A51B5">
      <w:pPr>
        <w:jc w:val="both"/>
      </w:pPr>
    </w:p>
    <w:p w:rsidR="009822E3" w:rsidRPr="009822E3" w:rsidRDefault="009822E3" w:rsidP="009A51B5">
      <w:pPr>
        <w:jc w:val="both"/>
        <w:rPr>
          <w:rFonts w:asciiTheme="majorHAnsi" w:hAnsiTheme="majorHAnsi"/>
          <w:sz w:val="22"/>
          <w:szCs w:val="22"/>
        </w:rPr>
      </w:pPr>
      <w:r w:rsidRPr="009822E3">
        <w:rPr>
          <w:rFonts w:asciiTheme="majorHAnsi" w:hAnsiTheme="majorHAnsi"/>
          <w:sz w:val="22"/>
          <w:szCs w:val="22"/>
        </w:rPr>
        <w:t xml:space="preserve">El proyecto establece </w:t>
      </w:r>
      <w:r w:rsidRPr="009822E3">
        <w:rPr>
          <w:rFonts w:asciiTheme="majorHAnsi" w:hAnsiTheme="majorHAnsi"/>
          <w:b/>
          <w:sz w:val="22"/>
          <w:szCs w:val="22"/>
        </w:rPr>
        <w:t xml:space="preserve">5 grandes </w:t>
      </w:r>
      <w:r w:rsidR="009B0D7E" w:rsidRPr="009822E3">
        <w:rPr>
          <w:rFonts w:asciiTheme="majorHAnsi" w:hAnsiTheme="majorHAnsi"/>
          <w:b/>
          <w:sz w:val="22"/>
          <w:szCs w:val="22"/>
        </w:rPr>
        <w:t>novedades</w:t>
      </w:r>
      <w:r w:rsidRPr="009822E3">
        <w:rPr>
          <w:rFonts w:asciiTheme="majorHAnsi" w:hAnsiTheme="majorHAnsi"/>
          <w:sz w:val="22"/>
          <w:szCs w:val="22"/>
        </w:rPr>
        <w:t>:</w:t>
      </w:r>
    </w:p>
    <w:p w:rsidR="009822E3" w:rsidRPr="009822E3" w:rsidRDefault="009822E3" w:rsidP="009A51B5">
      <w:pPr>
        <w:pStyle w:val="ListParagraph"/>
        <w:widowControl w:val="0"/>
        <w:numPr>
          <w:ilvl w:val="0"/>
          <w:numId w:val="2"/>
        </w:numPr>
        <w:autoSpaceDE w:val="0"/>
        <w:autoSpaceDN w:val="0"/>
        <w:adjustRightInd w:val="0"/>
        <w:spacing w:after="0" w:line="240" w:lineRule="auto"/>
        <w:jc w:val="both"/>
        <w:rPr>
          <w:rFonts w:asciiTheme="majorHAnsi" w:hAnsiTheme="majorHAnsi"/>
        </w:rPr>
      </w:pPr>
      <w:r w:rsidRPr="009822E3">
        <w:rPr>
          <w:rFonts w:asciiTheme="majorHAnsi" w:hAnsiTheme="majorHAnsi"/>
        </w:rPr>
        <w:t>Aumentos de penas de diversos delitos funcionarios y modificaciones de algunos de estos tipos penales.</w:t>
      </w:r>
    </w:p>
    <w:p w:rsidR="009822E3" w:rsidRPr="009822E3" w:rsidRDefault="009822E3" w:rsidP="009A51B5">
      <w:pPr>
        <w:pStyle w:val="ListParagraph"/>
        <w:widowControl w:val="0"/>
        <w:numPr>
          <w:ilvl w:val="0"/>
          <w:numId w:val="2"/>
        </w:numPr>
        <w:autoSpaceDE w:val="0"/>
        <w:autoSpaceDN w:val="0"/>
        <w:adjustRightInd w:val="0"/>
        <w:spacing w:after="0" w:line="240" w:lineRule="auto"/>
        <w:jc w:val="both"/>
        <w:rPr>
          <w:rFonts w:asciiTheme="majorHAnsi" w:hAnsiTheme="majorHAnsi"/>
        </w:rPr>
      </w:pPr>
      <w:r w:rsidRPr="009822E3">
        <w:rPr>
          <w:rFonts w:asciiTheme="majorHAnsi" w:hAnsiTheme="majorHAnsi"/>
        </w:rPr>
        <w:t>Incorpora nuevas penas y reglas especiales para estos ilícitos.</w:t>
      </w:r>
    </w:p>
    <w:p w:rsidR="009822E3" w:rsidRPr="009822E3" w:rsidRDefault="009822E3" w:rsidP="009A51B5">
      <w:pPr>
        <w:pStyle w:val="ListParagraph"/>
        <w:widowControl w:val="0"/>
        <w:numPr>
          <w:ilvl w:val="0"/>
          <w:numId w:val="2"/>
        </w:numPr>
        <w:autoSpaceDE w:val="0"/>
        <w:autoSpaceDN w:val="0"/>
        <w:adjustRightInd w:val="0"/>
        <w:spacing w:after="0" w:line="240" w:lineRule="auto"/>
        <w:jc w:val="both"/>
        <w:rPr>
          <w:rFonts w:asciiTheme="majorHAnsi" w:hAnsiTheme="majorHAnsi"/>
        </w:rPr>
      </w:pPr>
      <w:r w:rsidRPr="009822E3">
        <w:rPr>
          <w:rFonts w:asciiTheme="majorHAnsi" w:hAnsiTheme="majorHAnsi"/>
        </w:rPr>
        <w:t>Regula nuevos tipos delictivos.</w:t>
      </w:r>
    </w:p>
    <w:p w:rsidR="009822E3" w:rsidRPr="009822E3" w:rsidRDefault="009822E3" w:rsidP="009A51B5">
      <w:pPr>
        <w:pStyle w:val="ListParagraph"/>
        <w:widowControl w:val="0"/>
        <w:numPr>
          <w:ilvl w:val="0"/>
          <w:numId w:val="2"/>
        </w:numPr>
        <w:autoSpaceDE w:val="0"/>
        <w:autoSpaceDN w:val="0"/>
        <w:adjustRightInd w:val="0"/>
        <w:spacing w:after="0" w:line="240" w:lineRule="auto"/>
        <w:jc w:val="both"/>
        <w:rPr>
          <w:rFonts w:asciiTheme="majorHAnsi" w:hAnsiTheme="majorHAnsi"/>
          <w:b/>
          <w:u w:val="single"/>
        </w:rPr>
      </w:pPr>
      <w:r w:rsidRPr="009822E3">
        <w:rPr>
          <w:rFonts w:asciiTheme="majorHAnsi" w:hAnsiTheme="majorHAnsi"/>
        </w:rPr>
        <w:t>Amplía la responsabilidad penal de las personas jurídicas y las penas aplicables.</w:t>
      </w:r>
    </w:p>
    <w:p w:rsidR="009822E3" w:rsidRPr="009822E3" w:rsidRDefault="009822E3" w:rsidP="009A51B5">
      <w:pPr>
        <w:pStyle w:val="ListParagraph"/>
        <w:widowControl w:val="0"/>
        <w:numPr>
          <w:ilvl w:val="0"/>
          <w:numId w:val="2"/>
        </w:numPr>
        <w:autoSpaceDE w:val="0"/>
        <w:autoSpaceDN w:val="0"/>
        <w:adjustRightInd w:val="0"/>
        <w:spacing w:after="0" w:line="240" w:lineRule="auto"/>
        <w:jc w:val="both"/>
        <w:rPr>
          <w:rFonts w:asciiTheme="majorHAnsi" w:hAnsiTheme="majorHAnsi"/>
          <w:b/>
          <w:u w:val="single"/>
        </w:rPr>
      </w:pPr>
      <w:r w:rsidRPr="009822E3">
        <w:rPr>
          <w:rFonts w:asciiTheme="majorHAnsi" w:hAnsiTheme="majorHAnsi"/>
        </w:rPr>
        <w:t>Incorpora nuevas figuras dentro de las hipótesis de lavado de activos.</w:t>
      </w:r>
    </w:p>
    <w:p w:rsidR="009822E3" w:rsidRDefault="009822E3" w:rsidP="009A51B5">
      <w:pPr>
        <w:jc w:val="both"/>
      </w:pPr>
    </w:p>
    <w:p w:rsidR="009822E3" w:rsidRPr="009A51B5" w:rsidRDefault="009822E3" w:rsidP="009A51B5">
      <w:pPr>
        <w:jc w:val="both"/>
        <w:rPr>
          <w:rFonts w:asciiTheme="majorHAnsi" w:hAnsiTheme="majorHAnsi"/>
          <w:sz w:val="22"/>
          <w:szCs w:val="22"/>
        </w:rPr>
      </w:pPr>
      <w:r w:rsidRPr="009B0D7E">
        <w:rPr>
          <w:rFonts w:asciiTheme="majorHAnsi" w:hAnsiTheme="majorHAnsi"/>
          <w:b/>
          <w:u w:val="single"/>
        </w:rPr>
        <w:t>El Proyecto</w:t>
      </w:r>
      <w:r w:rsidRPr="009A51B5">
        <w:rPr>
          <w:rFonts w:asciiTheme="majorHAnsi" w:hAnsiTheme="majorHAnsi"/>
          <w:sz w:val="22"/>
          <w:szCs w:val="22"/>
        </w:rPr>
        <w:t>:</w:t>
      </w:r>
    </w:p>
    <w:p w:rsidR="009822E3" w:rsidRPr="009A51B5" w:rsidRDefault="009822E3" w:rsidP="009A51B5">
      <w:pPr>
        <w:jc w:val="both"/>
        <w:rPr>
          <w:rFonts w:asciiTheme="majorHAnsi" w:hAnsiTheme="majorHAnsi"/>
          <w:sz w:val="22"/>
          <w:szCs w:val="22"/>
        </w:rPr>
      </w:pPr>
    </w:p>
    <w:p w:rsidR="009822E3" w:rsidRPr="003663DF" w:rsidRDefault="009822E3" w:rsidP="005940D1">
      <w:pPr>
        <w:pStyle w:val="ListParagraph"/>
        <w:numPr>
          <w:ilvl w:val="0"/>
          <w:numId w:val="11"/>
        </w:numPr>
        <w:jc w:val="center"/>
        <w:rPr>
          <w:rFonts w:asciiTheme="majorHAnsi" w:hAnsiTheme="majorHAnsi"/>
        </w:rPr>
      </w:pPr>
      <w:r w:rsidRPr="003663DF">
        <w:rPr>
          <w:rFonts w:asciiTheme="majorHAnsi" w:hAnsiTheme="majorHAnsi"/>
          <w:b/>
          <w:u w:val="single"/>
        </w:rPr>
        <w:t>Au</w:t>
      </w:r>
      <w:r w:rsidR="009A51B5" w:rsidRPr="003663DF">
        <w:rPr>
          <w:rFonts w:asciiTheme="majorHAnsi" w:hAnsiTheme="majorHAnsi"/>
          <w:b/>
          <w:u w:val="single"/>
        </w:rPr>
        <w:t>mento de penas a los delitos de malversación, fraude y cohecho</w:t>
      </w:r>
      <w:r w:rsidR="009A51B5" w:rsidRPr="003663DF">
        <w:rPr>
          <w:rFonts w:asciiTheme="majorHAnsi" w:hAnsiTheme="majorHAnsi"/>
        </w:rPr>
        <w:t>:</w:t>
      </w:r>
    </w:p>
    <w:p w:rsidR="009A51B5" w:rsidRPr="003663DF" w:rsidRDefault="009A51B5" w:rsidP="009A51B5">
      <w:pPr>
        <w:jc w:val="both"/>
        <w:rPr>
          <w:rFonts w:asciiTheme="majorHAnsi" w:hAnsiTheme="majorHAnsi"/>
          <w:sz w:val="22"/>
          <w:szCs w:val="22"/>
        </w:rPr>
      </w:pPr>
      <w:r w:rsidRPr="003663DF">
        <w:rPr>
          <w:rFonts w:asciiTheme="majorHAnsi" w:hAnsiTheme="majorHAnsi"/>
          <w:sz w:val="22"/>
          <w:szCs w:val="22"/>
        </w:rPr>
        <w:t xml:space="preserve">El proyecto de ley aumenta las penas aplicables a los delitos cometidos por funcionarios públicos, tales como (1) la malversación de caudales públicos, (2) fraude al fisco, (3) negociación incompatible, (3) exacción ilegal, (4) cohecho nacional y transnacional. </w:t>
      </w:r>
    </w:p>
    <w:p w:rsidR="009A51B5" w:rsidRPr="003663DF" w:rsidRDefault="009A51B5" w:rsidP="009A51B5">
      <w:pPr>
        <w:jc w:val="both"/>
        <w:rPr>
          <w:rFonts w:asciiTheme="majorHAnsi" w:hAnsiTheme="majorHAnsi"/>
          <w:sz w:val="22"/>
          <w:szCs w:val="22"/>
        </w:rPr>
      </w:pPr>
    </w:p>
    <w:p w:rsidR="003663DF" w:rsidRPr="003663DF" w:rsidRDefault="009A51B5" w:rsidP="009A51B5">
      <w:pPr>
        <w:jc w:val="both"/>
        <w:rPr>
          <w:rFonts w:asciiTheme="majorHAnsi" w:hAnsiTheme="majorHAnsi"/>
          <w:sz w:val="22"/>
          <w:szCs w:val="22"/>
        </w:rPr>
      </w:pPr>
      <w:r w:rsidRPr="003663DF">
        <w:rPr>
          <w:rFonts w:asciiTheme="majorHAnsi" w:hAnsiTheme="majorHAnsi"/>
          <w:sz w:val="22"/>
          <w:szCs w:val="22"/>
        </w:rPr>
        <w:t>En la Comisión Mixta se aumentaron las penas para los delitos de cohecho y soborno, elevando el grado máximo de las penas privativas de libertad y se elevaron las p</w:t>
      </w:r>
      <w:r w:rsidR="003663DF" w:rsidRPr="003663DF">
        <w:rPr>
          <w:rFonts w:asciiTheme="majorHAnsi" w:hAnsiTheme="majorHAnsi"/>
          <w:sz w:val="22"/>
          <w:szCs w:val="22"/>
        </w:rPr>
        <w:t>enas de multa e inhabilitación</w:t>
      </w:r>
      <w:r w:rsidRPr="003663DF">
        <w:rPr>
          <w:rFonts w:asciiTheme="majorHAnsi" w:hAnsiTheme="majorHAnsi"/>
          <w:sz w:val="22"/>
          <w:szCs w:val="22"/>
        </w:rPr>
        <w:t xml:space="preserve">. De esta forma, alcanzan </w:t>
      </w:r>
      <w:r w:rsidR="003663DF" w:rsidRPr="003663DF">
        <w:rPr>
          <w:rFonts w:asciiTheme="majorHAnsi" w:hAnsiTheme="majorHAnsi"/>
          <w:sz w:val="22"/>
          <w:szCs w:val="22"/>
        </w:rPr>
        <w:t xml:space="preserve">penas por sobre los </w:t>
      </w:r>
      <w:r w:rsidR="003663DF" w:rsidRPr="003663DF">
        <w:rPr>
          <w:rFonts w:asciiTheme="majorHAnsi" w:hAnsiTheme="majorHAnsi"/>
          <w:b/>
          <w:sz w:val="22"/>
          <w:szCs w:val="22"/>
        </w:rPr>
        <w:t>5 años de privación de libertad</w:t>
      </w:r>
      <w:r w:rsidR="003663DF" w:rsidRPr="003663DF">
        <w:rPr>
          <w:rFonts w:asciiTheme="majorHAnsi" w:hAnsiTheme="majorHAnsi"/>
          <w:sz w:val="22"/>
          <w:szCs w:val="22"/>
        </w:rPr>
        <w:t xml:space="preserve"> para los delitos de:</w:t>
      </w:r>
    </w:p>
    <w:p w:rsidR="003663DF" w:rsidRDefault="003663DF" w:rsidP="009A51B5">
      <w:pPr>
        <w:jc w:val="both"/>
        <w:rPr>
          <w:rFonts w:asciiTheme="majorHAnsi" w:hAnsiTheme="majorHAnsi"/>
        </w:rPr>
      </w:pPr>
    </w:p>
    <w:p w:rsidR="003663DF" w:rsidRPr="003663DF" w:rsidRDefault="003663DF" w:rsidP="003663DF">
      <w:pPr>
        <w:pStyle w:val="ListParagraph"/>
        <w:numPr>
          <w:ilvl w:val="0"/>
          <w:numId w:val="12"/>
        </w:numPr>
        <w:jc w:val="both"/>
        <w:rPr>
          <w:rFonts w:asciiTheme="majorHAnsi" w:hAnsiTheme="majorHAnsi"/>
        </w:rPr>
      </w:pPr>
      <w:r w:rsidRPr="003663DF">
        <w:rPr>
          <w:rFonts w:asciiTheme="majorHAnsi" w:hAnsiTheme="majorHAnsi"/>
        </w:rPr>
        <w:t>Extracción ilegal (Artículo 241)</w:t>
      </w:r>
    </w:p>
    <w:p w:rsidR="003663DF" w:rsidRDefault="003663DF" w:rsidP="003663DF">
      <w:pPr>
        <w:pStyle w:val="ListParagraph"/>
        <w:numPr>
          <w:ilvl w:val="0"/>
          <w:numId w:val="12"/>
        </w:numPr>
        <w:jc w:val="both"/>
        <w:rPr>
          <w:rFonts w:asciiTheme="majorHAnsi" w:hAnsiTheme="majorHAnsi"/>
        </w:rPr>
      </w:pPr>
      <w:r>
        <w:rPr>
          <w:rFonts w:asciiTheme="majorHAnsi" w:hAnsiTheme="majorHAnsi"/>
        </w:rPr>
        <w:t>Figuras agravada de cohecho (Artículo 248 bis y 249)</w:t>
      </w:r>
    </w:p>
    <w:p w:rsidR="009A51B5" w:rsidRDefault="003663DF" w:rsidP="003663DF">
      <w:pPr>
        <w:pStyle w:val="ListParagraph"/>
        <w:numPr>
          <w:ilvl w:val="0"/>
          <w:numId w:val="12"/>
        </w:numPr>
        <w:jc w:val="both"/>
        <w:rPr>
          <w:rFonts w:asciiTheme="majorHAnsi" w:hAnsiTheme="majorHAnsi"/>
        </w:rPr>
      </w:pPr>
      <w:r>
        <w:rPr>
          <w:rFonts w:asciiTheme="majorHAnsi" w:hAnsiTheme="majorHAnsi"/>
        </w:rPr>
        <w:t>Soborno ofrecido por un particular para que un funcionario público realice una conducta indebida (Artículo 250 inciso cuarto)</w:t>
      </w:r>
    </w:p>
    <w:p w:rsidR="003663DF" w:rsidRDefault="003663DF" w:rsidP="003663DF">
      <w:pPr>
        <w:pStyle w:val="ListParagraph"/>
        <w:numPr>
          <w:ilvl w:val="0"/>
          <w:numId w:val="12"/>
        </w:numPr>
        <w:jc w:val="both"/>
        <w:rPr>
          <w:rFonts w:asciiTheme="majorHAnsi" w:hAnsiTheme="majorHAnsi"/>
        </w:rPr>
      </w:pPr>
      <w:r w:rsidRPr="009A51B5">
        <w:rPr>
          <w:rFonts w:asciiTheme="majorHAnsi" w:hAnsiTheme="majorHAnsi"/>
        </w:rPr>
        <w:t>Soborno dado u ofrecido por particular para que funcionario público cometa un delito (art. 250 inciso final)</w:t>
      </w:r>
    </w:p>
    <w:p w:rsidR="003663DF" w:rsidRDefault="003663DF" w:rsidP="003663DF">
      <w:pPr>
        <w:pStyle w:val="ListParagraph"/>
        <w:numPr>
          <w:ilvl w:val="0"/>
          <w:numId w:val="12"/>
        </w:numPr>
        <w:jc w:val="both"/>
        <w:rPr>
          <w:rFonts w:asciiTheme="majorHAnsi" w:hAnsiTheme="majorHAnsi"/>
        </w:rPr>
      </w:pPr>
      <w:r w:rsidRPr="009A51B5">
        <w:rPr>
          <w:rFonts w:asciiTheme="majorHAnsi" w:hAnsiTheme="majorHAnsi"/>
        </w:rPr>
        <w:t>Cohecho a funcionario público extranjero (art. 251 bis)</w:t>
      </w:r>
    </w:p>
    <w:p w:rsidR="00E071AF" w:rsidRDefault="00B611A5" w:rsidP="005F4B1E">
      <w:pPr>
        <w:pStyle w:val="ListParagraph"/>
        <w:jc w:val="both"/>
        <w:rPr>
          <w:rFonts w:asciiTheme="majorHAnsi" w:eastAsia="Times New Roman" w:hAnsiTheme="majorHAnsi" w:cs="Arial"/>
          <w:color w:val="943634" w:themeColor="accent2" w:themeShade="BF"/>
        </w:rPr>
      </w:pPr>
      <w:r>
        <w:rPr>
          <w:rFonts w:asciiTheme="majorHAnsi" w:eastAsia="Times New Roman" w:hAnsiTheme="majorHAnsi" w:cs="Arial"/>
          <w:color w:val="943634" w:themeColor="accent2" w:themeShade="BF"/>
        </w:rPr>
        <w:lastRenderedPageBreak/>
        <w:t>Nuevos numerales 1, 2 y 3 del artículo 233</w:t>
      </w:r>
      <w:r w:rsidR="005F4B1E">
        <w:rPr>
          <w:rFonts w:asciiTheme="majorHAnsi" w:eastAsia="Times New Roman" w:hAnsiTheme="majorHAnsi" w:cs="Arial"/>
          <w:color w:val="943634" w:themeColor="accent2" w:themeShade="BF"/>
        </w:rPr>
        <w:t xml:space="preserve"> para malversación</w:t>
      </w:r>
      <w:r>
        <w:rPr>
          <w:rFonts w:asciiTheme="majorHAnsi" w:eastAsia="Times New Roman" w:hAnsiTheme="majorHAnsi" w:cs="Arial"/>
          <w:color w:val="943634" w:themeColor="accent2" w:themeShade="BF"/>
        </w:rPr>
        <w:t xml:space="preserve">, aprobados en C.Mixta </w:t>
      </w:r>
      <w:r w:rsidR="005F4B1E">
        <w:rPr>
          <w:rFonts w:asciiTheme="majorHAnsi" w:eastAsia="Times New Roman" w:hAnsiTheme="majorHAnsi" w:cs="Arial"/>
          <w:color w:val="943634" w:themeColor="accent2" w:themeShade="BF"/>
        </w:rPr>
        <w:t>(6x4 abstenciones)</w:t>
      </w:r>
      <w:r>
        <w:rPr>
          <w:rFonts w:asciiTheme="majorHAnsi" w:eastAsia="Times New Roman" w:hAnsiTheme="majorHAnsi" w:cs="Arial"/>
          <w:color w:val="943634" w:themeColor="accent2" w:themeShade="BF"/>
        </w:rPr>
        <w:t xml:space="preserve">. </w:t>
      </w:r>
    </w:p>
    <w:p w:rsidR="005F4B1E" w:rsidRPr="005F4B1E" w:rsidRDefault="005F4B1E" w:rsidP="005F4B1E">
      <w:pPr>
        <w:pStyle w:val="ListParagraph"/>
        <w:jc w:val="both"/>
        <w:rPr>
          <w:rFonts w:asciiTheme="majorHAnsi" w:eastAsia="Times New Roman" w:hAnsiTheme="majorHAnsi" w:cs="Arial"/>
          <w:color w:val="943634" w:themeColor="accent2" w:themeShade="BF"/>
        </w:rPr>
      </w:pPr>
      <w:r>
        <w:rPr>
          <w:rFonts w:asciiTheme="majorHAnsi" w:eastAsia="Times New Roman" w:hAnsiTheme="majorHAnsi" w:cs="Arial"/>
          <w:color w:val="943634" w:themeColor="accent2" w:themeShade="BF"/>
        </w:rPr>
        <w:t>Nuevas letras a, b, y c del artículo 239 para fraudes y exacción ilegal, aprobado en C.Mixta (10x0)</w:t>
      </w:r>
    </w:p>
    <w:p w:rsidR="00E071AF" w:rsidRDefault="00E071AF" w:rsidP="00E071AF">
      <w:pPr>
        <w:pStyle w:val="Header"/>
        <w:jc w:val="both"/>
        <w:rPr>
          <w:rFonts w:asciiTheme="majorHAnsi" w:hAnsiTheme="majorHAnsi"/>
          <w:sz w:val="22"/>
          <w:szCs w:val="22"/>
        </w:rPr>
      </w:pPr>
      <w:r>
        <w:rPr>
          <w:rFonts w:asciiTheme="majorHAnsi" w:hAnsiTheme="majorHAnsi"/>
          <w:sz w:val="22"/>
          <w:szCs w:val="22"/>
        </w:rPr>
        <w:t xml:space="preserve">Actualmente la legislación vigente no le da a ninguna de estos delitos el carácter de crimen, pero con el aumento de las penas por sobre los 5 años de privación de libertad, se traduce en la práctica en que adquieren dicha categoría. Consecuentemente, esto conlleva a que: </w:t>
      </w:r>
    </w:p>
    <w:p w:rsidR="00E071AF" w:rsidRDefault="00E071AF" w:rsidP="00E071AF">
      <w:pPr>
        <w:pStyle w:val="Header"/>
        <w:ind w:left="708"/>
        <w:jc w:val="both"/>
        <w:rPr>
          <w:rFonts w:asciiTheme="majorHAnsi" w:hAnsiTheme="majorHAnsi"/>
          <w:sz w:val="22"/>
          <w:szCs w:val="22"/>
        </w:rPr>
      </w:pPr>
    </w:p>
    <w:p w:rsidR="00E071AF" w:rsidRPr="009A51B5" w:rsidRDefault="00E071AF" w:rsidP="00E071AF">
      <w:pPr>
        <w:pStyle w:val="Header"/>
        <w:widowControl w:val="0"/>
        <w:numPr>
          <w:ilvl w:val="0"/>
          <w:numId w:val="1"/>
        </w:numPr>
        <w:tabs>
          <w:tab w:val="clear" w:pos="4153"/>
          <w:tab w:val="clear" w:pos="8306"/>
          <w:tab w:val="center" w:pos="4419"/>
          <w:tab w:val="right" w:pos="8838"/>
        </w:tabs>
        <w:autoSpaceDE w:val="0"/>
        <w:autoSpaceDN w:val="0"/>
        <w:adjustRightInd w:val="0"/>
        <w:jc w:val="both"/>
        <w:rPr>
          <w:rFonts w:asciiTheme="majorHAnsi" w:hAnsiTheme="majorHAnsi"/>
          <w:sz w:val="22"/>
          <w:szCs w:val="22"/>
        </w:rPr>
      </w:pPr>
      <w:r>
        <w:rPr>
          <w:rFonts w:asciiTheme="majorHAnsi" w:hAnsiTheme="majorHAnsi"/>
          <w:sz w:val="22"/>
          <w:szCs w:val="22"/>
        </w:rPr>
        <w:t>Se a</w:t>
      </w:r>
      <w:r w:rsidRPr="009A51B5">
        <w:rPr>
          <w:rFonts w:asciiTheme="majorHAnsi" w:hAnsiTheme="majorHAnsi"/>
          <w:sz w:val="22"/>
          <w:szCs w:val="22"/>
        </w:rPr>
        <w:t>umenta</w:t>
      </w:r>
      <w:r>
        <w:rPr>
          <w:rFonts w:asciiTheme="majorHAnsi" w:hAnsiTheme="majorHAnsi"/>
          <w:sz w:val="22"/>
          <w:szCs w:val="22"/>
        </w:rPr>
        <w:t>n</w:t>
      </w:r>
      <w:r w:rsidRPr="009A51B5">
        <w:rPr>
          <w:rFonts w:asciiTheme="majorHAnsi" w:hAnsiTheme="majorHAnsi"/>
          <w:sz w:val="22"/>
          <w:szCs w:val="22"/>
        </w:rPr>
        <w:t xml:space="preserve"> los plazos de prescripción, tanto de la acción penal como de la pena misma, pasando de 5 a 10 años.</w:t>
      </w:r>
    </w:p>
    <w:p w:rsidR="00E071AF" w:rsidRDefault="00E071AF" w:rsidP="00E071AF">
      <w:pPr>
        <w:pStyle w:val="Header"/>
        <w:widowControl w:val="0"/>
        <w:numPr>
          <w:ilvl w:val="0"/>
          <w:numId w:val="1"/>
        </w:numPr>
        <w:tabs>
          <w:tab w:val="clear" w:pos="4153"/>
          <w:tab w:val="clear" w:pos="8306"/>
          <w:tab w:val="center" w:pos="4419"/>
          <w:tab w:val="right" w:pos="8838"/>
        </w:tabs>
        <w:autoSpaceDE w:val="0"/>
        <w:autoSpaceDN w:val="0"/>
        <w:adjustRightInd w:val="0"/>
        <w:jc w:val="both"/>
        <w:rPr>
          <w:rFonts w:asciiTheme="majorHAnsi" w:hAnsiTheme="majorHAnsi"/>
          <w:sz w:val="22"/>
          <w:szCs w:val="22"/>
        </w:rPr>
      </w:pPr>
      <w:r w:rsidRPr="009A51B5">
        <w:rPr>
          <w:rFonts w:asciiTheme="majorHAnsi" w:hAnsiTheme="majorHAnsi"/>
          <w:sz w:val="22"/>
          <w:szCs w:val="22"/>
        </w:rPr>
        <w:t>Permite la utilización de técnicas especiales de investigación, como por ejemplo, interceptaciones telefónicas.</w:t>
      </w:r>
    </w:p>
    <w:p w:rsidR="00E071AF" w:rsidRPr="009A51B5" w:rsidRDefault="00E071AF" w:rsidP="00E071AF">
      <w:pPr>
        <w:pStyle w:val="Header"/>
        <w:widowControl w:val="0"/>
        <w:numPr>
          <w:ilvl w:val="0"/>
          <w:numId w:val="1"/>
        </w:numPr>
        <w:tabs>
          <w:tab w:val="clear" w:pos="4153"/>
          <w:tab w:val="clear" w:pos="8306"/>
          <w:tab w:val="center" w:pos="4419"/>
          <w:tab w:val="right" w:pos="8838"/>
        </w:tabs>
        <w:autoSpaceDE w:val="0"/>
        <w:autoSpaceDN w:val="0"/>
        <w:adjustRightInd w:val="0"/>
        <w:jc w:val="both"/>
        <w:rPr>
          <w:rFonts w:asciiTheme="majorHAnsi" w:hAnsiTheme="majorHAnsi"/>
          <w:sz w:val="22"/>
          <w:szCs w:val="22"/>
        </w:rPr>
      </w:pPr>
      <w:r>
        <w:rPr>
          <w:rFonts w:asciiTheme="majorHAnsi" w:hAnsiTheme="majorHAnsi"/>
          <w:sz w:val="22"/>
          <w:szCs w:val="22"/>
        </w:rPr>
        <w:t xml:space="preserve">Permite otorgar la </w:t>
      </w:r>
      <w:r w:rsidRPr="009A51B5">
        <w:rPr>
          <w:rFonts w:asciiTheme="majorHAnsi" w:hAnsiTheme="majorHAnsi"/>
          <w:sz w:val="22"/>
          <w:szCs w:val="22"/>
        </w:rPr>
        <w:t xml:space="preserve">posibilidad real de aplicación de penas privativas de libertad efectivas, </w:t>
      </w:r>
      <w:r>
        <w:rPr>
          <w:rFonts w:asciiTheme="majorHAnsi" w:hAnsiTheme="majorHAnsi"/>
          <w:sz w:val="22"/>
          <w:szCs w:val="22"/>
        </w:rPr>
        <w:t xml:space="preserve">en virtud de las normas </w:t>
      </w:r>
      <w:r w:rsidRPr="009A51B5">
        <w:rPr>
          <w:rFonts w:asciiTheme="majorHAnsi" w:hAnsiTheme="majorHAnsi"/>
          <w:sz w:val="22"/>
          <w:szCs w:val="22"/>
        </w:rPr>
        <w:t>considerando el régimen de sustitución de penas de la Ley N°18.216.</w:t>
      </w:r>
    </w:p>
    <w:p w:rsidR="00E071AF" w:rsidRPr="00E071AF" w:rsidRDefault="00E071AF" w:rsidP="00E071AF">
      <w:pPr>
        <w:jc w:val="both"/>
        <w:rPr>
          <w:rFonts w:asciiTheme="majorHAnsi" w:hAnsiTheme="majorHAnsi"/>
        </w:rPr>
      </w:pPr>
    </w:p>
    <w:p w:rsidR="00E071AF" w:rsidRDefault="00E071AF" w:rsidP="005940D1">
      <w:pPr>
        <w:pStyle w:val="ListParagraph"/>
        <w:numPr>
          <w:ilvl w:val="0"/>
          <w:numId w:val="11"/>
        </w:numPr>
        <w:jc w:val="center"/>
        <w:rPr>
          <w:rFonts w:asciiTheme="majorHAnsi" w:hAnsiTheme="majorHAnsi"/>
        </w:rPr>
      </w:pPr>
      <w:r w:rsidRPr="00E071AF">
        <w:rPr>
          <w:rFonts w:asciiTheme="majorHAnsi" w:hAnsiTheme="majorHAnsi"/>
          <w:b/>
          <w:u w:val="single"/>
        </w:rPr>
        <w:t>Se consagra un nuevo caso de negociación incompatible</w:t>
      </w:r>
      <w:r>
        <w:rPr>
          <w:rFonts w:asciiTheme="majorHAnsi" w:hAnsiTheme="majorHAnsi"/>
        </w:rPr>
        <w:t>:</w:t>
      </w:r>
    </w:p>
    <w:p w:rsidR="00E071AF" w:rsidRDefault="00E071AF" w:rsidP="00E071AF">
      <w:pPr>
        <w:jc w:val="both"/>
        <w:rPr>
          <w:rFonts w:asciiTheme="majorHAnsi" w:hAnsiTheme="majorHAnsi"/>
          <w:sz w:val="22"/>
          <w:szCs w:val="22"/>
        </w:rPr>
      </w:pPr>
      <w:r>
        <w:rPr>
          <w:rFonts w:asciiTheme="majorHAnsi" w:hAnsiTheme="majorHAnsi"/>
          <w:sz w:val="22"/>
          <w:szCs w:val="22"/>
        </w:rPr>
        <w:t>S</w:t>
      </w:r>
      <w:r w:rsidRPr="009A51B5">
        <w:rPr>
          <w:rFonts w:asciiTheme="majorHAnsi" w:hAnsiTheme="majorHAnsi"/>
          <w:sz w:val="22"/>
          <w:szCs w:val="22"/>
        </w:rPr>
        <w:t xml:space="preserve">e modifica el delito de negociación incompatible </w:t>
      </w:r>
      <w:r w:rsidRPr="00E071AF">
        <w:rPr>
          <w:rFonts w:asciiTheme="majorHAnsi" w:hAnsiTheme="majorHAnsi"/>
          <w:b/>
          <w:sz w:val="22"/>
          <w:szCs w:val="22"/>
        </w:rPr>
        <w:t>(art. 240 del CP)</w:t>
      </w:r>
      <w:r>
        <w:rPr>
          <w:rFonts w:asciiTheme="majorHAnsi" w:hAnsiTheme="majorHAnsi"/>
          <w:b/>
          <w:sz w:val="22"/>
          <w:szCs w:val="22"/>
        </w:rPr>
        <w:t>,</w:t>
      </w:r>
      <w:r w:rsidRPr="009A51B5">
        <w:rPr>
          <w:rFonts w:asciiTheme="majorHAnsi" w:hAnsiTheme="majorHAnsi"/>
          <w:sz w:val="22"/>
          <w:szCs w:val="22"/>
        </w:rPr>
        <w:t xml:space="preserve"> elevando sus penas y reorganizando el tipo en si</w:t>
      </w:r>
      <w:r>
        <w:rPr>
          <w:rFonts w:asciiTheme="majorHAnsi" w:hAnsiTheme="majorHAnsi"/>
          <w:sz w:val="22"/>
          <w:szCs w:val="22"/>
        </w:rPr>
        <w:t xml:space="preserve">ete numerales, en los cuales </w:t>
      </w:r>
      <w:r w:rsidRPr="009A51B5">
        <w:rPr>
          <w:rFonts w:asciiTheme="majorHAnsi" w:hAnsiTheme="majorHAnsi"/>
          <w:sz w:val="22"/>
          <w:szCs w:val="22"/>
        </w:rPr>
        <w:t>se incorporan tres nuevos</w:t>
      </w:r>
      <w:r>
        <w:rPr>
          <w:rFonts w:asciiTheme="majorHAnsi" w:hAnsiTheme="majorHAnsi"/>
          <w:sz w:val="22"/>
          <w:szCs w:val="22"/>
        </w:rPr>
        <w:t xml:space="preserve"> sujetos que pueden cometer estos delitos, a saber:</w:t>
      </w:r>
      <w:r w:rsidRPr="009A51B5">
        <w:rPr>
          <w:rFonts w:asciiTheme="majorHAnsi" w:hAnsiTheme="majorHAnsi"/>
          <w:sz w:val="22"/>
          <w:szCs w:val="22"/>
        </w:rPr>
        <w:t xml:space="preserve">: </w:t>
      </w:r>
    </w:p>
    <w:p w:rsidR="00E071AF" w:rsidRPr="00E071AF" w:rsidRDefault="00E071AF" w:rsidP="00E071AF">
      <w:pPr>
        <w:pStyle w:val="ListParagraph"/>
        <w:numPr>
          <w:ilvl w:val="0"/>
          <w:numId w:val="13"/>
        </w:numPr>
        <w:jc w:val="both"/>
        <w:rPr>
          <w:rFonts w:asciiTheme="majorHAnsi" w:hAnsiTheme="majorHAnsi"/>
        </w:rPr>
      </w:pPr>
      <w:r w:rsidRPr="00E071AF">
        <w:rPr>
          <w:rFonts w:asciiTheme="majorHAnsi" w:hAnsiTheme="majorHAnsi"/>
        </w:rPr>
        <w:t>El veedor o liquidador en un procedimiento concursal;</w:t>
      </w:r>
    </w:p>
    <w:p w:rsidR="00E071AF" w:rsidRDefault="00E071AF" w:rsidP="00E071AF">
      <w:pPr>
        <w:pStyle w:val="ListParagraph"/>
        <w:numPr>
          <w:ilvl w:val="0"/>
          <w:numId w:val="13"/>
        </w:numPr>
        <w:jc w:val="both"/>
        <w:rPr>
          <w:rFonts w:asciiTheme="majorHAnsi" w:hAnsiTheme="majorHAnsi"/>
        </w:rPr>
      </w:pPr>
      <w:r>
        <w:rPr>
          <w:rFonts w:asciiTheme="majorHAnsi" w:hAnsiTheme="majorHAnsi"/>
        </w:rPr>
        <w:t>E</w:t>
      </w:r>
      <w:r w:rsidRPr="00E071AF">
        <w:rPr>
          <w:rFonts w:asciiTheme="majorHAnsi" w:hAnsiTheme="majorHAnsi"/>
        </w:rPr>
        <w:t>l administrador del patrimonio de una persona que se encuentre impedida d</w:t>
      </w:r>
      <w:r>
        <w:rPr>
          <w:rFonts w:asciiTheme="majorHAnsi" w:hAnsiTheme="majorHAnsi"/>
        </w:rPr>
        <w:t>e controlar su administración;</w:t>
      </w:r>
    </w:p>
    <w:p w:rsidR="00B37968" w:rsidRDefault="00E071AF" w:rsidP="00B37968">
      <w:pPr>
        <w:pStyle w:val="ListParagraph"/>
        <w:numPr>
          <w:ilvl w:val="0"/>
          <w:numId w:val="13"/>
        </w:numPr>
        <w:jc w:val="both"/>
        <w:rPr>
          <w:rFonts w:asciiTheme="majorHAnsi" w:hAnsiTheme="majorHAnsi"/>
        </w:rPr>
      </w:pPr>
      <w:r>
        <w:rPr>
          <w:rFonts w:asciiTheme="majorHAnsi" w:hAnsiTheme="majorHAnsi"/>
        </w:rPr>
        <w:t xml:space="preserve"> E</w:t>
      </w:r>
      <w:r w:rsidRPr="00E071AF">
        <w:rPr>
          <w:rFonts w:asciiTheme="majorHAnsi" w:hAnsiTheme="majorHAnsi"/>
        </w:rPr>
        <w:t>l director o gerente de una sociedad anónima, así como toda persona a quien le sean aplicables los deberes que la ley establece a los directores o gerentes de estas sociedades.</w:t>
      </w:r>
    </w:p>
    <w:p w:rsidR="00B37968" w:rsidRPr="00B37968" w:rsidRDefault="00B37968" w:rsidP="00B37968">
      <w:pPr>
        <w:ind w:left="360"/>
        <w:jc w:val="both"/>
        <w:rPr>
          <w:rFonts w:asciiTheme="majorHAnsi" w:eastAsiaTheme="minorHAnsi" w:hAnsiTheme="majorHAnsi" w:cstheme="minorBidi"/>
          <w:sz w:val="22"/>
          <w:szCs w:val="22"/>
        </w:rPr>
      </w:pPr>
      <w:r w:rsidRPr="00B37968">
        <w:rPr>
          <w:rFonts w:asciiTheme="majorHAnsi" w:eastAsia="Times New Roman" w:hAnsiTheme="majorHAnsi" w:cs="Arial"/>
          <w:color w:val="943634" w:themeColor="accent2" w:themeShade="BF"/>
          <w:sz w:val="22"/>
          <w:szCs w:val="22"/>
        </w:rPr>
        <w:t>Sugerencia: Ap</w:t>
      </w:r>
      <w:r>
        <w:rPr>
          <w:rFonts w:asciiTheme="majorHAnsi" w:eastAsia="Times New Roman" w:hAnsiTheme="majorHAnsi" w:cs="Arial"/>
          <w:color w:val="943634" w:themeColor="accent2" w:themeShade="BF"/>
          <w:sz w:val="22"/>
          <w:szCs w:val="22"/>
        </w:rPr>
        <w:t>robar (Aprobado con unanimidad 9</w:t>
      </w:r>
      <w:r w:rsidRPr="00B37968">
        <w:rPr>
          <w:rFonts w:asciiTheme="majorHAnsi" w:eastAsia="Times New Roman" w:hAnsiTheme="majorHAnsi" w:cs="Arial"/>
          <w:color w:val="943634" w:themeColor="accent2" w:themeShade="BF"/>
          <w:sz w:val="22"/>
          <w:szCs w:val="22"/>
        </w:rPr>
        <w:t>x0 en Comisión Mixta)</w:t>
      </w:r>
    </w:p>
    <w:p w:rsidR="00B37968" w:rsidRPr="009A51B5" w:rsidRDefault="00B37968" w:rsidP="00B37968">
      <w:pPr>
        <w:pStyle w:val="ListParagraph"/>
        <w:spacing w:after="0" w:line="240" w:lineRule="auto"/>
        <w:ind w:left="1080"/>
        <w:jc w:val="both"/>
        <w:rPr>
          <w:rFonts w:asciiTheme="majorHAnsi" w:hAnsiTheme="majorHAnsi"/>
          <w:b/>
        </w:rPr>
      </w:pPr>
    </w:p>
    <w:p w:rsidR="00E071AF" w:rsidRPr="00E071AF" w:rsidRDefault="00E071AF" w:rsidP="00E071AF">
      <w:pPr>
        <w:pStyle w:val="ListParagraph"/>
        <w:ind w:left="1080"/>
        <w:jc w:val="both"/>
        <w:rPr>
          <w:rFonts w:asciiTheme="majorHAnsi" w:hAnsiTheme="majorHAnsi"/>
        </w:rPr>
      </w:pPr>
    </w:p>
    <w:p w:rsidR="00E071AF" w:rsidRDefault="00E071AF" w:rsidP="005940D1">
      <w:pPr>
        <w:pStyle w:val="ListParagraph"/>
        <w:numPr>
          <w:ilvl w:val="0"/>
          <w:numId w:val="11"/>
        </w:numPr>
        <w:jc w:val="center"/>
        <w:rPr>
          <w:rFonts w:asciiTheme="majorHAnsi" w:hAnsiTheme="majorHAnsi"/>
        </w:rPr>
      </w:pPr>
      <w:r w:rsidRPr="00E071AF">
        <w:rPr>
          <w:rFonts w:asciiTheme="majorHAnsi" w:hAnsiTheme="majorHAnsi"/>
          <w:b/>
          <w:u w:val="single"/>
        </w:rPr>
        <w:t>Tipicficación de nuevo delito de cohecho en razón del cargo</w:t>
      </w:r>
      <w:r w:rsidR="00612662">
        <w:rPr>
          <w:rFonts w:asciiTheme="majorHAnsi" w:hAnsiTheme="majorHAnsi"/>
          <w:b/>
          <w:u w:val="single"/>
        </w:rPr>
        <w:t xml:space="preserve"> (art. 250)</w:t>
      </w:r>
      <w:r>
        <w:rPr>
          <w:rFonts w:asciiTheme="majorHAnsi" w:hAnsiTheme="majorHAnsi"/>
        </w:rPr>
        <w:t>:</w:t>
      </w:r>
    </w:p>
    <w:p w:rsidR="00E071AF" w:rsidRPr="009A51B5" w:rsidRDefault="00B37968" w:rsidP="00E071AF">
      <w:pPr>
        <w:pStyle w:val="Header"/>
        <w:jc w:val="both"/>
        <w:rPr>
          <w:rFonts w:asciiTheme="majorHAnsi" w:hAnsiTheme="majorHAnsi"/>
          <w:sz w:val="22"/>
          <w:szCs w:val="22"/>
        </w:rPr>
      </w:pPr>
      <w:r>
        <w:rPr>
          <w:rFonts w:asciiTheme="majorHAnsi" w:hAnsiTheme="majorHAnsi"/>
          <w:sz w:val="22"/>
          <w:szCs w:val="22"/>
        </w:rPr>
        <w:t>La Comisión Mixta aprobó</w:t>
      </w:r>
      <w:r w:rsidR="00E071AF">
        <w:rPr>
          <w:rFonts w:asciiTheme="majorHAnsi" w:hAnsiTheme="majorHAnsi"/>
          <w:sz w:val="22"/>
          <w:szCs w:val="22"/>
        </w:rPr>
        <w:t xml:space="preserve"> la figura de </w:t>
      </w:r>
      <w:r w:rsidR="00E071AF" w:rsidRPr="009A51B5">
        <w:rPr>
          <w:rFonts w:asciiTheme="majorHAnsi" w:hAnsiTheme="majorHAnsi"/>
          <w:sz w:val="22"/>
          <w:szCs w:val="22"/>
        </w:rPr>
        <w:t>este nuevo ilícito</w:t>
      </w:r>
      <w:r w:rsidR="000F2BD5">
        <w:rPr>
          <w:rFonts w:asciiTheme="majorHAnsi" w:hAnsiTheme="majorHAnsi"/>
          <w:sz w:val="22"/>
          <w:szCs w:val="22"/>
        </w:rPr>
        <w:t>, mediante el cual</w:t>
      </w:r>
      <w:r w:rsidR="00E071AF" w:rsidRPr="009A51B5">
        <w:rPr>
          <w:rFonts w:asciiTheme="majorHAnsi" w:hAnsiTheme="majorHAnsi"/>
          <w:sz w:val="22"/>
          <w:szCs w:val="22"/>
        </w:rPr>
        <w:t xml:space="preserve"> se sanciona al empleado público que en razón de su cargo solicitare o aceptare un beneficio económico o de otra naturaleza al que no tiene derecho, para sí o para un tercero. </w:t>
      </w:r>
    </w:p>
    <w:p w:rsidR="000F2BD5" w:rsidRDefault="000F2BD5" w:rsidP="000F2BD5">
      <w:pPr>
        <w:pStyle w:val="Header"/>
        <w:jc w:val="both"/>
        <w:rPr>
          <w:rFonts w:asciiTheme="majorHAnsi" w:hAnsiTheme="majorHAnsi"/>
          <w:sz w:val="22"/>
          <w:szCs w:val="22"/>
        </w:rPr>
      </w:pPr>
    </w:p>
    <w:p w:rsidR="00E071AF" w:rsidRDefault="000F2BD5" w:rsidP="000F2BD5">
      <w:pPr>
        <w:pStyle w:val="Header"/>
        <w:jc w:val="both"/>
        <w:rPr>
          <w:rFonts w:asciiTheme="majorHAnsi" w:hAnsiTheme="majorHAnsi"/>
          <w:sz w:val="22"/>
          <w:szCs w:val="22"/>
        </w:rPr>
      </w:pPr>
      <w:r>
        <w:rPr>
          <w:rFonts w:asciiTheme="majorHAnsi" w:hAnsiTheme="majorHAnsi"/>
          <w:sz w:val="22"/>
          <w:szCs w:val="22"/>
        </w:rPr>
        <w:t xml:space="preserve">La particularidad de </w:t>
      </w:r>
      <w:r w:rsidR="00E071AF" w:rsidRPr="000F2BD5">
        <w:rPr>
          <w:rFonts w:asciiTheme="majorHAnsi" w:hAnsiTheme="majorHAnsi"/>
          <w:sz w:val="22"/>
          <w:szCs w:val="22"/>
        </w:rPr>
        <w:t>este nuevo tipo</w:t>
      </w:r>
      <w:r>
        <w:rPr>
          <w:rFonts w:asciiTheme="majorHAnsi" w:hAnsiTheme="majorHAnsi"/>
          <w:sz w:val="22"/>
          <w:szCs w:val="22"/>
        </w:rPr>
        <w:t xml:space="preserve"> penal, es que se </w:t>
      </w:r>
      <w:r w:rsidR="00E071AF" w:rsidRPr="000F2BD5">
        <w:rPr>
          <w:rFonts w:asciiTheme="majorHAnsi" w:hAnsiTheme="majorHAnsi"/>
          <w:sz w:val="22"/>
          <w:szCs w:val="22"/>
        </w:rPr>
        <w:t>prescinde de la vinculación entre el beneficio y la realización de un acto propio del cargo. Se trata de un tipo que ha sido promovido en los últimos proyectos de Código Penal</w:t>
      </w:r>
      <w:r>
        <w:rPr>
          <w:rFonts w:asciiTheme="majorHAnsi" w:hAnsiTheme="majorHAnsi"/>
          <w:sz w:val="22"/>
          <w:szCs w:val="22"/>
        </w:rPr>
        <w:t xml:space="preserve"> y que</w:t>
      </w:r>
      <w:r w:rsidR="00E071AF" w:rsidRPr="000F2BD5">
        <w:rPr>
          <w:rFonts w:asciiTheme="majorHAnsi" w:hAnsiTheme="majorHAnsi"/>
          <w:sz w:val="22"/>
          <w:szCs w:val="22"/>
        </w:rPr>
        <w:t xml:space="preserve"> ha sido paulatinamente incorporado en el derecho comparado.</w:t>
      </w:r>
    </w:p>
    <w:p w:rsidR="00612662" w:rsidRPr="000F2BD5" w:rsidRDefault="00612662" w:rsidP="000F2BD5">
      <w:pPr>
        <w:pStyle w:val="Header"/>
        <w:jc w:val="both"/>
        <w:rPr>
          <w:rFonts w:asciiTheme="majorHAnsi" w:hAnsiTheme="majorHAnsi"/>
          <w:sz w:val="22"/>
          <w:szCs w:val="22"/>
        </w:rPr>
      </w:pPr>
    </w:p>
    <w:p w:rsidR="00612662" w:rsidRPr="00BD087C" w:rsidRDefault="00612662" w:rsidP="00612662">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Apr</w:t>
      </w:r>
      <w:r>
        <w:rPr>
          <w:rFonts w:asciiTheme="majorHAnsi" w:eastAsia="Times New Roman" w:hAnsiTheme="majorHAnsi" w:cs="Arial"/>
          <w:color w:val="943634" w:themeColor="accent2" w:themeShade="BF"/>
          <w:sz w:val="22"/>
          <w:szCs w:val="22"/>
        </w:rPr>
        <w:t>obar (Aprobado con unanimidad 10</w:t>
      </w:r>
      <w:r w:rsidRPr="00BD087C">
        <w:rPr>
          <w:rFonts w:asciiTheme="majorHAnsi" w:eastAsia="Times New Roman" w:hAnsiTheme="majorHAnsi" w:cs="Arial"/>
          <w:color w:val="943634" w:themeColor="accent2" w:themeShade="BF"/>
          <w:sz w:val="22"/>
          <w:szCs w:val="22"/>
        </w:rPr>
        <w:t>x0 en Comisión Mixta)</w:t>
      </w:r>
    </w:p>
    <w:p w:rsidR="00612662" w:rsidRPr="009A51B5" w:rsidRDefault="00612662" w:rsidP="00612662">
      <w:pPr>
        <w:pStyle w:val="ListParagraph"/>
        <w:spacing w:after="0" w:line="240" w:lineRule="auto"/>
        <w:ind w:left="1440"/>
        <w:jc w:val="both"/>
        <w:rPr>
          <w:rFonts w:asciiTheme="majorHAnsi" w:hAnsiTheme="majorHAnsi"/>
          <w:b/>
        </w:rPr>
      </w:pPr>
    </w:p>
    <w:p w:rsidR="00612662" w:rsidRDefault="00612662" w:rsidP="009B0D7E">
      <w:pPr>
        <w:rPr>
          <w:rFonts w:asciiTheme="majorHAnsi" w:hAnsiTheme="majorHAnsi"/>
          <w:b/>
          <w:u w:val="single"/>
        </w:rPr>
      </w:pPr>
    </w:p>
    <w:p w:rsidR="00612662" w:rsidRPr="009B0D7E" w:rsidRDefault="00612662" w:rsidP="009B0D7E">
      <w:pPr>
        <w:rPr>
          <w:rFonts w:asciiTheme="majorHAnsi" w:hAnsiTheme="majorHAnsi"/>
          <w:b/>
          <w:u w:val="single"/>
        </w:rPr>
      </w:pPr>
    </w:p>
    <w:p w:rsidR="00E071AF" w:rsidRDefault="000F2BD5" w:rsidP="005940D1">
      <w:pPr>
        <w:pStyle w:val="ListParagraph"/>
        <w:numPr>
          <w:ilvl w:val="0"/>
          <w:numId w:val="11"/>
        </w:numPr>
        <w:jc w:val="center"/>
        <w:rPr>
          <w:rFonts w:asciiTheme="majorHAnsi" w:hAnsiTheme="majorHAnsi"/>
        </w:rPr>
      </w:pPr>
      <w:r w:rsidRPr="000F2BD5">
        <w:rPr>
          <w:rFonts w:asciiTheme="majorHAnsi" w:hAnsiTheme="majorHAnsi"/>
          <w:b/>
          <w:u w:val="single"/>
        </w:rPr>
        <w:t>Modificación al delito de cohecho a funcionario público extranjero</w:t>
      </w:r>
      <w:r w:rsidR="005C20E1">
        <w:rPr>
          <w:rFonts w:asciiTheme="majorHAnsi" w:hAnsiTheme="majorHAnsi"/>
          <w:b/>
          <w:u w:val="single"/>
        </w:rPr>
        <w:t xml:space="preserve"> (art 251 bis)</w:t>
      </w:r>
      <w:r>
        <w:rPr>
          <w:rFonts w:asciiTheme="majorHAnsi" w:hAnsiTheme="majorHAnsi"/>
        </w:rPr>
        <w:t>:</w:t>
      </w:r>
    </w:p>
    <w:p w:rsidR="00F311A0" w:rsidRDefault="00F311A0" w:rsidP="00F311A0">
      <w:pPr>
        <w:pStyle w:val="ListParagraph"/>
        <w:ind w:left="1080"/>
        <w:rPr>
          <w:rFonts w:asciiTheme="majorHAnsi" w:hAnsiTheme="majorHAnsi"/>
        </w:rPr>
      </w:pPr>
    </w:p>
    <w:p w:rsidR="00F311A0" w:rsidRPr="00D568D2" w:rsidRDefault="000F2BD5" w:rsidP="00D568D2">
      <w:pPr>
        <w:pStyle w:val="ListParagraph"/>
        <w:numPr>
          <w:ilvl w:val="0"/>
          <w:numId w:val="1"/>
        </w:numPr>
        <w:ind w:left="284"/>
        <w:jc w:val="both"/>
        <w:rPr>
          <w:rFonts w:asciiTheme="majorHAnsi" w:hAnsiTheme="majorHAnsi"/>
          <w:lang w:val="es-ES_tradnl"/>
        </w:rPr>
      </w:pPr>
      <w:r w:rsidRPr="00F311A0">
        <w:rPr>
          <w:rFonts w:asciiTheme="majorHAnsi" w:hAnsiTheme="majorHAnsi"/>
        </w:rPr>
        <w:t xml:space="preserve">Junto con aumentarse las penas, se </w:t>
      </w:r>
      <w:r w:rsidRPr="00F311A0">
        <w:rPr>
          <w:rFonts w:asciiTheme="majorHAnsi" w:hAnsiTheme="majorHAnsi"/>
          <w:lang w:val="es-ES_tradnl"/>
        </w:rPr>
        <w:t xml:space="preserve"> sanciona al que ofrece, promete, da o consiente en dar a un funcionario público extranjero un beneficio económico o de otra naturaleza, para que “</w:t>
      </w:r>
      <w:r w:rsidRPr="00F311A0">
        <w:rPr>
          <w:rFonts w:asciiTheme="majorHAnsi" w:hAnsiTheme="majorHAnsi"/>
          <w:u w:val="single"/>
          <w:lang w:val="es-ES_tradnl"/>
        </w:rPr>
        <w:t>omita o ejecute, o por haber omitido o ejecutado, una acción en el ejercicio de sus funciones</w:t>
      </w:r>
      <w:r w:rsidRPr="00F311A0">
        <w:rPr>
          <w:rFonts w:asciiTheme="majorHAnsi" w:hAnsiTheme="majorHAnsi"/>
          <w:lang w:val="es-ES_tradnl"/>
        </w:rPr>
        <w:t>”.  Esta nueva tipificación implica incluir, dentro de las formas de comisión, casos en que el soborno ha sido dado u ofrecido para inducir a un funcionario para cumplir con su deber, o bien, cuando ha sido dado u ofrecido, por ejemplo, por la empresa mejor calificada o que podría haber obtenido el negocio sin el soborno, los que eventualmente podrían quedar fuera con la redacción actual.</w:t>
      </w:r>
    </w:p>
    <w:p w:rsidR="00457C79" w:rsidRPr="00D568D2" w:rsidRDefault="00F311A0" w:rsidP="00457C79">
      <w:pPr>
        <w:pStyle w:val="ListParagraph"/>
        <w:numPr>
          <w:ilvl w:val="0"/>
          <w:numId w:val="1"/>
        </w:numPr>
        <w:ind w:left="284"/>
        <w:jc w:val="both"/>
        <w:rPr>
          <w:rFonts w:asciiTheme="majorHAnsi" w:hAnsiTheme="majorHAnsi"/>
          <w:lang w:val="es-ES_tradnl"/>
        </w:rPr>
      </w:pPr>
      <w:r>
        <w:rPr>
          <w:rFonts w:asciiTheme="majorHAnsi" w:hAnsiTheme="majorHAnsi"/>
          <w:lang w:val="es-ES_tradnl"/>
        </w:rPr>
        <w:t>Junto con lo anterior, s</w:t>
      </w:r>
      <w:r w:rsidR="000F2BD5" w:rsidRPr="00F311A0">
        <w:rPr>
          <w:rFonts w:asciiTheme="majorHAnsi" w:hAnsiTheme="majorHAnsi"/>
          <w:lang w:val="es-ES_tradnl"/>
        </w:rPr>
        <w:t>e amplía el ámbito de aplicación del delito a “</w:t>
      </w:r>
      <w:r w:rsidR="000F2BD5" w:rsidRPr="00F311A0">
        <w:rPr>
          <w:rFonts w:asciiTheme="majorHAnsi" w:hAnsiTheme="majorHAnsi"/>
          <w:u w:val="single"/>
          <w:lang w:val="es-ES_tradnl"/>
        </w:rPr>
        <w:t>una actividad económica desempeñada en el extranjero</w:t>
      </w:r>
      <w:r w:rsidR="00457C79">
        <w:rPr>
          <w:rFonts w:asciiTheme="majorHAnsi" w:hAnsiTheme="majorHAnsi"/>
          <w:lang w:val="es-ES_tradnl"/>
        </w:rPr>
        <w:t>”. Esta redacción es más clara que la que existe actualmente, la cual busca habla de “transacciones internacionales” y que pareciera aludir a transacciones ocurridas dentro del comercio internacional. La nueva figura incluiría casos que la “Convención para combatir el cohecho de servidores públicos extranjeros en transacciones comerciales internacionales” busca sancionar, tales como la obtención de permisos para la instalación de capitales nacionales en otro país a cambio de la oferta o entrega de  beneficios.</w:t>
      </w:r>
    </w:p>
    <w:p w:rsidR="000F2BD5" w:rsidRPr="005C20E1" w:rsidRDefault="00457C79" w:rsidP="00F311A0">
      <w:pPr>
        <w:pStyle w:val="ListParagraph"/>
        <w:numPr>
          <w:ilvl w:val="0"/>
          <w:numId w:val="1"/>
        </w:numPr>
        <w:ind w:left="284"/>
        <w:jc w:val="both"/>
        <w:rPr>
          <w:rFonts w:asciiTheme="majorHAnsi" w:hAnsiTheme="majorHAnsi"/>
          <w:lang w:val="es-ES_tradnl"/>
        </w:rPr>
      </w:pPr>
      <w:r>
        <w:rPr>
          <w:rFonts w:asciiTheme="majorHAnsi" w:hAnsiTheme="majorHAnsi"/>
          <w:lang w:val="es-ES"/>
        </w:rPr>
        <w:t>Por su parte, c</w:t>
      </w:r>
      <w:r w:rsidR="000F2BD5" w:rsidRPr="00F311A0">
        <w:rPr>
          <w:rFonts w:asciiTheme="majorHAnsi" w:hAnsiTheme="majorHAnsi"/>
          <w:lang w:val="es-ES"/>
        </w:rPr>
        <w:t xml:space="preserve">omo consecuencia de la incorporación de la figura de cohecho en razón del cargo (art. 248) y su análogo en el soborno (art. 250), se modifica la figura sancionando también en el cohecho transnacional, el soborno por “una acción en razón de su cargo”. </w:t>
      </w:r>
      <w:r w:rsidR="000F2BD5" w:rsidRPr="00F311A0">
        <w:rPr>
          <w:rFonts w:asciiTheme="majorHAnsi" w:hAnsiTheme="majorHAnsi"/>
          <w:u w:val="single"/>
          <w:lang w:val="es-ES"/>
        </w:rPr>
        <w:t>Esta modificación es coherente con la “</w:t>
      </w:r>
      <w:r w:rsidR="000F2BD5" w:rsidRPr="00F311A0">
        <w:rPr>
          <w:rFonts w:asciiTheme="majorHAnsi" w:hAnsiTheme="majorHAnsi"/>
          <w:u w:val="single"/>
        </w:rPr>
        <w:t>Convención para combatir el cohecho de servidores públicos extranjeros en transacciones comerciales internacionales” de la OCDE.</w:t>
      </w:r>
    </w:p>
    <w:p w:rsidR="00E071AF" w:rsidRPr="005C20E1" w:rsidRDefault="005C20E1" w:rsidP="005C20E1">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5C20E1">
        <w:rPr>
          <w:rFonts w:asciiTheme="majorHAnsi" w:eastAsia="Times New Roman" w:hAnsiTheme="majorHAnsi" w:cs="Arial"/>
          <w:color w:val="943634" w:themeColor="accent2" w:themeShade="BF"/>
          <w:sz w:val="22"/>
          <w:szCs w:val="22"/>
        </w:rPr>
        <w:t>Sugerencia: Aprobar (Aprobado con un</w:t>
      </w:r>
      <w:r>
        <w:rPr>
          <w:rFonts w:asciiTheme="majorHAnsi" w:eastAsia="Times New Roman" w:hAnsiTheme="majorHAnsi" w:cs="Arial"/>
          <w:color w:val="943634" w:themeColor="accent2" w:themeShade="BF"/>
          <w:sz w:val="22"/>
          <w:szCs w:val="22"/>
        </w:rPr>
        <w:t xml:space="preserve">animidad </w:t>
      </w:r>
      <w:r w:rsidRPr="005C20E1">
        <w:rPr>
          <w:rFonts w:asciiTheme="majorHAnsi" w:eastAsia="Times New Roman" w:hAnsiTheme="majorHAnsi" w:cs="Arial"/>
          <w:color w:val="943634" w:themeColor="accent2" w:themeShade="BF"/>
          <w:sz w:val="22"/>
          <w:szCs w:val="22"/>
        </w:rPr>
        <w:t>10x0 en Comisión Mixta)</w:t>
      </w:r>
    </w:p>
    <w:p w:rsidR="005C20E1" w:rsidRPr="005C20E1" w:rsidRDefault="005C20E1" w:rsidP="005C20E1">
      <w:pPr>
        <w:pStyle w:val="ListParagraph"/>
        <w:widowControl w:val="0"/>
        <w:suppressAutoHyphens/>
        <w:autoSpaceDE w:val="0"/>
        <w:autoSpaceDN w:val="0"/>
        <w:adjustRightInd w:val="0"/>
        <w:jc w:val="both"/>
        <w:rPr>
          <w:rFonts w:asciiTheme="majorHAnsi" w:eastAsia="Times New Roman" w:hAnsiTheme="majorHAnsi" w:cs="Arial"/>
          <w:color w:val="943634" w:themeColor="accent2" w:themeShade="BF"/>
        </w:rPr>
      </w:pPr>
    </w:p>
    <w:p w:rsidR="0075794A" w:rsidRPr="0075794A" w:rsidRDefault="00457C79" w:rsidP="005940D1">
      <w:pPr>
        <w:pStyle w:val="ListParagraph"/>
        <w:numPr>
          <w:ilvl w:val="0"/>
          <w:numId w:val="11"/>
        </w:numPr>
        <w:jc w:val="center"/>
        <w:rPr>
          <w:rFonts w:asciiTheme="majorHAnsi" w:hAnsiTheme="majorHAnsi"/>
        </w:rPr>
      </w:pPr>
      <w:r w:rsidRPr="00457C79">
        <w:rPr>
          <w:rFonts w:asciiTheme="majorHAnsi" w:hAnsiTheme="majorHAnsi"/>
          <w:b/>
          <w:u w:val="single"/>
        </w:rPr>
        <w:t>Establecimiento de nuevas normas comunes para delitos funcionarios</w:t>
      </w:r>
      <w:r>
        <w:rPr>
          <w:rFonts w:asciiTheme="majorHAnsi" w:hAnsiTheme="majorHAnsi"/>
        </w:rPr>
        <w:t>:</w:t>
      </w:r>
    </w:p>
    <w:p w:rsidR="0075794A" w:rsidRDefault="0075794A" w:rsidP="0075794A">
      <w:pPr>
        <w:jc w:val="both"/>
        <w:rPr>
          <w:rFonts w:asciiTheme="majorHAnsi" w:hAnsiTheme="majorHAnsi"/>
          <w:b/>
          <w:sz w:val="22"/>
          <w:szCs w:val="22"/>
        </w:rPr>
      </w:pPr>
      <w:r w:rsidRPr="00902D44">
        <w:rPr>
          <w:rFonts w:asciiTheme="majorHAnsi" w:eastAsiaTheme="minorHAnsi" w:hAnsiTheme="majorHAnsi" w:cstheme="minorBidi"/>
          <w:b/>
          <w:sz w:val="22"/>
          <w:szCs w:val="22"/>
          <w:lang w:val="es-CL" w:eastAsia="en-US"/>
        </w:rPr>
        <w:t>E.1.</w:t>
      </w:r>
      <w:r>
        <w:rPr>
          <w:rFonts w:asciiTheme="majorHAnsi" w:eastAsiaTheme="minorHAnsi" w:hAnsiTheme="majorHAnsi" w:cstheme="minorBidi"/>
          <w:sz w:val="22"/>
          <w:szCs w:val="22"/>
          <w:lang w:val="es-CL" w:eastAsia="en-US"/>
        </w:rPr>
        <w:t xml:space="preserve"> </w:t>
      </w:r>
      <w:r w:rsidRPr="009A51B5">
        <w:rPr>
          <w:rFonts w:asciiTheme="majorHAnsi" w:hAnsiTheme="majorHAnsi"/>
          <w:b/>
          <w:sz w:val="22"/>
          <w:szCs w:val="22"/>
        </w:rPr>
        <w:t xml:space="preserve">Nueva pena de inhabilitación prevista en el nuevo art. 251 </w:t>
      </w:r>
      <w:proofErr w:type="spellStart"/>
      <w:r w:rsidRPr="009A51B5">
        <w:rPr>
          <w:rFonts w:asciiTheme="majorHAnsi" w:hAnsiTheme="majorHAnsi"/>
          <w:b/>
          <w:sz w:val="22"/>
          <w:szCs w:val="22"/>
        </w:rPr>
        <w:t>quáter</w:t>
      </w:r>
      <w:proofErr w:type="spellEnd"/>
      <w:r>
        <w:rPr>
          <w:rFonts w:asciiTheme="majorHAnsi" w:hAnsiTheme="majorHAnsi"/>
          <w:b/>
          <w:sz w:val="22"/>
          <w:szCs w:val="22"/>
        </w:rPr>
        <w:t xml:space="preserve">: </w:t>
      </w:r>
    </w:p>
    <w:p w:rsidR="00F168E2" w:rsidRDefault="00F168E2" w:rsidP="0075794A">
      <w:pPr>
        <w:jc w:val="both"/>
        <w:rPr>
          <w:rFonts w:asciiTheme="majorHAnsi" w:hAnsiTheme="majorHAnsi"/>
          <w:sz w:val="22"/>
          <w:szCs w:val="22"/>
        </w:rPr>
      </w:pPr>
    </w:p>
    <w:p w:rsidR="0075794A" w:rsidRDefault="0075794A" w:rsidP="0075794A">
      <w:pPr>
        <w:jc w:val="both"/>
        <w:rPr>
          <w:rFonts w:asciiTheme="majorHAnsi" w:hAnsiTheme="majorHAnsi"/>
          <w:sz w:val="22"/>
          <w:szCs w:val="22"/>
        </w:rPr>
      </w:pPr>
      <w:r>
        <w:rPr>
          <w:rFonts w:asciiTheme="majorHAnsi" w:hAnsiTheme="majorHAnsi"/>
          <w:sz w:val="22"/>
          <w:szCs w:val="22"/>
        </w:rPr>
        <w:t xml:space="preserve">La Comisión Mixta aprobó una </w:t>
      </w:r>
      <w:r w:rsidRPr="000C6C8C">
        <w:rPr>
          <w:rFonts w:asciiTheme="majorHAnsi" w:hAnsiTheme="majorHAnsi"/>
          <w:sz w:val="22"/>
          <w:szCs w:val="22"/>
          <w:u w:val="single"/>
        </w:rPr>
        <w:t>nueva pena accesoria</w:t>
      </w:r>
      <w:r>
        <w:rPr>
          <w:rFonts w:asciiTheme="majorHAnsi" w:hAnsiTheme="majorHAnsi"/>
          <w:sz w:val="22"/>
          <w:szCs w:val="22"/>
        </w:rPr>
        <w:t xml:space="preserve"> </w:t>
      </w:r>
      <w:r w:rsidRPr="009A51B5">
        <w:rPr>
          <w:rFonts w:asciiTheme="majorHAnsi" w:hAnsiTheme="majorHAnsi"/>
          <w:sz w:val="22"/>
          <w:szCs w:val="22"/>
        </w:rPr>
        <w:t xml:space="preserve">aplicable a los </w:t>
      </w:r>
      <w:r w:rsidRPr="000C6C8C">
        <w:rPr>
          <w:rFonts w:asciiTheme="majorHAnsi" w:hAnsiTheme="majorHAnsi"/>
          <w:sz w:val="22"/>
          <w:szCs w:val="22"/>
          <w:u w:val="single"/>
        </w:rPr>
        <w:t>delitos de cohecho doméstico y transnacional</w:t>
      </w:r>
      <w:r w:rsidRPr="009A51B5">
        <w:rPr>
          <w:rFonts w:asciiTheme="majorHAnsi" w:hAnsiTheme="majorHAnsi"/>
          <w:sz w:val="22"/>
          <w:szCs w:val="22"/>
        </w:rPr>
        <w:t>, a partir de la cual se inhabilita al condenado para ejercer cargos en empresas que provean al Estado o que suministren bienes</w:t>
      </w:r>
      <w:r>
        <w:rPr>
          <w:rFonts w:asciiTheme="majorHAnsi" w:hAnsiTheme="majorHAnsi"/>
          <w:sz w:val="22"/>
          <w:szCs w:val="22"/>
        </w:rPr>
        <w:t xml:space="preserve"> o servicios de utilidad público.</w:t>
      </w:r>
    </w:p>
    <w:p w:rsidR="0075794A" w:rsidRDefault="0075794A" w:rsidP="0075794A">
      <w:pPr>
        <w:jc w:val="both"/>
        <w:rPr>
          <w:rFonts w:asciiTheme="majorHAnsi" w:hAnsiTheme="majorHAnsi"/>
          <w:sz w:val="22"/>
          <w:szCs w:val="22"/>
        </w:rPr>
      </w:pPr>
    </w:p>
    <w:p w:rsidR="005C20E1" w:rsidRDefault="0075794A" w:rsidP="0075794A">
      <w:pPr>
        <w:jc w:val="both"/>
        <w:rPr>
          <w:rFonts w:asciiTheme="majorHAnsi" w:hAnsiTheme="majorHAnsi"/>
          <w:sz w:val="22"/>
          <w:szCs w:val="22"/>
        </w:rPr>
      </w:pPr>
      <w:r>
        <w:rPr>
          <w:rFonts w:asciiTheme="majorHAnsi" w:hAnsiTheme="majorHAnsi"/>
          <w:sz w:val="22"/>
          <w:szCs w:val="22"/>
        </w:rPr>
        <w:t>El propósito de esta norma es buscar un efecto disuasivo que pueda tener esta pena en este tipo de delitos. Para esto, la inhabilitación para ejercer cargos busca afectar el “status” que ostentan muchas veces quienes cometen estos delitos, bajo el entendido que la sola amenaza de ser privado de libertad no constituye un disuasivo suficiente para estos delitos.</w:t>
      </w:r>
    </w:p>
    <w:p w:rsidR="005C20E1" w:rsidRPr="00BD087C" w:rsidRDefault="005C20E1" w:rsidP="005C20E1">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Apr</w:t>
      </w:r>
      <w:r>
        <w:rPr>
          <w:rFonts w:asciiTheme="majorHAnsi" w:eastAsia="Times New Roman" w:hAnsiTheme="majorHAnsi" w:cs="Arial"/>
          <w:color w:val="943634" w:themeColor="accent2" w:themeShade="BF"/>
          <w:sz w:val="22"/>
          <w:szCs w:val="22"/>
        </w:rPr>
        <w:t>obar (Aprobado con unanimidad (9</w:t>
      </w:r>
      <w:r w:rsidRPr="00BD087C">
        <w:rPr>
          <w:rFonts w:asciiTheme="majorHAnsi" w:eastAsia="Times New Roman" w:hAnsiTheme="majorHAnsi" w:cs="Arial"/>
          <w:color w:val="943634" w:themeColor="accent2" w:themeShade="BF"/>
          <w:sz w:val="22"/>
          <w:szCs w:val="22"/>
        </w:rPr>
        <w:t>x0 en Comisión Mixta)</w:t>
      </w:r>
    </w:p>
    <w:p w:rsidR="0075794A" w:rsidRDefault="0075794A" w:rsidP="0075794A">
      <w:pPr>
        <w:jc w:val="both"/>
        <w:rPr>
          <w:rFonts w:asciiTheme="majorHAnsi" w:hAnsiTheme="majorHAnsi"/>
          <w:sz w:val="22"/>
          <w:szCs w:val="22"/>
        </w:rPr>
      </w:pPr>
    </w:p>
    <w:p w:rsidR="0075794A" w:rsidRDefault="0075794A" w:rsidP="0075794A">
      <w:pPr>
        <w:jc w:val="both"/>
        <w:rPr>
          <w:rFonts w:asciiTheme="majorHAnsi" w:hAnsiTheme="majorHAnsi"/>
          <w:sz w:val="22"/>
          <w:szCs w:val="22"/>
        </w:rPr>
      </w:pPr>
      <w:r w:rsidRPr="00902D44">
        <w:rPr>
          <w:rFonts w:asciiTheme="majorHAnsi" w:hAnsiTheme="majorHAnsi"/>
          <w:b/>
          <w:sz w:val="22"/>
          <w:szCs w:val="22"/>
        </w:rPr>
        <w:t>E.2</w:t>
      </w:r>
      <w:r>
        <w:rPr>
          <w:rFonts w:asciiTheme="majorHAnsi" w:hAnsiTheme="majorHAnsi"/>
          <w:sz w:val="22"/>
          <w:szCs w:val="22"/>
        </w:rPr>
        <w:t xml:space="preserve"> </w:t>
      </w:r>
      <w:proofErr w:type="spellStart"/>
      <w:r w:rsidRPr="004D6C12">
        <w:rPr>
          <w:rFonts w:asciiTheme="majorHAnsi" w:hAnsiTheme="majorHAnsi"/>
          <w:b/>
          <w:sz w:val="22"/>
          <w:szCs w:val="22"/>
        </w:rPr>
        <w:t>Calificante</w:t>
      </w:r>
      <w:proofErr w:type="spellEnd"/>
      <w:r w:rsidRPr="004D6C12">
        <w:rPr>
          <w:rFonts w:asciiTheme="majorHAnsi" w:hAnsiTheme="majorHAnsi"/>
          <w:b/>
          <w:sz w:val="22"/>
          <w:szCs w:val="22"/>
        </w:rPr>
        <w:t xml:space="preserve"> para altos cargos (nuevo artículo 251 </w:t>
      </w:r>
      <w:proofErr w:type="spellStart"/>
      <w:r w:rsidRPr="004D6C12">
        <w:rPr>
          <w:rFonts w:asciiTheme="majorHAnsi" w:hAnsiTheme="majorHAnsi"/>
          <w:b/>
          <w:sz w:val="22"/>
          <w:szCs w:val="22"/>
        </w:rPr>
        <w:t>quinquies</w:t>
      </w:r>
      <w:proofErr w:type="spellEnd"/>
      <w:r w:rsidRPr="004D6C12">
        <w:rPr>
          <w:rFonts w:asciiTheme="majorHAnsi" w:hAnsiTheme="majorHAnsi"/>
          <w:b/>
          <w:sz w:val="22"/>
          <w:szCs w:val="22"/>
        </w:rPr>
        <w:t>):</w:t>
      </w:r>
      <w:r>
        <w:rPr>
          <w:rFonts w:asciiTheme="majorHAnsi" w:hAnsiTheme="majorHAnsi"/>
          <w:sz w:val="22"/>
          <w:szCs w:val="22"/>
        </w:rPr>
        <w:t xml:space="preserve"> </w:t>
      </w:r>
    </w:p>
    <w:p w:rsidR="00F168E2" w:rsidRDefault="00F168E2" w:rsidP="0075794A">
      <w:pPr>
        <w:jc w:val="both"/>
        <w:rPr>
          <w:rFonts w:asciiTheme="majorHAnsi" w:hAnsiTheme="majorHAnsi"/>
          <w:sz w:val="22"/>
          <w:szCs w:val="22"/>
        </w:rPr>
      </w:pPr>
    </w:p>
    <w:p w:rsidR="005C20E1" w:rsidRDefault="0075794A" w:rsidP="005C20E1">
      <w:pPr>
        <w:jc w:val="both"/>
        <w:rPr>
          <w:rFonts w:asciiTheme="majorHAnsi" w:hAnsiTheme="majorHAnsi"/>
          <w:sz w:val="22"/>
          <w:szCs w:val="22"/>
        </w:rPr>
      </w:pPr>
      <w:r>
        <w:rPr>
          <w:rFonts w:asciiTheme="majorHAnsi" w:hAnsiTheme="majorHAnsi"/>
          <w:sz w:val="22"/>
          <w:szCs w:val="22"/>
        </w:rPr>
        <w:t xml:space="preserve">Se busca abordar los casos más graves de corrupción, para los </w:t>
      </w:r>
      <w:r w:rsidRPr="00902D44">
        <w:rPr>
          <w:rFonts w:asciiTheme="majorHAnsi" w:hAnsiTheme="majorHAnsi"/>
          <w:sz w:val="22"/>
          <w:szCs w:val="22"/>
          <w:u w:val="single"/>
        </w:rPr>
        <w:t>cuales se excluye se excluye el mínimum o el grado mínimo de la pena</w:t>
      </w:r>
      <w:r w:rsidRPr="009A51B5">
        <w:rPr>
          <w:rFonts w:asciiTheme="majorHAnsi" w:hAnsiTheme="majorHAnsi"/>
          <w:sz w:val="22"/>
          <w:szCs w:val="22"/>
        </w:rPr>
        <w:t xml:space="preserve">, de manera tal que para las hipótesis más graves de cohecho se impondrá una pena privativa de libertad de crimen, que se extenderá desde los </w:t>
      </w:r>
      <w:r>
        <w:rPr>
          <w:rFonts w:asciiTheme="majorHAnsi" w:hAnsiTheme="majorHAnsi"/>
          <w:sz w:val="22"/>
          <w:szCs w:val="22"/>
        </w:rPr>
        <w:t>5 años y un día a los 10 años.</w:t>
      </w:r>
    </w:p>
    <w:p w:rsidR="005C20E1" w:rsidRPr="005C20E1" w:rsidRDefault="005C20E1" w:rsidP="005C20E1">
      <w:pPr>
        <w:jc w:val="both"/>
        <w:rPr>
          <w:rFonts w:asciiTheme="majorHAnsi" w:hAnsiTheme="majorHAnsi"/>
          <w:sz w:val="22"/>
          <w:szCs w:val="22"/>
        </w:rPr>
      </w:pPr>
      <w:r w:rsidRPr="00BD087C">
        <w:rPr>
          <w:rFonts w:asciiTheme="majorHAnsi" w:eastAsia="Times New Roman" w:hAnsiTheme="majorHAnsi" w:cs="Arial"/>
          <w:color w:val="943634" w:themeColor="accent2" w:themeShade="BF"/>
          <w:sz w:val="22"/>
          <w:szCs w:val="22"/>
        </w:rPr>
        <w:t>Sugerencia: Apr</w:t>
      </w:r>
      <w:r>
        <w:rPr>
          <w:rFonts w:asciiTheme="majorHAnsi" w:eastAsia="Times New Roman" w:hAnsiTheme="majorHAnsi" w:cs="Arial"/>
          <w:color w:val="943634" w:themeColor="accent2" w:themeShade="BF"/>
          <w:sz w:val="22"/>
          <w:szCs w:val="22"/>
        </w:rPr>
        <w:t>obar (Aprobado con unanimidad (7</w:t>
      </w:r>
      <w:r w:rsidRPr="00BD087C">
        <w:rPr>
          <w:rFonts w:asciiTheme="majorHAnsi" w:eastAsia="Times New Roman" w:hAnsiTheme="majorHAnsi" w:cs="Arial"/>
          <w:color w:val="943634" w:themeColor="accent2" w:themeShade="BF"/>
          <w:sz w:val="22"/>
          <w:szCs w:val="22"/>
        </w:rPr>
        <w:t>x0 en Comisión Mixta)</w:t>
      </w:r>
    </w:p>
    <w:p w:rsidR="0075794A" w:rsidRDefault="0075794A" w:rsidP="0075794A">
      <w:pPr>
        <w:jc w:val="both"/>
        <w:rPr>
          <w:rFonts w:asciiTheme="majorHAnsi" w:hAnsiTheme="majorHAnsi"/>
          <w:sz w:val="22"/>
          <w:szCs w:val="22"/>
        </w:rPr>
      </w:pPr>
    </w:p>
    <w:p w:rsidR="0075794A" w:rsidRDefault="0075794A" w:rsidP="0075794A">
      <w:pPr>
        <w:jc w:val="both"/>
        <w:rPr>
          <w:rFonts w:asciiTheme="majorHAnsi" w:hAnsiTheme="majorHAnsi"/>
          <w:sz w:val="22"/>
          <w:szCs w:val="22"/>
        </w:rPr>
      </w:pPr>
      <w:r w:rsidRPr="009A51B5">
        <w:rPr>
          <w:rFonts w:asciiTheme="majorHAnsi" w:hAnsiTheme="majorHAnsi"/>
          <w:sz w:val="22"/>
          <w:szCs w:val="22"/>
        </w:rPr>
        <w:t>Esta norma sería aplicable a las más altas au</w:t>
      </w:r>
      <w:r>
        <w:rPr>
          <w:rFonts w:asciiTheme="majorHAnsi" w:hAnsiTheme="majorHAnsi"/>
          <w:sz w:val="22"/>
          <w:szCs w:val="22"/>
        </w:rPr>
        <w:t>toridades del Estado, incluyendo</w:t>
      </w:r>
      <w:r w:rsidRPr="009A51B5">
        <w:rPr>
          <w:rFonts w:asciiTheme="majorHAnsi" w:hAnsiTheme="majorHAnsi"/>
          <w:sz w:val="22"/>
          <w:szCs w:val="22"/>
        </w:rPr>
        <w:t xml:space="preserve"> </w:t>
      </w:r>
      <w:r w:rsidRPr="009A51B5">
        <w:rPr>
          <w:rFonts w:asciiTheme="majorHAnsi" w:hAnsiTheme="majorHAnsi"/>
          <w:bCs/>
          <w:sz w:val="22"/>
          <w:szCs w:val="22"/>
        </w:rPr>
        <w:t xml:space="preserve">aquellas que desempeñen un cargo de elección popular, de exclusiva confianza de éstos, de alta dirección pública del primer nivel jerárquico o por un fiscal del Ministerio Público o por cualquiera que, perteneciendo o no al orden judicial, </w:t>
      </w:r>
      <w:r w:rsidRPr="009A51B5">
        <w:rPr>
          <w:rFonts w:asciiTheme="majorHAnsi" w:hAnsiTheme="majorHAnsi"/>
          <w:sz w:val="22"/>
          <w:szCs w:val="22"/>
        </w:rPr>
        <w:t xml:space="preserve">ejerza jurisdicción, o los Comandantes de </w:t>
      </w:r>
      <w:r>
        <w:rPr>
          <w:rFonts w:asciiTheme="majorHAnsi" w:hAnsiTheme="majorHAnsi"/>
          <w:sz w:val="22"/>
          <w:szCs w:val="22"/>
        </w:rPr>
        <w:t>FFAA</w:t>
      </w:r>
      <w:r w:rsidRPr="009A51B5">
        <w:rPr>
          <w:rFonts w:asciiTheme="majorHAnsi" w:hAnsiTheme="majorHAnsi"/>
          <w:sz w:val="22"/>
          <w:szCs w:val="22"/>
        </w:rPr>
        <w:t>, el General Director de Carabineros y Director General</w:t>
      </w:r>
      <w:r>
        <w:rPr>
          <w:rFonts w:asciiTheme="majorHAnsi" w:hAnsiTheme="majorHAnsi"/>
          <w:sz w:val="22"/>
          <w:szCs w:val="22"/>
        </w:rPr>
        <w:t xml:space="preserve"> </w:t>
      </w:r>
      <w:r w:rsidRPr="009A51B5">
        <w:rPr>
          <w:rFonts w:asciiTheme="majorHAnsi" w:hAnsiTheme="majorHAnsi"/>
          <w:sz w:val="22"/>
          <w:szCs w:val="22"/>
        </w:rPr>
        <w:t>de la PDI.</w:t>
      </w:r>
    </w:p>
    <w:p w:rsidR="0075794A" w:rsidRDefault="0075794A" w:rsidP="0075794A">
      <w:pPr>
        <w:jc w:val="both"/>
        <w:rPr>
          <w:rFonts w:asciiTheme="majorHAnsi" w:hAnsiTheme="majorHAnsi"/>
          <w:sz w:val="22"/>
          <w:szCs w:val="22"/>
        </w:rPr>
      </w:pPr>
    </w:p>
    <w:p w:rsidR="0075794A" w:rsidRDefault="0075794A" w:rsidP="0075794A">
      <w:pPr>
        <w:jc w:val="both"/>
        <w:rPr>
          <w:rFonts w:asciiTheme="majorHAnsi" w:hAnsiTheme="majorHAnsi"/>
          <w:b/>
          <w:sz w:val="22"/>
          <w:szCs w:val="22"/>
        </w:rPr>
      </w:pPr>
      <w:r w:rsidRPr="00BD4CFD">
        <w:rPr>
          <w:rFonts w:asciiTheme="majorHAnsi" w:hAnsiTheme="majorHAnsi"/>
          <w:b/>
          <w:sz w:val="22"/>
          <w:szCs w:val="22"/>
        </w:rPr>
        <w:t>E.3. Exclusión de delitos por conductas conformes a los usos y cos</w:t>
      </w:r>
      <w:r>
        <w:rPr>
          <w:rFonts w:asciiTheme="majorHAnsi" w:hAnsiTheme="majorHAnsi"/>
          <w:b/>
          <w:sz w:val="22"/>
          <w:szCs w:val="22"/>
        </w:rPr>
        <w:t xml:space="preserve">tumbres (nuevo art. 251 </w:t>
      </w:r>
      <w:proofErr w:type="spellStart"/>
      <w:r>
        <w:rPr>
          <w:rFonts w:asciiTheme="majorHAnsi" w:hAnsiTheme="majorHAnsi"/>
          <w:b/>
          <w:sz w:val="22"/>
          <w:szCs w:val="22"/>
        </w:rPr>
        <w:t>sexies</w:t>
      </w:r>
      <w:proofErr w:type="spellEnd"/>
      <w:r>
        <w:rPr>
          <w:rFonts w:asciiTheme="majorHAnsi" w:hAnsiTheme="majorHAnsi"/>
          <w:b/>
          <w:sz w:val="22"/>
          <w:szCs w:val="22"/>
        </w:rPr>
        <w:t>):</w:t>
      </w:r>
    </w:p>
    <w:p w:rsidR="0075794A" w:rsidRDefault="0075794A" w:rsidP="0075794A">
      <w:pPr>
        <w:jc w:val="both"/>
        <w:rPr>
          <w:rFonts w:asciiTheme="majorHAnsi" w:hAnsiTheme="majorHAnsi"/>
          <w:sz w:val="22"/>
          <w:szCs w:val="22"/>
        </w:rPr>
      </w:pPr>
      <w:r>
        <w:rPr>
          <w:rFonts w:asciiTheme="majorHAnsi" w:hAnsiTheme="majorHAnsi"/>
          <w:sz w:val="22"/>
          <w:szCs w:val="22"/>
        </w:rPr>
        <w:t xml:space="preserve">A partir de la </w:t>
      </w:r>
      <w:r w:rsidRPr="009A51B5">
        <w:rPr>
          <w:rFonts w:asciiTheme="majorHAnsi" w:hAnsiTheme="majorHAnsi"/>
          <w:sz w:val="22"/>
          <w:szCs w:val="22"/>
        </w:rPr>
        <w:t xml:space="preserve">incorporación de la figura de </w:t>
      </w:r>
      <w:r>
        <w:rPr>
          <w:rFonts w:asciiTheme="majorHAnsi" w:hAnsiTheme="majorHAnsi"/>
          <w:sz w:val="22"/>
          <w:szCs w:val="22"/>
        </w:rPr>
        <w:t xml:space="preserve">cohecho en razón del cargo, se establece </w:t>
      </w:r>
      <w:r w:rsidRPr="009A51B5">
        <w:rPr>
          <w:rFonts w:asciiTheme="majorHAnsi" w:hAnsiTheme="majorHAnsi"/>
          <w:sz w:val="22"/>
          <w:szCs w:val="22"/>
        </w:rPr>
        <w:t xml:space="preserve">una nueva figura que señala expresamente que </w:t>
      </w:r>
      <w:r w:rsidRPr="00BD4CFD">
        <w:rPr>
          <w:rFonts w:asciiTheme="majorHAnsi" w:hAnsiTheme="majorHAnsi"/>
          <w:sz w:val="22"/>
          <w:szCs w:val="22"/>
          <w:u w:val="single"/>
        </w:rPr>
        <w:t>las conductas socialmente adecuadas</w:t>
      </w:r>
      <w:r w:rsidRPr="009A51B5">
        <w:rPr>
          <w:rFonts w:asciiTheme="majorHAnsi" w:hAnsiTheme="majorHAnsi"/>
          <w:sz w:val="22"/>
          <w:szCs w:val="22"/>
        </w:rPr>
        <w:t xml:space="preserve"> no constituyen delitos de cohecho o soborno.</w:t>
      </w:r>
    </w:p>
    <w:p w:rsidR="005C20E1" w:rsidRPr="005C20E1" w:rsidRDefault="005C20E1" w:rsidP="005C20E1">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Aprobar (Aprobado con unanimidad (8x0 en Comisión Mixta)</w:t>
      </w:r>
    </w:p>
    <w:p w:rsidR="0075794A" w:rsidRDefault="0075794A" w:rsidP="0075794A">
      <w:pPr>
        <w:jc w:val="both"/>
        <w:rPr>
          <w:rFonts w:asciiTheme="majorHAnsi" w:hAnsiTheme="majorHAnsi"/>
          <w:sz w:val="22"/>
          <w:szCs w:val="22"/>
        </w:rPr>
      </w:pPr>
    </w:p>
    <w:p w:rsidR="0075794A" w:rsidRDefault="0075794A" w:rsidP="0075794A">
      <w:pPr>
        <w:jc w:val="both"/>
        <w:rPr>
          <w:rFonts w:asciiTheme="majorHAnsi" w:hAnsiTheme="majorHAnsi"/>
          <w:b/>
          <w:sz w:val="22"/>
          <w:szCs w:val="22"/>
        </w:rPr>
      </w:pPr>
      <w:r>
        <w:rPr>
          <w:rFonts w:asciiTheme="majorHAnsi" w:hAnsiTheme="majorHAnsi"/>
          <w:b/>
          <w:sz w:val="22"/>
          <w:szCs w:val="22"/>
        </w:rPr>
        <w:t xml:space="preserve">E. 4. </w:t>
      </w:r>
      <w:r w:rsidRPr="00EB783E">
        <w:rPr>
          <w:rFonts w:asciiTheme="majorHAnsi" w:hAnsiTheme="majorHAnsi"/>
          <w:b/>
          <w:sz w:val="22"/>
          <w:szCs w:val="22"/>
        </w:rPr>
        <w:t>Nueva norma de suspensión de la prescripción (nuevo art. 260 bis)</w:t>
      </w:r>
    </w:p>
    <w:p w:rsidR="00F168E2" w:rsidRPr="00BD4CFD" w:rsidRDefault="00F168E2" w:rsidP="0075794A">
      <w:pPr>
        <w:jc w:val="both"/>
        <w:rPr>
          <w:rFonts w:asciiTheme="majorHAnsi" w:hAnsiTheme="majorHAnsi"/>
          <w:b/>
        </w:rPr>
      </w:pPr>
    </w:p>
    <w:p w:rsidR="0075794A" w:rsidRDefault="0075794A" w:rsidP="0075794A">
      <w:pPr>
        <w:widowControl w:val="0"/>
        <w:suppressAutoHyphens/>
        <w:autoSpaceDE w:val="0"/>
        <w:autoSpaceDN w:val="0"/>
        <w:adjustRightInd w:val="0"/>
        <w:jc w:val="both"/>
        <w:rPr>
          <w:rFonts w:asciiTheme="majorHAnsi" w:eastAsia="Times New Roman" w:hAnsiTheme="majorHAnsi" w:cs="Arial"/>
          <w:sz w:val="22"/>
          <w:szCs w:val="22"/>
        </w:rPr>
      </w:pPr>
      <w:r w:rsidRPr="00EB783E">
        <w:rPr>
          <w:rFonts w:asciiTheme="majorHAnsi" w:eastAsia="Times New Roman" w:hAnsiTheme="majorHAnsi" w:cs="Times New Roman"/>
          <w:sz w:val="22"/>
          <w:szCs w:val="22"/>
        </w:rPr>
        <w:t xml:space="preserve">Se establece una </w:t>
      </w:r>
      <w:r w:rsidRPr="00EB783E">
        <w:rPr>
          <w:rFonts w:asciiTheme="majorHAnsi" w:eastAsia="Times New Roman" w:hAnsiTheme="majorHAnsi" w:cs="Times New Roman"/>
          <w:sz w:val="22"/>
          <w:szCs w:val="22"/>
          <w:u w:val="single"/>
        </w:rPr>
        <w:t>regla de suspensión de la prescripción</w:t>
      </w:r>
      <w:r w:rsidRPr="00EB783E">
        <w:rPr>
          <w:rFonts w:asciiTheme="majorHAnsi" w:eastAsia="Times New Roman" w:hAnsiTheme="majorHAnsi" w:cs="Times New Roman"/>
          <w:sz w:val="22"/>
          <w:szCs w:val="22"/>
        </w:rPr>
        <w:t xml:space="preserve"> aplicable para los delitos de malversaciones, fraudes, cohecho y soborno</w:t>
      </w:r>
      <w:r>
        <w:rPr>
          <w:rFonts w:asciiTheme="majorHAnsi" w:eastAsia="Times New Roman" w:hAnsiTheme="majorHAnsi" w:cs="Times New Roman"/>
          <w:sz w:val="22"/>
          <w:szCs w:val="22"/>
        </w:rPr>
        <w:t>, mientras el empleado público se encuentre en el desempeño del cargo</w:t>
      </w:r>
      <w:r w:rsidRPr="00EB783E">
        <w:rPr>
          <w:rFonts w:asciiTheme="majorHAnsi" w:eastAsia="Times New Roman" w:hAnsiTheme="majorHAnsi" w:cs="Times New Roman"/>
          <w:sz w:val="22"/>
          <w:szCs w:val="22"/>
        </w:rPr>
        <w:t xml:space="preserve">. </w:t>
      </w:r>
      <w:r w:rsidRPr="00EB783E">
        <w:rPr>
          <w:rFonts w:asciiTheme="majorHAnsi" w:eastAsia="Times New Roman" w:hAnsiTheme="majorHAnsi" w:cs="Arial"/>
          <w:sz w:val="22"/>
          <w:szCs w:val="22"/>
          <w:lang w:val="es-ES_tradnl"/>
        </w:rPr>
        <w:t xml:space="preserve">Esta norma </w:t>
      </w:r>
      <w:r>
        <w:rPr>
          <w:rFonts w:asciiTheme="majorHAnsi" w:eastAsia="Times New Roman" w:hAnsiTheme="majorHAnsi" w:cs="Arial"/>
          <w:sz w:val="22"/>
          <w:szCs w:val="22"/>
          <w:lang w:val="es-ES_tradnl"/>
        </w:rPr>
        <w:t>es de toda lógica</w:t>
      </w:r>
      <w:r w:rsidRPr="00EB783E">
        <w:rPr>
          <w:rFonts w:asciiTheme="majorHAnsi" w:eastAsia="Times New Roman" w:hAnsiTheme="majorHAnsi" w:cs="Arial"/>
          <w:sz w:val="22"/>
          <w:szCs w:val="22"/>
          <w:lang w:val="es-ES_tradnl"/>
        </w:rPr>
        <w:t xml:space="preserve">, en la medida que viene a reforzar la persecución penal de los delitos de que trata el proyecto, </w:t>
      </w:r>
      <w:r w:rsidRPr="00EB783E">
        <w:rPr>
          <w:rFonts w:asciiTheme="majorHAnsi" w:eastAsia="Times New Roman" w:hAnsiTheme="majorHAnsi" w:cs="Arial"/>
          <w:sz w:val="22"/>
          <w:szCs w:val="22"/>
        </w:rPr>
        <w:t>evitando</w:t>
      </w:r>
      <w:r>
        <w:rPr>
          <w:rFonts w:asciiTheme="majorHAnsi" w:eastAsia="Times New Roman" w:hAnsiTheme="majorHAnsi" w:cs="Arial"/>
          <w:sz w:val="22"/>
          <w:szCs w:val="22"/>
        </w:rPr>
        <w:t xml:space="preserve"> </w:t>
      </w:r>
      <w:r w:rsidRPr="00EB783E">
        <w:rPr>
          <w:rFonts w:asciiTheme="majorHAnsi" w:eastAsia="Times New Roman" w:hAnsiTheme="majorHAnsi" w:cs="Arial"/>
          <w:sz w:val="22"/>
          <w:szCs w:val="22"/>
        </w:rPr>
        <w:t>que el ejercicio del cargo actual o de otro posterior con autoridad sea una forma de lograr la impunidad del funcionario.</w:t>
      </w:r>
    </w:p>
    <w:p w:rsidR="0075794A" w:rsidRPr="00BD087C" w:rsidRDefault="0075794A" w:rsidP="0075794A">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Aprobar (</w:t>
      </w:r>
      <w:r>
        <w:rPr>
          <w:rFonts w:asciiTheme="majorHAnsi" w:eastAsia="Times New Roman" w:hAnsiTheme="majorHAnsi" w:cs="Arial"/>
          <w:color w:val="943634" w:themeColor="accent2" w:themeShade="BF"/>
          <w:sz w:val="22"/>
          <w:szCs w:val="22"/>
        </w:rPr>
        <w:t>a</w:t>
      </w:r>
      <w:r w:rsidRPr="00BD087C">
        <w:rPr>
          <w:rFonts w:asciiTheme="majorHAnsi" w:eastAsia="Times New Roman" w:hAnsiTheme="majorHAnsi" w:cs="Arial"/>
          <w:color w:val="943634" w:themeColor="accent2" w:themeShade="BF"/>
          <w:sz w:val="22"/>
          <w:szCs w:val="22"/>
        </w:rPr>
        <w:t xml:space="preserve">probado </w:t>
      </w:r>
      <w:r>
        <w:rPr>
          <w:rFonts w:asciiTheme="majorHAnsi" w:eastAsia="Times New Roman" w:hAnsiTheme="majorHAnsi" w:cs="Arial"/>
          <w:color w:val="943634" w:themeColor="accent2" w:themeShade="BF"/>
          <w:sz w:val="22"/>
          <w:szCs w:val="22"/>
        </w:rPr>
        <w:t xml:space="preserve">con unanimidad </w:t>
      </w:r>
      <w:r w:rsidRPr="00BD087C">
        <w:rPr>
          <w:rFonts w:asciiTheme="majorHAnsi" w:eastAsia="Times New Roman" w:hAnsiTheme="majorHAnsi" w:cs="Arial"/>
          <w:color w:val="943634" w:themeColor="accent2" w:themeShade="BF"/>
          <w:sz w:val="22"/>
          <w:szCs w:val="22"/>
        </w:rPr>
        <w:t>8x0 en Comisión Mixta)</w:t>
      </w:r>
    </w:p>
    <w:p w:rsidR="0075794A" w:rsidRPr="009A51B5" w:rsidRDefault="0075794A" w:rsidP="0075794A">
      <w:pPr>
        <w:widowControl w:val="0"/>
        <w:suppressAutoHyphens/>
        <w:autoSpaceDE w:val="0"/>
        <w:autoSpaceDN w:val="0"/>
        <w:adjustRightInd w:val="0"/>
        <w:jc w:val="both"/>
        <w:rPr>
          <w:rFonts w:asciiTheme="majorHAnsi" w:eastAsia="Times New Roman" w:hAnsiTheme="majorHAnsi" w:cs="Arial"/>
          <w:sz w:val="22"/>
          <w:szCs w:val="22"/>
        </w:rPr>
      </w:pPr>
    </w:p>
    <w:p w:rsidR="0075794A" w:rsidRPr="00EB783E" w:rsidRDefault="0075794A" w:rsidP="0075794A">
      <w:pPr>
        <w:widowControl w:val="0"/>
        <w:suppressAutoHyphens/>
        <w:autoSpaceDE w:val="0"/>
        <w:autoSpaceDN w:val="0"/>
        <w:adjustRightInd w:val="0"/>
        <w:jc w:val="both"/>
        <w:rPr>
          <w:rFonts w:asciiTheme="majorHAnsi" w:eastAsia="Times New Roman" w:hAnsiTheme="majorHAnsi" w:cs="Arial"/>
          <w:b/>
          <w:sz w:val="22"/>
          <w:szCs w:val="22"/>
        </w:rPr>
      </w:pPr>
      <w:r w:rsidRPr="00EB783E">
        <w:rPr>
          <w:rFonts w:asciiTheme="majorHAnsi" w:hAnsiTheme="majorHAnsi"/>
          <w:b/>
          <w:bCs/>
          <w:sz w:val="22"/>
          <w:szCs w:val="22"/>
        </w:rPr>
        <w:t>E.5. Agravante especial por cometer el delito formando parte de una agrupación u organización (nuevo art. 260 ter)</w:t>
      </w:r>
    </w:p>
    <w:p w:rsidR="00F168E2" w:rsidRDefault="00F168E2" w:rsidP="0075794A">
      <w:pPr>
        <w:jc w:val="both"/>
        <w:rPr>
          <w:rFonts w:asciiTheme="majorHAnsi" w:hAnsiTheme="majorHAnsi"/>
          <w:sz w:val="22"/>
          <w:szCs w:val="22"/>
        </w:rPr>
      </w:pPr>
    </w:p>
    <w:p w:rsidR="0075794A" w:rsidRDefault="0075794A" w:rsidP="0075794A">
      <w:pPr>
        <w:jc w:val="both"/>
        <w:rPr>
          <w:rFonts w:asciiTheme="majorHAnsi" w:hAnsiTheme="majorHAnsi"/>
          <w:sz w:val="22"/>
          <w:szCs w:val="22"/>
        </w:rPr>
      </w:pPr>
      <w:r w:rsidRPr="009A51B5">
        <w:rPr>
          <w:rFonts w:asciiTheme="majorHAnsi" w:hAnsiTheme="majorHAnsi"/>
          <w:sz w:val="22"/>
          <w:szCs w:val="22"/>
        </w:rPr>
        <w:t xml:space="preserve">Se aprobó una </w:t>
      </w:r>
      <w:r w:rsidRPr="00BD087C">
        <w:rPr>
          <w:rFonts w:asciiTheme="majorHAnsi" w:hAnsiTheme="majorHAnsi"/>
          <w:sz w:val="22"/>
          <w:szCs w:val="22"/>
          <w:u w:val="single"/>
        </w:rPr>
        <w:t>agravante “por organización</w:t>
      </w:r>
      <w:r w:rsidRPr="009A51B5">
        <w:rPr>
          <w:rFonts w:asciiTheme="majorHAnsi" w:hAnsiTheme="majorHAnsi"/>
          <w:sz w:val="22"/>
          <w:szCs w:val="22"/>
        </w:rPr>
        <w:t>”, es decir,</w:t>
      </w:r>
      <w:r>
        <w:rPr>
          <w:rFonts w:asciiTheme="majorHAnsi" w:hAnsiTheme="majorHAnsi"/>
          <w:sz w:val="22"/>
          <w:szCs w:val="22"/>
        </w:rPr>
        <w:t xml:space="preserve"> por haber incurrido en los de</w:t>
      </w:r>
      <w:r w:rsidRPr="009A51B5">
        <w:rPr>
          <w:rFonts w:asciiTheme="majorHAnsi" w:hAnsiTheme="majorHAnsi"/>
          <w:sz w:val="22"/>
          <w:szCs w:val="22"/>
        </w:rPr>
        <w:t xml:space="preserve"> considerar la circunstancia de haber actuado formando parte de una red de personas que hayan cometido delitos de </w:t>
      </w:r>
      <w:r w:rsidRPr="009A51B5">
        <w:rPr>
          <w:rFonts w:asciiTheme="majorHAnsi" w:eastAsia="Times New Roman" w:hAnsiTheme="majorHAnsi" w:cs="Times New Roman"/>
          <w:sz w:val="22"/>
          <w:szCs w:val="22"/>
        </w:rPr>
        <w:t>malversaciones, fraudes, cohecho y soborno</w:t>
      </w:r>
      <w:r w:rsidRPr="009A51B5">
        <w:rPr>
          <w:rFonts w:asciiTheme="majorHAnsi" w:hAnsiTheme="majorHAnsi"/>
          <w:sz w:val="22"/>
          <w:szCs w:val="22"/>
        </w:rPr>
        <w:t>.</w:t>
      </w:r>
    </w:p>
    <w:p w:rsidR="0075794A" w:rsidRPr="00BD087C" w:rsidRDefault="0075794A" w:rsidP="0075794A">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Aprobar (Aprobado con unanimidad (8x0 en Comisión Mixta)</w:t>
      </w:r>
    </w:p>
    <w:p w:rsidR="0075794A" w:rsidRPr="009A51B5" w:rsidRDefault="0075794A" w:rsidP="0075794A">
      <w:pPr>
        <w:pStyle w:val="ListParagraph"/>
        <w:spacing w:after="0" w:line="240" w:lineRule="auto"/>
        <w:ind w:left="1440"/>
        <w:jc w:val="both"/>
        <w:rPr>
          <w:rFonts w:asciiTheme="majorHAnsi" w:hAnsiTheme="majorHAnsi"/>
          <w:b/>
        </w:rPr>
      </w:pPr>
    </w:p>
    <w:p w:rsidR="0075794A" w:rsidRPr="00EB783E" w:rsidRDefault="0075794A" w:rsidP="0075794A">
      <w:pPr>
        <w:rPr>
          <w:rFonts w:asciiTheme="majorHAnsi" w:hAnsiTheme="majorHAnsi"/>
          <w:b/>
          <w:sz w:val="22"/>
          <w:szCs w:val="22"/>
        </w:rPr>
      </w:pPr>
      <w:r w:rsidRPr="00EB783E">
        <w:rPr>
          <w:rFonts w:asciiTheme="majorHAnsi" w:hAnsiTheme="majorHAnsi"/>
          <w:b/>
          <w:sz w:val="22"/>
          <w:szCs w:val="22"/>
        </w:rPr>
        <w:t>E. 6. Cooperación eficaz para los delitos de malversación, fraudes, exacciones, cohecho y soborno (nuevo art. 260 quáter)</w:t>
      </w:r>
    </w:p>
    <w:p w:rsidR="00F168E2" w:rsidRDefault="00F168E2" w:rsidP="0075794A">
      <w:pPr>
        <w:jc w:val="both"/>
        <w:rPr>
          <w:rFonts w:asciiTheme="majorHAnsi" w:hAnsiTheme="majorHAnsi"/>
          <w:spacing w:val="-3"/>
          <w:sz w:val="22"/>
          <w:szCs w:val="22"/>
        </w:rPr>
      </w:pPr>
    </w:p>
    <w:p w:rsidR="0075794A" w:rsidRPr="00EB783E" w:rsidRDefault="0075794A" w:rsidP="0075794A">
      <w:pPr>
        <w:jc w:val="both"/>
        <w:rPr>
          <w:rFonts w:asciiTheme="majorHAnsi" w:hAnsiTheme="majorHAnsi"/>
          <w:spacing w:val="-3"/>
          <w:sz w:val="22"/>
          <w:szCs w:val="22"/>
        </w:rPr>
      </w:pPr>
      <w:r>
        <w:rPr>
          <w:rFonts w:asciiTheme="majorHAnsi" w:hAnsiTheme="majorHAnsi"/>
          <w:spacing w:val="-3"/>
          <w:sz w:val="22"/>
          <w:szCs w:val="22"/>
        </w:rPr>
        <w:t xml:space="preserve">Se establece una </w:t>
      </w:r>
      <w:r w:rsidRPr="00184C2F">
        <w:rPr>
          <w:rFonts w:asciiTheme="majorHAnsi" w:hAnsiTheme="majorHAnsi"/>
          <w:spacing w:val="-3"/>
          <w:sz w:val="22"/>
          <w:szCs w:val="22"/>
          <w:u w:val="single"/>
        </w:rPr>
        <w:t>atenuante de la responsabilidad penal</w:t>
      </w:r>
      <w:r>
        <w:rPr>
          <w:rFonts w:asciiTheme="majorHAnsi" w:hAnsiTheme="majorHAnsi"/>
          <w:spacing w:val="-3"/>
          <w:sz w:val="22"/>
          <w:szCs w:val="22"/>
        </w:rPr>
        <w:t xml:space="preserve"> consisten en la </w:t>
      </w:r>
      <w:r w:rsidRPr="009A51B5">
        <w:rPr>
          <w:rFonts w:asciiTheme="majorHAnsi" w:hAnsiTheme="majorHAnsi"/>
          <w:spacing w:val="-3"/>
          <w:sz w:val="22"/>
          <w:szCs w:val="22"/>
        </w:rPr>
        <w:t>cooper</w:t>
      </w:r>
      <w:r>
        <w:rPr>
          <w:rFonts w:asciiTheme="majorHAnsi" w:hAnsiTheme="majorHAnsi"/>
          <w:spacing w:val="-3"/>
          <w:sz w:val="22"/>
          <w:szCs w:val="22"/>
        </w:rPr>
        <w:t xml:space="preserve">ación eficaz </w:t>
      </w:r>
      <w:r w:rsidRPr="009A51B5">
        <w:rPr>
          <w:rFonts w:asciiTheme="majorHAnsi" w:hAnsiTheme="majorHAnsi"/>
          <w:spacing w:val="-3"/>
          <w:sz w:val="22"/>
          <w:szCs w:val="22"/>
        </w:rPr>
        <w:t xml:space="preserve">en el marco de procesos penales relativos a determinados delitos funcionarios. Este requerimiento tiene como objetivo principal establecer una </w:t>
      </w:r>
      <w:r w:rsidRPr="00EB783E">
        <w:rPr>
          <w:rFonts w:asciiTheme="majorHAnsi" w:hAnsiTheme="majorHAnsi"/>
          <w:spacing w:val="-3"/>
          <w:sz w:val="22"/>
          <w:szCs w:val="22"/>
        </w:rPr>
        <w:t xml:space="preserve">herramienta que permita mejorar la persecución de estos delitos. </w:t>
      </w:r>
      <w:r>
        <w:rPr>
          <w:rFonts w:asciiTheme="majorHAnsi" w:hAnsiTheme="majorHAnsi"/>
          <w:spacing w:val="-3"/>
          <w:sz w:val="22"/>
          <w:szCs w:val="22"/>
        </w:rPr>
        <w:t>De esta forma</w:t>
      </w:r>
      <w:r w:rsidRPr="00EB783E">
        <w:rPr>
          <w:rFonts w:asciiTheme="majorHAnsi" w:hAnsiTheme="majorHAnsi"/>
          <w:spacing w:val="-3"/>
          <w:sz w:val="22"/>
          <w:szCs w:val="22"/>
        </w:rPr>
        <w:t>, tratándose de ilícitos complejos -como lo son los delitos de malversación, fraude, cohecho y soborno-, se considera que un sistema de estímulos para que los sujetos involucrados cooperen con el persecutor penal es una técnica útil para lograr una mayor eficacia en su represión.</w:t>
      </w:r>
    </w:p>
    <w:p w:rsidR="0075794A" w:rsidRPr="009A51B5" w:rsidRDefault="0075794A" w:rsidP="0075794A">
      <w:pPr>
        <w:jc w:val="both"/>
        <w:rPr>
          <w:rFonts w:asciiTheme="majorHAnsi" w:hAnsiTheme="majorHAnsi"/>
          <w:spacing w:val="-3"/>
          <w:sz w:val="22"/>
          <w:szCs w:val="22"/>
        </w:rPr>
      </w:pPr>
    </w:p>
    <w:p w:rsidR="0075794A" w:rsidRDefault="0075794A" w:rsidP="0075794A">
      <w:pPr>
        <w:jc w:val="both"/>
        <w:rPr>
          <w:rFonts w:asciiTheme="majorHAnsi" w:hAnsiTheme="majorHAnsi"/>
          <w:spacing w:val="-3"/>
          <w:sz w:val="22"/>
          <w:szCs w:val="22"/>
        </w:rPr>
      </w:pPr>
      <w:r>
        <w:rPr>
          <w:rFonts w:asciiTheme="majorHAnsi" w:hAnsiTheme="majorHAnsi"/>
          <w:spacing w:val="-3"/>
          <w:sz w:val="22"/>
          <w:szCs w:val="22"/>
        </w:rPr>
        <w:t xml:space="preserve">Por esto se estableció que el </w:t>
      </w:r>
      <w:r w:rsidRPr="0075794A">
        <w:rPr>
          <w:rFonts w:asciiTheme="majorHAnsi" w:hAnsiTheme="majorHAnsi"/>
          <w:spacing w:val="-3"/>
          <w:sz w:val="22"/>
          <w:szCs w:val="22"/>
          <w:u w:val="single"/>
        </w:rPr>
        <w:t>tribunal podría reducir la pena hasta dos grados</w:t>
      </w:r>
      <w:r>
        <w:rPr>
          <w:rFonts w:asciiTheme="majorHAnsi" w:hAnsiTheme="majorHAnsi"/>
          <w:spacing w:val="-3"/>
          <w:sz w:val="22"/>
          <w:szCs w:val="22"/>
        </w:rPr>
        <w:t xml:space="preserve"> cuando se produzca una </w:t>
      </w:r>
      <w:r w:rsidRPr="009A51B5">
        <w:rPr>
          <w:rFonts w:asciiTheme="majorHAnsi" w:hAnsiTheme="majorHAnsi"/>
          <w:sz w:val="22"/>
          <w:szCs w:val="22"/>
        </w:rPr>
        <w:t xml:space="preserve">cooperación eficaz que conduzca al esclarecimiento de los hechos investigados o permita la identificación de sus responsables, o sirva para prevenir o impedir la perpetración o consumación de estos delitos, o facilite el comiso de los bienes, instrumentos, efectos o productos del delito. Además, se </w:t>
      </w:r>
      <w:r>
        <w:rPr>
          <w:rFonts w:asciiTheme="majorHAnsi" w:hAnsiTheme="majorHAnsi"/>
          <w:sz w:val="22"/>
          <w:szCs w:val="22"/>
        </w:rPr>
        <w:t xml:space="preserve">establecen </w:t>
      </w:r>
      <w:r w:rsidRPr="009A51B5">
        <w:rPr>
          <w:rFonts w:asciiTheme="majorHAnsi" w:hAnsiTheme="majorHAnsi"/>
          <w:spacing w:val="-3"/>
          <w:sz w:val="22"/>
          <w:szCs w:val="22"/>
        </w:rPr>
        <w:t xml:space="preserve">criterios </w:t>
      </w:r>
      <w:r>
        <w:rPr>
          <w:rFonts w:asciiTheme="majorHAnsi" w:hAnsiTheme="majorHAnsi"/>
          <w:spacing w:val="-3"/>
          <w:sz w:val="22"/>
          <w:szCs w:val="22"/>
        </w:rPr>
        <w:t>para determinar</w:t>
      </w:r>
      <w:r w:rsidRPr="009A51B5">
        <w:rPr>
          <w:rFonts w:asciiTheme="majorHAnsi" w:hAnsiTheme="majorHAnsi"/>
          <w:spacing w:val="-3"/>
          <w:sz w:val="22"/>
          <w:szCs w:val="22"/>
        </w:rPr>
        <w:t xml:space="preserve"> cuando se configura la atenuante, </w:t>
      </w:r>
      <w:r>
        <w:rPr>
          <w:rFonts w:asciiTheme="majorHAnsi" w:hAnsiTheme="majorHAnsi"/>
          <w:spacing w:val="-3"/>
          <w:sz w:val="22"/>
          <w:szCs w:val="22"/>
        </w:rPr>
        <w:t>para lo cual</w:t>
      </w:r>
      <w:r w:rsidRPr="009A51B5">
        <w:rPr>
          <w:rFonts w:asciiTheme="majorHAnsi" w:hAnsiTheme="majorHAnsi"/>
          <w:spacing w:val="-3"/>
          <w:sz w:val="22"/>
          <w:szCs w:val="22"/>
        </w:rPr>
        <w:t xml:space="preserve"> la persona debe suministrar datos o informaciones precisas, verídicas y comprobables, que contribuyan necesariamente a los fines señalados.</w:t>
      </w:r>
    </w:p>
    <w:p w:rsidR="0075794A" w:rsidRPr="009A51B5" w:rsidRDefault="0075794A" w:rsidP="0075794A">
      <w:pPr>
        <w:jc w:val="both"/>
        <w:rPr>
          <w:rFonts w:asciiTheme="majorHAnsi" w:hAnsiTheme="majorHAnsi"/>
          <w:spacing w:val="-3"/>
          <w:sz w:val="22"/>
          <w:szCs w:val="22"/>
        </w:rPr>
      </w:pPr>
    </w:p>
    <w:p w:rsidR="0075794A" w:rsidRDefault="0075794A" w:rsidP="0075794A">
      <w:pPr>
        <w:jc w:val="both"/>
        <w:rPr>
          <w:rFonts w:asciiTheme="majorHAnsi" w:hAnsiTheme="majorHAnsi"/>
          <w:spacing w:val="-3"/>
          <w:sz w:val="22"/>
          <w:szCs w:val="22"/>
        </w:rPr>
      </w:pPr>
      <w:r w:rsidRPr="009A51B5">
        <w:rPr>
          <w:rFonts w:asciiTheme="majorHAnsi" w:hAnsiTheme="majorHAnsi"/>
          <w:spacing w:val="-3"/>
          <w:sz w:val="22"/>
          <w:szCs w:val="22"/>
        </w:rPr>
        <w:t xml:space="preserve">Esta atenuante no aplicará en beneficio de </w:t>
      </w:r>
      <w:r>
        <w:rPr>
          <w:rFonts w:asciiTheme="majorHAnsi" w:hAnsiTheme="majorHAnsi"/>
          <w:spacing w:val="-3"/>
          <w:sz w:val="22"/>
          <w:szCs w:val="22"/>
        </w:rPr>
        <w:t xml:space="preserve">las </w:t>
      </w:r>
      <w:r w:rsidRPr="009A51B5">
        <w:rPr>
          <w:rFonts w:asciiTheme="majorHAnsi" w:hAnsiTheme="majorHAnsi"/>
          <w:spacing w:val="-3"/>
          <w:sz w:val="22"/>
          <w:szCs w:val="22"/>
        </w:rPr>
        <w:t>altas autoridades</w:t>
      </w:r>
      <w:r>
        <w:rPr>
          <w:rFonts w:asciiTheme="majorHAnsi" w:hAnsiTheme="majorHAnsi"/>
          <w:spacing w:val="-3"/>
          <w:sz w:val="22"/>
          <w:szCs w:val="22"/>
        </w:rPr>
        <w:t xml:space="preserve">, entendiéndose por ellas los empleados públicos que desempeñen un cargo de elección popular o de exclusiva confianza de estos, o de alta dirección publica de primer nivel jerárquico. </w:t>
      </w:r>
    </w:p>
    <w:p w:rsidR="00612662" w:rsidRDefault="00612662" w:rsidP="0075794A">
      <w:pPr>
        <w:jc w:val="both"/>
        <w:rPr>
          <w:rFonts w:asciiTheme="majorHAnsi" w:hAnsiTheme="majorHAnsi"/>
          <w:spacing w:val="-3"/>
          <w:sz w:val="22"/>
          <w:szCs w:val="22"/>
        </w:rPr>
      </w:pPr>
    </w:p>
    <w:p w:rsidR="0075794A" w:rsidRPr="00BD087C" w:rsidRDefault="0075794A" w:rsidP="0075794A">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w:t>
      </w:r>
      <w:r w:rsidR="00DB162F">
        <w:rPr>
          <w:rFonts w:asciiTheme="majorHAnsi" w:eastAsia="Times New Roman" w:hAnsiTheme="majorHAnsi" w:cs="Arial"/>
          <w:color w:val="943634" w:themeColor="accent2" w:themeShade="BF"/>
          <w:sz w:val="22"/>
          <w:szCs w:val="22"/>
        </w:rPr>
        <w:t xml:space="preserve">robar (Aprobado con unanimidad </w:t>
      </w:r>
      <w:r w:rsidRPr="00BD087C">
        <w:rPr>
          <w:rFonts w:asciiTheme="majorHAnsi" w:eastAsia="Times New Roman" w:hAnsiTheme="majorHAnsi" w:cs="Arial"/>
          <w:color w:val="943634" w:themeColor="accent2" w:themeShade="BF"/>
          <w:sz w:val="22"/>
          <w:szCs w:val="22"/>
        </w:rPr>
        <w:t>8x0 en Comisión Mixta)</w:t>
      </w:r>
    </w:p>
    <w:p w:rsidR="0075794A" w:rsidRPr="0075794A" w:rsidRDefault="0075794A" w:rsidP="0075794A">
      <w:pPr>
        <w:jc w:val="both"/>
        <w:rPr>
          <w:rFonts w:asciiTheme="majorHAnsi" w:hAnsiTheme="majorHAnsi"/>
        </w:rPr>
      </w:pPr>
    </w:p>
    <w:p w:rsidR="009822E3" w:rsidRDefault="00F168E2" w:rsidP="005940D1">
      <w:pPr>
        <w:pStyle w:val="ListParagraph"/>
        <w:numPr>
          <w:ilvl w:val="0"/>
          <w:numId w:val="11"/>
        </w:numPr>
        <w:jc w:val="center"/>
        <w:rPr>
          <w:rFonts w:asciiTheme="majorHAnsi" w:hAnsiTheme="majorHAnsi"/>
        </w:rPr>
      </w:pPr>
      <w:r>
        <w:rPr>
          <w:rFonts w:asciiTheme="majorHAnsi" w:hAnsiTheme="majorHAnsi"/>
          <w:b/>
          <w:u w:val="single"/>
        </w:rPr>
        <w:t xml:space="preserve">Tipificación de </w:t>
      </w:r>
      <w:r w:rsidR="0075794A" w:rsidRPr="0075794A">
        <w:rPr>
          <w:rFonts w:asciiTheme="majorHAnsi" w:hAnsiTheme="majorHAnsi"/>
          <w:b/>
          <w:u w:val="single"/>
        </w:rPr>
        <w:t>Nuevos Delitos</w:t>
      </w:r>
      <w:r w:rsidR="0075794A">
        <w:rPr>
          <w:rFonts w:asciiTheme="majorHAnsi" w:hAnsiTheme="majorHAnsi"/>
        </w:rPr>
        <w:t>:</w:t>
      </w:r>
    </w:p>
    <w:p w:rsidR="005940D1" w:rsidRPr="005940D1" w:rsidRDefault="005940D1" w:rsidP="00730211">
      <w:pPr>
        <w:pStyle w:val="Header"/>
        <w:widowControl w:val="0"/>
        <w:numPr>
          <w:ilvl w:val="0"/>
          <w:numId w:val="4"/>
        </w:numPr>
        <w:tabs>
          <w:tab w:val="clear" w:pos="4153"/>
          <w:tab w:val="clear" w:pos="8306"/>
          <w:tab w:val="center" w:pos="567"/>
          <w:tab w:val="center" w:pos="4419"/>
          <w:tab w:val="right" w:pos="8838"/>
        </w:tabs>
        <w:autoSpaceDE w:val="0"/>
        <w:autoSpaceDN w:val="0"/>
        <w:adjustRightInd w:val="0"/>
        <w:ind w:left="1134" w:hanging="992"/>
        <w:jc w:val="both"/>
        <w:rPr>
          <w:rFonts w:asciiTheme="majorHAnsi" w:hAnsiTheme="majorHAnsi"/>
          <w:b/>
          <w:sz w:val="22"/>
          <w:szCs w:val="22"/>
        </w:rPr>
      </w:pPr>
      <w:r w:rsidRPr="005940D1">
        <w:rPr>
          <w:rFonts w:asciiTheme="majorHAnsi" w:hAnsiTheme="majorHAnsi"/>
          <w:b/>
          <w:sz w:val="22"/>
          <w:szCs w:val="22"/>
        </w:rPr>
        <w:t>Corrupción entre particulares (nuevos arts. 287 bis y 287 ter)</w:t>
      </w:r>
    </w:p>
    <w:p w:rsidR="005940D1" w:rsidRDefault="005940D1" w:rsidP="005940D1">
      <w:pPr>
        <w:pStyle w:val="Header"/>
        <w:widowControl w:val="0"/>
        <w:tabs>
          <w:tab w:val="clear" w:pos="4153"/>
          <w:tab w:val="clear" w:pos="8306"/>
          <w:tab w:val="center" w:pos="1134"/>
          <w:tab w:val="center" w:pos="4419"/>
          <w:tab w:val="right" w:pos="8838"/>
        </w:tabs>
        <w:autoSpaceDE w:val="0"/>
        <w:autoSpaceDN w:val="0"/>
        <w:adjustRightInd w:val="0"/>
        <w:ind w:left="720"/>
        <w:jc w:val="both"/>
        <w:rPr>
          <w:rFonts w:asciiTheme="majorHAnsi" w:hAnsiTheme="majorHAnsi"/>
          <w:b/>
          <w:sz w:val="22"/>
          <w:szCs w:val="22"/>
          <w:u w:val="single"/>
        </w:rPr>
      </w:pPr>
    </w:p>
    <w:p w:rsidR="005940D1" w:rsidRDefault="005940D1" w:rsidP="005940D1">
      <w:pPr>
        <w:pStyle w:val="Header"/>
        <w:tabs>
          <w:tab w:val="center" w:pos="1134"/>
        </w:tabs>
        <w:jc w:val="both"/>
        <w:rPr>
          <w:rFonts w:asciiTheme="majorHAnsi" w:hAnsiTheme="majorHAnsi"/>
          <w:sz w:val="22"/>
          <w:szCs w:val="22"/>
        </w:rPr>
      </w:pPr>
      <w:r w:rsidRPr="009A51B5">
        <w:rPr>
          <w:rFonts w:asciiTheme="majorHAnsi" w:hAnsiTheme="majorHAnsi"/>
          <w:sz w:val="22"/>
          <w:szCs w:val="22"/>
        </w:rPr>
        <w:t>Con la incor</w:t>
      </w:r>
      <w:r>
        <w:rPr>
          <w:rFonts w:asciiTheme="majorHAnsi" w:hAnsiTheme="majorHAnsi"/>
          <w:sz w:val="22"/>
          <w:szCs w:val="22"/>
        </w:rPr>
        <w:t xml:space="preserve">poración de este tipo penal se busca dar cumplimiento </w:t>
      </w:r>
      <w:r w:rsidRPr="009A51B5">
        <w:rPr>
          <w:rFonts w:asciiTheme="majorHAnsi" w:hAnsiTheme="majorHAnsi"/>
          <w:sz w:val="22"/>
          <w:szCs w:val="22"/>
        </w:rPr>
        <w:t xml:space="preserve">a los deberes de tipificación que impone la </w:t>
      </w:r>
      <w:r w:rsidRPr="005940D1">
        <w:rPr>
          <w:rFonts w:asciiTheme="majorHAnsi" w:hAnsiTheme="majorHAnsi"/>
          <w:sz w:val="22"/>
          <w:szCs w:val="22"/>
          <w:u w:val="single"/>
        </w:rPr>
        <w:t>Convención de Naciones Unidas contra la Corrupción</w:t>
      </w:r>
      <w:r w:rsidRPr="009A51B5">
        <w:rPr>
          <w:rFonts w:asciiTheme="majorHAnsi" w:hAnsiTheme="majorHAnsi"/>
          <w:sz w:val="22"/>
          <w:szCs w:val="22"/>
        </w:rPr>
        <w:t xml:space="preserve">, el cual </w:t>
      </w:r>
      <w:r>
        <w:rPr>
          <w:rFonts w:asciiTheme="majorHAnsi" w:hAnsiTheme="majorHAnsi"/>
          <w:sz w:val="22"/>
          <w:szCs w:val="22"/>
        </w:rPr>
        <w:t>además fue relevado en el denominado “I</w:t>
      </w:r>
      <w:r w:rsidRPr="009A51B5">
        <w:rPr>
          <w:rFonts w:asciiTheme="majorHAnsi" w:hAnsiTheme="majorHAnsi"/>
          <w:sz w:val="22"/>
          <w:szCs w:val="22"/>
        </w:rPr>
        <w:t xml:space="preserve">nforme </w:t>
      </w:r>
      <w:proofErr w:type="spellStart"/>
      <w:r w:rsidRPr="009A51B5">
        <w:rPr>
          <w:rFonts w:asciiTheme="majorHAnsi" w:hAnsiTheme="majorHAnsi"/>
          <w:sz w:val="22"/>
          <w:szCs w:val="22"/>
        </w:rPr>
        <w:t>Engel</w:t>
      </w:r>
      <w:proofErr w:type="spellEnd"/>
      <w:r>
        <w:rPr>
          <w:rFonts w:asciiTheme="majorHAnsi" w:hAnsiTheme="majorHAnsi"/>
          <w:sz w:val="22"/>
          <w:szCs w:val="22"/>
        </w:rPr>
        <w:t>”</w:t>
      </w:r>
      <w:r w:rsidRPr="009A51B5">
        <w:rPr>
          <w:rFonts w:asciiTheme="majorHAnsi" w:hAnsiTheme="majorHAnsi"/>
          <w:sz w:val="22"/>
          <w:szCs w:val="22"/>
        </w:rPr>
        <w:t xml:space="preserve">. </w:t>
      </w:r>
      <w:r>
        <w:rPr>
          <w:rFonts w:asciiTheme="majorHAnsi" w:hAnsiTheme="majorHAnsi"/>
          <w:sz w:val="22"/>
          <w:szCs w:val="22"/>
        </w:rPr>
        <w:t>Esta tipificación de la corrupción busca, en definitiva, buscar tutelar la competencia leal en los mercados.</w:t>
      </w:r>
    </w:p>
    <w:p w:rsidR="005940D1" w:rsidRDefault="005940D1" w:rsidP="005940D1">
      <w:pPr>
        <w:pStyle w:val="Header"/>
        <w:tabs>
          <w:tab w:val="center" w:pos="1134"/>
        </w:tabs>
        <w:jc w:val="both"/>
        <w:rPr>
          <w:rFonts w:asciiTheme="majorHAnsi" w:hAnsiTheme="majorHAnsi"/>
          <w:sz w:val="22"/>
          <w:szCs w:val="22"/>
        </w:rPr>
      </w:pPr>
    </w:p>
    <w:p w:rsidR="005940D1" w:rsidRDefault="005940D1" w:rsidP="005940D1">
      <w:pPr>
        <w:pStyle w:val="Header"/>
        <w:tabs>
          <w:tab w:val="center" w:pos="1134"/>
        </w:tabs>
        <w:jc w:val="both"/>
        <w:rPr>
          <w:rFonts w:asciiTheme="majorHAnsi" w:hAnsiTheme="majorHAnsi"/>
          <w:sz w:val="22"/>
          <w:szCs w:val="22"/>
        </w:rPr>
      </w:pPr>
      <w:r>
        <w:rPr>
          <w:rFonts w:asciiTheme="majorHAnsi" w:hAnsiTheme="majorHAnsi"/>
          <w:sz w:val="22"/>
          <w:szCs w:val="22"/>
        </w:rPr>
        <w:t xml:space="preserve">De esta forma, el </w:t>
      </w:r>
      <w:r w:rsidRPr="00D568D2">
        <w:rPr>
          <w:rFonts w:asciiTheme="majorHAnsi" w:hAnsiTheme="majorHAnsi"/>
          <w:b/>
          <w:sz w:val="22"/>
          <w:szCs w:val="22"/>
        </w:rPr>
        <w:t xml:space="preserve">art. 287 bis </w:t>
      </w:r>
      <w:r>
        <w:rPr>
          <w:rFonts w:asciiTheme="majorHAnsi" w:hAnsiTheme="majorHAnsi"/>
          <w:sz w:val="22"/>
          <w:szCs w:val="22"/>
        </w:rPr>
        <w:t>sanción con la pena de reclusión menor en su grado medio al que solicite o acepte un beneficio para sí o un tercero, para favorecer o haber favorecido en el ejercicio de sus labores la contratación de un oferente sobre otro.</w:t>
      </w:r>
    </w:p>
    <w:p w:rsidR="005940D1" w:rsidRPr="009A51B5" w:rsidRDefault="005940D1" w:rsidP="005940D1">
      <w:pPr>
        <w:pStyle w:val="Header"/>
        <w:tabs>
          <w:tab w:val="center" w:pos="1134"/>
        </w:tabs>
        <w:jc w:val="both"/>
        <w:rPr>
          <w:rFonts w:asciiTheme="majorHAnsi" w:hAnsiTheme="majorHAnsi"/>
          <w:sz w:val="22"/>
          <w:szCs w:val="22"/>
        </w:rPr>
      </w:pPr>
    </w:p>
    <w:p w:rsidR="005940D1" w:rsidRDefault="005940D1" w:rsidP="005940D1">
      <w:pPr>
        <w:pStyle w:val="Header"/>
        <w:tabs>
          <w:tab w:val="center" w:pos="1134"/>
        </w:tabs>
        <w:jc w:val="both"/>
        <w:rPr>
          <w:rFonts w:asciiTheme="majorHAnsi" w:hAnsiTheme="majorHAnsi"/>
          <w:sz w:val="22"/>
          <w:szCs w:val="22"/>
        </w:rPr>
      </w:pPr>
      <w:r>
        <w:rPr>
          <w:rFonts w:asciiTheme="majorHAnsi" w:hAnsiTheme="majorHAnsi"/>
          <w:sz w:val="22"/>
          <w:szCs w:val="22"/>
        </w:rPr>
        <w:t xml:space="preserve">A su vez el </w:t>
      </w:r>
      <w:r w:rsidRPr="004F371F">
        <w:rPr>
          <w:rFonts w:asciiTheme="majorHAnsi" w:hAnsiTheme="majorHAnsi"/>
          <w:b/>
          <w:sz w:val="22"/>
          <w:szCs w:val="22"/>
        </w:rPr>
        <w:t>art. 287 ter</w:t>
      </w:r>
      <w:r>
        <w:rPr>
          <w:rFonts w:asciiTheme="majorHAnsi" w:hAnsiTheme="majorHAnsi"/>
          <w:sz w:val="22"/>
          <w:szCs w:val="22"/>
        </w:rPr>
        <w:t xml:space="preserve"> establece que será sancionado con una reclusión menor en su grado mínimo a quien </w:t>
      </w:r>
      <w:r w:rsidRPr="004F371F">
        <w:rPr>
          <w:rFonts w:asciiTheme="majorHAnsi" w:hAnsiTheme="majorHAnsi"/>
          <w:sz w:val="22"/>
          <w:szCs w:val="22"/>
        </w:rPr>
        <w:t>diere, ofreciere o consintiere en dar a un empleado o mandatario un beneficio económico o de otra naturaleza, para sí o un tercero, para que favorezca o por haber favorecido la contratación con un oferente por sobre otro</w:t>
      </w:r>
    </w:p>
    <w:p w:rsidR="005940D1" w:rsidRDefault="005940D1" w:rsidP="005940D1">
      <w:pPr>
        <w:pStyle w:val="Header"/>
        <w:tabs>
          <w:tab w:val="center" w:pos="1134"/>
        </w:tabs>
        <w:jc w:val="both"/>
        <w:rPr>
          <w:rFonts w:asciiTheme="majorHAnsi" w:hAnsiTheme="majorHAnsi"/>
          <w:sz w:val="22"/>
          <w:szCs w:val="22"/>
        </w:rPr>
      </w:pPr>
    </w:p>
    <w:p w:rsidR="005940D1" w:rsidRDefault="005940D1" w:rsidP="005940D1">
      <w:pPr>
        <w:pStyle w:val="Header"/>
        <w:tabs>
          <w:tab w:val="center" w:pos="1134"/>
        </w:tabs>
        <w:jc w:val="both"/>
        <w:rPr>
          <w:rFonts w:asciiTheme="majorHAnsi" w:hAnsiTheme="majorHAnsi"/>
          <w:sz w:val="22"/>
          <w:szCs w:val="22"/>
        </w:rPr>
      </w:pPr>
      <w:r w:rsidRPr="00F168E2">
        <w:rPr>
          <w:rFonts w:asciiTheme="majorHAnsi" w:hAnsiTheme="majorHAnsi"/>
          <w:sz w:val="22"/>
          <w:szCs w:val="22"/>
        </w:rPr>
        <w:t xml:space="preserve">Además se establece una multa del tanto al duplo del </w:t>
      </w:r>
      <w:r w:rsidR="00612662">
        <w:rPr>
          <w:rFonts w:asciiTheme="majorHAnsi" w:hAnsiTheme="majorHAnsi"/>
          <w:sz w:val="22"/>
          <w:szCs w:val="22"/>
        </w:rPr>
        <w:t>beneficio solicitado o aceptado.</w:t>
      </w:r>
    </w:p>
    <w:p w:rsidR="00612662" w:rsidRPr="00F168E2" w:rsidRDefault="00612662" w:rsidP="005940D1">
      <w:pPr>
        <w:pStyle w:val="Header"/>
        <w:tabs>
          <w:tab w:val="center" w:pos="1134"/>
        </w:tabs>
        <w:jc w:val="both"/>
        <w:rPr>
          <w:rFonts w:asciiTheme="majorHAnsi" w:hAnsiTheme="majorHAnsi"/>
          <w:sz w:val="22"/>
          <w:szCs w:val="22"/>
        </w:rPr>
      </w:pPr>
    </w:p>
    <w:p w:rsidR="005940D1" w:rsidRPr="005940D1" w:rsidRDefault="005940D1" w:rsidP="005940D1">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w:t>
      </w:r>
      <w:r>
        <w:rPr>
          <w:rFonts w:asciiTheme="majorHAnsi" w:eastAsia="Times New Roman" w:hAnsiTheme="majorHAnsi" w:cs="Arial"/>
          <w:color w:val="943634" w:themeColor="accent2" w:themeShade="BF"/>
          <w:sz w:val="22"/>
          <w:szCs w:val="22"/>
        </w:rPr>
        <w:t>robar (Aprobado con unanimidad 7</w:t>
      </w:r>
      <w:r w:rsidRPr="00BD087C">
        <w:rPr>
          <w:rFonts w:asciiTheme="majorHAnsi" w:eastAsia="Times New Roman" w:hAnsiTheme="majorHAnsi" w:cs="Arial"/>
          <w:color w:val="943634" w:themeColor="accent2" w:themeShade="BF"/>
          <w:sz w:val="22"/>
          <w:szCs w:val="22"/>
        </w:rPr>
        <w:t>x0 en Comisión Mixta)</w:t>
      </w:r>
    </w:p>
    <w:p w:rsidR="005940D1" w:rsidRDefault="005940D1" w:rsidP="005940D1">
      <w:pPr>
        <w:pStyle w:val="Header"/>
        <w:widowControl w:val="0"/>
        <w:tabs>
          <w:tab w:val="clear" w:pos="4153"/>
          <w:tab w:val="clear" w:pos="8306"/>
          <w:tab w:val="center" w:pos="1134"/>
          <w:tab w:val="center" w:pos="4419"/>
          <w:tab w:val="right" w:pos="8838"/>
        </w:tabs>
        <w:autoSpaceDE w:val="0"/>
        <w:autoSpaceDN w:val="0"/>
        <w:adjustRightInd w:val="0"/>
        <w:ind w:left="720"/>
        <w:jc w:val="both"/>
        <w:rPr>
          <w:rFonts w:asciiTheme="majorHAnsi" w:hAnsiTheme="majorHAnsi"/>
          <w:b/>
          <w:sz w:val="22"/>
          <w:szCs w:val="22"/>
          <w:u w:val="single"/>
        </w:rPr>
      </w:pPr>
    </w:p>
    <w:p w:rsidR="005940D1" w:rsidRPr="005940D1" w:rsidRDefault="005940D1" w:rsidP="00730211">
      <w:pPr>
        <w:pStyle w:val="ListParagraph"/>
        <w:numPr>
          <w:ilvl w:val="0"/>
          <w:numId w:val="4"/>
        </w:numPr>
        <w:autoSpaceDN w:val="0"/>
        <w:spacing w:after="0" w:line="240" w:lineRule="auto"/>
        <w:ind w:left="567"/>
        <w:jc w:val="both"/>
        <w:outlineLvl w:val="0"/>
        <w:rPr>
          <w:rFonts w:asciiTheme="majorHAnsi" w:hAnsiTheme="majorHAnsi"/>
          <w:b/>
        </w:rPr>
      </w:pPr>
      <w:r w:rsidRPr="005940D1">
        <w:rPr>
          <w:rFonts w:asciiTheme="majorHAnsi" w:hAnsiTheme="majorHAnsi"/>
          <w:b/>
        </w:rPr>
        <w:t>Administración desleal (art. 470 N°11)</w:t>
      </w:r>
    </w:p>
    <w:p w:rsidR="005940D1" w:rsidRPr="009A51B5" w:rsidRDefault="005940D1" w:rsidP="005940D1">
      <w:pPr>
        <w:pStyle w:val="Header"/>
        <w:widowControl w:val="0"/>
        <w:tabs>
          <w:tab w:val="clear" w:pos="4153"/>
          <w:tab w:val="clear" w:pos="8306"/>
          <w:tab w:val="center" w:pos="1134"/>
          <w:tab w:val="center" w:pos="4419"/>
          <w:tab w:val="right" w:pos="8838"/>
        </w:tabs>
        <w:autoSpaceDE w:val="0"/>
        <w:autoSpaceDN w:val="0"/>
        <w:adjustRightInd w:val="0"/>
        <w:ind w:left="720"/>
        <w:jc w:val="both"/>
        <w:rPr>
          <w:rFonts w:asciiTheme="majorHAnsi" w:hAnsiTheme="majorHAnsi"/>
          <w:b/>
          <w:sz w:val="22"/>
          <w:szCs w:val="22"/>
          <w:u w:val="single"/>
        </w:rPr>
      </w:pPr>
    </w:p>
    <w:p w:rsidR="005940D1" w:rsidRDefault="005940D1" w:rsidP="005940D1">
      <w:pPr>
        <w:jc w:val="both"/>
        <w:rPr>
          <w:rFonts w:asciiTheme="majorHAnsi" w:hAnsiTheme="majorHAnsi" w:cs="Arial"/>
          <w:sz w:val="22"/>
          <w:szCs w:val="22"/>
          <w:lang w:val="es-ES_tradnl"/>
        </w:rPr>
      </w:pPr>
      <w:r>
        <w:rPr>
          <w:rFonts w:asciiTheme="majorHAnsi" w:hAnsiTheme="majorHAnsi" w:cs="Arial"/>
          <w:sz w:val="22"/>
          <w:szCs w:val="22"/>
          <w:lang w:val="es-ES_tradnl"/>
        </w:rPr>
        <w:t xml:space="preserve">En esta materia se establece (1) </w:t>
      </w:r>
      <w:r w:rsidRPr="009A51B5">
        <w:rPr>
          <w:rFonts w:asciiTheme="majorHAnsi" w:hAnsiTheme="majorHAnsi" w:cs="Arial"/>
          <w:sz w:val="22"/>
          <w:szCs w:val="22"/>
          <w:lang w:val="es-ES_tradnl"/>
        </w:rPr>
        <w:t xml:space="preserve">un delito que sanciona </w:t>
      </w:r>
      <w:r>
        <w:rPr>
          <w:rFonts w:asciiTheme="majorHAnsi" w:hAnsiTheme="majorHAnsi" w:cs="Arial"/>
          <w:sz w:val="22"/>
          <w:szCs w:val="22"/>
          <w:lang w:val="es-ES_tradnl"/>
        </w:rPr>
        <w:t>a quienes, teniendo a su cargo la gestión de un patrimonio ajeno, le irroguen perjuicio a este ejerciendo abusivamente las facultades para disponer de ella (sea ejecutando u omitiendo acciones que sean manifiestamente contrarias al interés del patrimonio afectado)</w:t>
      </w:r>
      <w:r w:rsidRPr="009A51B5">
        <w:rPr>
          <w:rFonts w:asciiTheme="majorHAnsi" w:hAnsiTheme="majorHAnsi" w:cs="Arial"/>
          <w:sz w:val="22"/>
          <w:szCs w:val="22"/>
          <w:lang w:val="es-ES_tradnl"/>
        </w:rPr>
        <w:t>.</w:t>
      </w:r>
      <w:r>
        <w:rPr>
          <w:rFonts w:asciiTheme="majorHAnsi" w:hAnsiTheme="majorHAnsi" w:cs="Arial"/>
          <w:sz w:val="22"/>
          <w:szCs w:val="22"/>
          <w:lang w:val="es-ES_tradnl"/>
        </w:rPr>
        <w:t xml:space="preserve">  </w:t>
      </w:r>
    </w:p>
    <w:p w:rsidR="005940D1" w:rsidRDefault="005940D1" w:rsidP="005940D1">
      <w:pPr>
        <w:jc w:val="both"/>
        <w:rPr>
          <w:rFonts w:asciiTheme="majorHAnsi" w:hAnsiTheme="majorHAnsi" w:cs="Arial"/>
          <w:sz w:val="22"/>
          <w:szCs w:val="22"/>
          <w:lang w:val="es-ES_tradnl"/>
        </w:rPr>
      </w:pPr>
    </w:p>
    <w:p w:rsidR="005940D1" w:rsidRDefault="005940D1" w:rsidP="005940D1">
      <w:pPr>
        <w:jc w:val="both"/>
        <w:rPr>
          <w:rFonts w:asciiTheme="majorHAnsi" w:hAnsiTheme="majorHAnsi"/>
          <w:sz w:val="22"/>
          <w:szCs w:val="22"/>
        </w:rPr>
      </w:pPr>
      <w:r>
        <w:rPr>
          <w:rFonts w:asciiTheme="majorHAnsi" w:hAnsiTheme="majorHAnsi" w:cs="Arial"/>
          <w:sz w:val="22"/>
          <w:szCs w:val="22"/>
          <w:lang w:val="es-ES_tradnl"/>
        </w:rPr>
        <w:t>Quienes incurran en estas conducta, serán sancionadas con las penas del artículo 467 en su grado máximo. A su vez, (2) en cas</w:t>
      </w:r>
      <w:r w:rsidRPr="000F51AC">
        <w:rPr>
          <w:rFonts w:asciiTheme="majorHAnsi" w:hAnsiTheme="majorHAnsi" w:cs="Arial"/>
          <w:sz w:val="22"/>
          <w:szCs w:val="22"/>
          <w:lang w:val="es-ES_tradnl"/>
        </w:rPr>
        <w:t xml:space="preserve">o </w:t>
      </w:r>
      <w:r>
        <w:rPr>
          <w:rFonts w:asciiTheme="majorHAnsi" w:hAnsiTheme="majorHAnsi"/>
          <w:sz w:val="22"/>
          <w:szCs w:val="22"/>
        </w:rPr>
        <w:t xml:space="preserve">de que el delito de administración desleal recaiga en </w:t>
      </w:r>
      <w:r w:rsidRPr="000F51AC">
        <w:rPr>
          <w:rFonts w:asciiTheme="majorHAnsi" w:hAnsiTheme="majorHAnsi"/>
          <w:sz w:val="22"/>
          <w:szCs w:val="22"/>
        </w:rPr>
        <w:t xml:space="preserve">patrimonio encomendado </w:t>
      </w:r>
      <w:r>
        <w:rPr>
          <w:rFonts w:asciiTheme="majorHAnsi" w:hAnsiTheme="majorHAnsi"/>
          <w:sz w:val="22"/>
          <w:szCs w:val="22"/>
        </w:rPr>
        <w:t xml:space="preserve">que </w:t>
      </w:r>
      <w:r w:rsidRPr="000F51AC">
        <w:rPr>
          <w:rFonts w:asciiTheme="majorHAnsi" w:hAnsiTheme="majorHAnsi"/>
          <w:sz w:val="22"/>
          <w:szCs w:val="22"/>
        </w:rPr>
        <w:t>fuere el de una sociedad anónima abierta o especia</w:t>
      </w:r>
      <w:r>
        <w:rPr>
          <w:rFonts w:asciiTheme="majorHAnsi" w:hAnsiTheme="majorHAnsi"/>
          <w:sz w:val="22"/>
          <w:szCs w:val="22"/>
        </w:rPr>
        <w:t>l</w:t>
      </w:r>
      <w:r w:rsidRPr="000F51AC">
        <w:rPr>
          <w:rFonts w:asciiTheme="majorHAnsi" w:hAnsiTheme="majorHAnsi"/>
          <w:sz w:val="22"/>
          <w:szCs w:val="22"/>
        </w:rPr>
        <w:t>, se impondrá la pena de inhabilitación especial temporal en su grado mínimo para desempeñarse como gerente, director, liquidador o administrador a cualquier título de una sociedad o entidad sometida a fiscalización de una Superintendencia</w:t>
      </w:r>
      <w:r>
        <w:rPr>
          <w:rFonts w:asciiTheme="majorHAnsi" w:hAnsiTheme="majorHAnsi"/>
          <w:sz w:val="22"/>
          <w:szCs w:val="22"/>
        </w:rPr>
        <w:t>.</w:t>
      </w:r>
      <w:r w:rsidRPr="000F51AC">
        <w:rPr>
          <w:rFonts w:asciiTheme="majorHAnsi" w:hAnsiTheme="majorHAnsi"/>
          <w:sz w:val="22"/>
          <w:szCs w:val="22"/>
        </w:rPr>
        <w:t xml:space="preserve"> </w:t>
      </w:r>
    </w:p>
    <w:p w:rsidR="005940D1" w:rsidRDefault="005940D1" w:rsidP="005940D1">
      <w:pPr>
        <w:jc w:val="both"/>
        <w:rPr>
          <w:rFonts w:asciiTheme="majorHAnsi" w:hAnsiTheme="majorHAnsi" w:cs="Arial"/>
          <w:sz w:val="22"/>
          <w:szCs w:val="22"/>
          <w:lang w:val="es-ES_tradnl"/>
        </w:rPr>
      </w:pPr>
    </w:p>
    <w:p w:rsidR="005940D1" w:rsidRDefault="005940D1" w:rsidP="005940D1">
      <w:pPr>
        <w:jc w:val="both"/>
        <w:rPr>
          <w:rFonts w:asciiTheme="majorHAnsi" w:hAnsiTheme="majorHAnsi" w:cs="Arial"/>
          <w:sz w:val="22"/>
          <w:szCs w:val="22"/>
          <w:lang w:val="es-ES_tradnl"/>
        </w:rPr>
      </w:pPr>
      <w:r>
        <w:rPr>
          <w:rFonts w:asciiTheme="majorHAnsi" w:hAnsiTheme="majorHAnsi" w:cs="Arial"/>
          <w:sz w:val="22"/>
          <w:szCs w:val="22"/>
          <w:lang w:val="es-ES_tradnl"/>
        </w:rPr>
        <w:t xml:space="preserve">Frente a este punto, hay quienes señalan que </w:t>
      </w:r>
      <w:r>
        <w:rPr>
          <w:rFonts w:asciiTheme="majorHAnsi" w:hAnsiTheme="majorHAnsi" w:cs="Arial"/>
          <w:sz w:val="22"/>
          <w:szCs w:val="22"/>
        </w:rPr>
        <w:t>l</w:t>
      </w:r>
      <w:r w:rsidRPr="009A51B5">
        <w:rPr>
          <w:rFonts w:asciiTheme="majorHAnsi" w:hAnsiTheme="majorHAnsi" w:cs="Arial"/>
          <w:sz w:val="22"/>
          <w:szCs w:val="22"/>
        </w:rPr>
        <w:t>a</w:t>
      </w:r>
      <w:r>
        <w:rPr>
          <w:rFonts w:asciiTheme="majorHAnsi" w:hAnsiTheme="majorHAnsi" w:cs="Arial"/>
          <w:sz w:val="22"/>
          <w:szCs w:val="22"/>
        </w:rPr>
        <w:t xml:space="preserve"> consagración de la figura</w:t>
      </w:r>
      <w:r w:rsidRPr="009A51B5">
        <w:rPr>
          <w:rFonts w:asciiTheme="majorHAnsi" w:hAnsiTheme="majorHAnsi" w:cs="Arial"/>
          <w:sz w:val="22"/>
          <w:szCs w:val="22"/>
        </w:rPr>
        <w:t xml:space="preserve"> administración desleal de</w:t>
      </w:r>
      <w:r>
        <w:rPr>
          <w:rFonts w:asciiTheme="majorHAnsi" w:hAnsiTheme="majorHAnsi" w:cs="Arial"/>
          <w:sz w:val="22"/>
          <w:szCs w:val="22"/>
        </w:rPr>
        <w:t>l patrimonio ajeno constituye una</w:t>
      </w:r>
      <w:r w:rsidRPr="009A51B5">
        <w:rPr>
          <w:rFonts w:asciiTheme="majorHAnsi" w:hAnsiTheme="majorHAnsi" w:cs="Arial"/>
          <w:sz w:val="22"/>
          <w:szCs w:val="22"/>
        </w:rPr>
        <w:t xml:space="preserve"> posición intermedia entre los delitos de estafa y apropiación indebida de un lado y, del otro, la responsabilidad civil extracontractual o la de los administradores de la sociedad anónima.</w:t>
      </w:r>
    </w:p>
    <w:p w:rsidR="005940D1" w:rsidRDefault="005940D1" w:rsidP="005940D1">
      <w:pPr>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w:t>
      </w:r>
      <w:r>
        <w:rPr>
          <w:rFonts w:asciiTheme="majorHAnsi" w:eastAsia="Times New Roman" w:hAnsiTheme="majorHAnsi" w:cs="Arial"/>
          <w:color w:val="943634" w:themeColor="accent2" w:themeShade="BF"/>
          <w:sz w:val="22"/>
          <w:szCs w:val="22"/>
        </w:rPr>
        <w:t>robar (Aprobado con unanimidad 7</w:t>
      </w:r>
      <w:r w:rsidRPr="00BD087C">
        <w:rPr>
          <w:rFonts w:asciiTheme="majorHAnsi" w:eastAsia="Times New Roman" w:hAnsiTheme="majorHAnsi" w:cs="Arial"/>
          <w:color w:val="943634" w:themeColor="accent2" w:themeShade="BF"/>
          <w:sz w:val="22"/>
          <w:szCs w:val="22"/>
        </w:rPr>
        <w:t>x0 en Comisión Mixta)</w:t>
      </w:r>
    </w:p>
    <w:p w:rsidR="000F51AC" w:rsidRPr="000F51AC" w:rsidRDefault="000F51AC" w:rsidP="000F51AC">
      <w:pPr>
        <w:jc w:val="both"/>
        <w:rPr>
          <w:rFonts w:asciiTheme="majorHAnsi" w:hAnsiTheme="majorHAnsi"/>
        </w:rPr>
      </w:pPr>
    </w:p>
    <w:p w:rsidR="000F51AC" w:rsidRDefault="005940D1" w:rsidP="005940D1">
      <w:pPr>
        <w:pStyle w:val="ListParagraph"/>
        <w:numPr>
          <w:ilvl w:val="0"/>
          <w:numId w:val="11"/>
        </w:numPr>
        <w:ind w:left="709"/>
        <w:jc w:val="center"/>
        <w:rPr>
          <w:rFonts w:asciiTheme="majorHAnsi" w:hAnsiTheme="majorHAnsi"/>
        </w:rPr>
      </w:pPr>
      <w:r w:rsidRPr="005940D1">
        <w:rPr>
          <w:rFonts w:asciiTheme="majorHAnsi" w:hAnsiTheme="majorHAnsi"/>
          <w:b/>
          <w:u w:val="single"/>
        </w:rPr>
        <w:t>Modificación a la ley 20.393, sobre responsabilidad penal de las personas jurídicas</w:t>
      </w:r>
      <w:r>
        <w:rPr>
          <w:rFonts w:asciiTheme="majorHAnsi" w:hAnsiTheme="majorHAnsi"/>
        </w:rPr>
        <w:t>.</w:t>
      </w:r>
    </w:p>
    <w:p w:rsidR="005940D1" w:rsidRDefault="005940D1" w:rsidP="005940D1">
      <w:pPr>
        <w:pStyle w:val="ListParagraph"/>
        <w:ind w:left="709"/>
        <w:rPr>
          <w:rFonts w:asciiTheme="majorHAnsi" w:hAnsiTheme="majorHAnsi"/>
          <w:b/>
          <w:u w:val="single"/>
        </w:rPr>
      </w:pPr>
    </w:p>
    <w:p w:rsidR="005940D1" w:rsidRPr="009A51B5" w:rsidRDefault="005940D1" w:rsidP="00730211">
      <w:pPr>
        <w:pStyle w:val="ListParagraph"/>
        <w:numPr>
          <w:ilvl w:val="0"/>
          <w:numId w:val="9"/>
        </w:numPr>
        <w:spacing w:after="0" w:line="240" w:lineRule="auto"/>
        <w:ind w:left="567"/>
        <w:jc w:val="both"/>
        <w:rPr>
          <w:rFonts w:asciiTheme="majorHAnsi" w:hAnsiTheme="majorHAnsi"/>
          <w:b/>
        </w:rPr>
      </w:pPr>
      <w:r w:rsidRPr="009A51B5">
        <w:rPr>
          <w:rFonts w:asciiTheme="majorHAnsi" w:hAnsiTheme="majorHAnsi"/>
          <w:b/>
        </w:rPr>
        <w:t>Nuevos delitos por los cuales pueden ser penalmente responsables las personas jurídicas</w:t>
      </w:r>
    </w:p>
    <w:p w:rsidR="005940D1" w:rsidRPr="009A51B5" w:rsidRDefault="005940D1" w:rsidP="005940D1">
      <w:pPr>
        <w:pStyle w:val="ListParagraph"/>
        <w:spacing w:after="0" w:line="240" w:lineRule="auto"/>
        <w:jc w:val="both"/>
        <w:rPr>
          <w:rFonts w:asciiTheme="majorHAnsi" w:hAnsiTheme="majorHAnsi"/>
          <w:b/>
        </w:rPr>
      </w:pPr>
    </w:p>
    <w:p w:rsidR="005940D1" w:rsidRDefault="0072200D" w:rsidP="005940D1">
      <w:pPr>
        <w:pStyle w:val="Header"/>
        <w:tabs>
          <w:tab w:val="center" w:pos="1134"/>
        </w:tabs>
        <w:jc w:val="both"/>
        <w:rPr>
          <w:rFonts w:asciiTheme="majorHAnsi" w:hAnsiTheme="majorHAnsi"/>
          <w:sz w:val="22"/>
          <w:szCs w:val="22"/>
        </w:rPr>
      </w:pPr>
      <w:r>
        <w:rPr>
          <w:rFonts w:asciiTheme="majorHAnsi" w:hAnsiTheme="majorHAnsi"/>
          <w:sz w:val="22"/>
          <w:szCs w:val="22"/>
        </w:rPr>
        <w:t>S</w:t>
      </w:r>
      <w:r w:rsidR="005940D1" w:rsidRPr="00730211">
        <w:rPr>
          <w:rFonts w:asciiTheme="majorHAnsi" w:hAnsiTheme="majorHAnsi"/>
          <w:sz w:val="22"/>
          <w:szCs w:val="22"/>
        </w:rPr>
        <w:t>e incorporan</w:t>
      </w:r>
      <w:r>
        <w:rPr>
          <w:rFonts w:asciiTheme="majorHAnsi" w:hAnsiTheme="majorHAnsi"/>
          <w:sz w:val="22"/>
          <w:szCs w:val="22"/>
        </w:rPr>
        <w:t xml:space="preserve"> los </w:t>
      </w:r>
      <w:r w:rsidR="005940D1" w:rsidRPr="00730211">
        <w:rPr>
          <w:rFonts w:asciiTheme="majorHAnsi" w:hAnsiTheme="majorHAnsi"/>
          <w:sz w:val="22"/>
          <w:szCs w:val="22"/>
        </w:rPr>
        <w:t xml:space="preserve">nuevos delitos </w:t>
      </w:r>
      <w:r>
        <w:rPr>
          <w:rFonts w:asciiTheme="majorHAnsi" w:hAnsiTheme="majorHAnsi"/>
          <w:sz w:val="22"/>
          <w:szCs w:val="22"/>
        </w:rPr>
        <w:t>consagrados anteriormente en la ley de responsabilidad penal de las personas jurídicas, para efectos que estos se puedan</w:t>
      </w:r>
      <w:r w:rsidR="005940D1" w:rsidRPr="00730211">
        <w:rPr>
          <w:rFonts w:asciiTheme="majorHAnsi" w:hAnsiTheme="majorHAnsi"/>
          <w:sz w:val="22"/>
          <w:szCs w:val="22"/>
        </w:rPr>
        <w:t xml:space="preserve"> perseguir y sancionar a las personas jurídicas</w:t>
      </w:r>
      <w:r>
        <w:rPr>
          <w:rFonts w:asciiTheme="majorHAnsi" w:hAnsiTheme="majorHAnsi"/>
          <w:sz w:val="22"/>
          <w:szCs w:val="22"/>
        </w:rPr>
        <w:t xml:space="preserve"> que incurran en ellos</w:t>
      </w:r>
      <w:r w:rsidR="005940D1" w:rsidRPr="009A51B5">
        <w:rPr>
          <w:rFonts w:asciiTheme="majorHAnsi" w:hAnsiTheme="majorHAnsi"/>
          <w:sz w:val="22"/>
          <w:szCs w:val="22"/>
        </w:rPr>
        <w:t xml:space="preserve">. </w:t>
      </w:r>
    </w:p>
    <w:p w:rsidR="00612662" w:rsidRDefault="00612662" w:rsidP="005940D1">
      <w:pPr>
        <w:pStyle w:val="Header"/>
        <w:tabs>
          <w:tab w:val="center" w:pos="1134"/>
        </w:tabs>
        <w:jc w:val="both"/>
        <w:rPr>
          <w:rFonts w:asciiTheme="majorHAnsi" w:hAnsiTheme="majorHAnsi"/>
          <w:sz w:val="22"/>
          <w:szCs w:val="22"/>
        </w:rPr>
      </w:pPr>
    </w:p>
    <w:p w:rsidR="0072200D" w:rsidRPr="0072200D" w:rsidRDefault="0072200D" w:rsidP="0072200D">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w:t>
      </w:r>
      <w:r>
        <w:rPr>
          <w:rFonts w:asciiTheme="majorHAnsi" w:eastAsia="Times New Roman" w:hAnsiTheme="majorHAnsi" w:cs="Arial"/>
          <w:color w:val="943634" w:themeColor="accent2" w:themeShade="BF"/>
          <w:sz w:val="22"/>
          <w:szCs w:val="22"/>
        </w:rPr>
        <w:t>robar (Aprobado con unanimidad 7</w:t>
      </w:r>
      <w:r w:rsidRPr="00BD087C">
        <w:rPr>
          <w:rFonts w:asciiTheme="majorHAnsi" w:eastAsia="Times New Roman" w:hAnsiTheme="majorHAnsi" w:cs="Arial"/>
          <w:color w:val="943634" w:themeColor="accent2" w:themeShade="BF"/>
          <w:sz w:val="22"/>
          <w:szCs w:val="22"/>
        </w:rPr>
        <w:t>x0 en Comisión Mixta)</w:t>
      </w:r>
    </w:p>
    <w:p w:rsidR="0072200D" w:rsidRPr="009A51B5" w:rsidRDefault="0072200D" w:rsidP="005940D1">
      <w:pPr>
        <w:pStyle w:val="Header"/>
        <w:tabs>
          <w:tab w:val="center" w:pos="1134"/>
        </w:tabs>
        <w:jc w:val="both"/>
        <w:rPr>
          <w:rFonts w:asciiTheme="majorHAnsi" w:hAnsiTheme="majorHAnsi"/>
          <w:sz w:val="22"/>
          <w:szCs w:val="22"/>
        </w:rPr>
      </w:pPr>
    </w:p>
    <w:p w:rsidR="005940D1" w:rsidRDefault="0072200D" w:rsidP="005940D1">
      <w:pPr>
        <w:pStyle w:val="ListParagraph"/>
        <w:numPr>
          <w:ilvl w:val="0"/>
          <w:numId w:val="9"/>
        </w:numPr>
        <w:spacing w:after="0" w:line="240" w:lineRule="auto"/>
        <w:ind w:left="567"/>
        <w:jc w:val="both"/>
        <w:rPr>
          <w:rFonts w:asciiTheme="majorHAnsi" w:hAnsiTheme="majorHAnsi"/>
          <w:b/>
        </w:rPr>
      </w:pPr>
      <w:r w:rsidRPr="0072200D">
        <w:rPr>
          <w:rFonts w:asciiTheme="majorHAnsi" w:hAnsiTheme="majorHAnsi"/>
          <w:b/>
        </w:rPr>
        <w:t xml:space="preserve">Ampliación de la aplicación de la sanción de disolución de la persona jurídica. </w:t>
      </w:r>
    </w:p>
    <w:p w:rsidR="0072200D" w:rsidRPr="0072200D" w:rsidRDefault="0072200D" w:rsidP="00A368D3">
      <w:pPr>
        <w:pStyle w:val="ListParagraph"/>
        <w:spacing w:after="0" w:line="240" w:lineRule="auto"/>
        <w:ind w:left="567"/>
        <w:jc w:val="both"/>
        <w:rPr>
          <w:rFonts w:asciiTheme="majorHAnsi" w:hAnsiTheme="majorHAnsi"/>
          <w:b/>
        </w:rPr>
      </w:pPr>
    </w:p>
    <w:p w:rsidR="005940D1" w:rsidRPr="009A51B5" w:rsidRDefault="00A368D3" w:rsidP="00A368D3">
      <w:pPr>
        <w:pStyle w:val="Header"/>
        <w:tabs>
          <w:tab w:val="center" w:pos="1134"/>
        </w:tabs>
        <w:jc w:val="both"/>
        <w:rPr>
          <w:rFonts w:asciiTheme="majorHAnsi" w:hAnsiTheme="majorHAnsi"/>
          <w:sz w:val="22"/>
          <w:szCs w:val="22"/>
        </w:rPr>
      </w:pPr>
      <w:r>
        <w:rPr>
          <w:rFonts w:asciiTheme="majorHAnsi" w:hAnsiTheme="majorHAnsi"/>
          <w:sz w:val="22"/>
          <w:szCs w:val="22"/>
        </w:rPr>
        <w:t xml:space="preserve">Se extiende la aplicación de la sanción </w:t>
      </w:r>
      <w:r w:rsidR="005940D1" w:rsidRPr="00730211">
        <w:rPr>
          <w:rFonts w:asciiTheme="majorHAnsi" w:hAnsiTheme="majorHAnsi"/>
          <w:sz w:val="22"/>
          <w:szCs w:val="22"/>
        </w:rPr>
        <w:t xml:space="preserve">de </w:t>
      </w:r>
      <w:r w:rsidR="005940D1" w:rsidRPr="00D63B30">
        <w:rPr>
          <w:rFonts w:asciiTheme="majorHAnsi" w:hAnsiTheme="majorHAnsi"/>
          <w:sz w:val="22"/>
          <w:szCs w:val="22"/>
          <w:u w:val="single"/>
        </w:rPr>
        <w:t>disolución de la persona jurídica</w:t>
      </w:r>
      <w:r>
        <w:rPr>
          <w:rFonts w:asciiTheme="majorHAnsi" w:hAnsiTheme="majorHAnsi"/>
          <w:sz w:val="22"/>
          <w:szCs w:val="22"/>
        </w:rPr>
        <w:t xml:space="preserve"> (que hoy está consagrada solo para los crímenes que estas cometan), también a los simples delitos</w:t>
      </w:r>
      <w:r w:rsidR="005940D1" w:rsidRPr="00730211">
        <w:rPr>
          <w:rFonts w:asciiTheme="majorHAnsi" w:hAnsiTheme="majorHAnsi"/>
          <w:sz w:val="22"/>
          <w:szCs w:val="22"/>
        </w:rPr>
        <w:t>.</w:t>
      </w:r>
      <w:r w:rsidR="005940D1" w:rsidRPr="009A51B5">
        <w:rPr>
          <w:rFonts w:asciiTheme="majorHAnsi" w:hAnsiTheme="majorHAnsi"/>
          <w:sz w:val="22"/>
          <w:szCs w:val="22"/>
        </w:rPr>
        <w:t xml:space="preserve"> </w:t>
      </w:r>
      <w:r w:rsidR="00D63B30">
        <w:rPr>
          <w:rFonts w:asciiTheme="majorHAnsi" w:hAnsiTheme="majorHAnsi"/>
          <w:sz w:val="22"/>
          <w:szCs w:val="22"/>
        </w:rPr>
        <w:t>Con esta</w:t>
      </w:r>
      <w:r w:rsidR="005940D1" w:rsidRPr="009A51B5">
        <w:rPr>
          <w:rFonts w:asciiTheme="majorHAnsi" w:hAnsiTheme="majorHAnsi"/>
          <w:sz w:val="22"/>
          <w:szCs w:val="22"/>
        </w:rPr>
        <w:t xml:space="preserve"> </w:t>
      </w:r>
      <w:r w:rsidR="00D63B30">
        <w:rPr>
          <w:rFonts w:asciiTheme="majorHAnsi" w:hAnsiTheme="majorHAnsi"/>
          <w:sz w:val="22"/>
          <w:szCs w:val="22"/>
        </w:rPr>
        <w:t>ampliación de</w:t>
      </w:r>
      <w:r w:rsidR="005940D1" w:rsidRPr="009A51B5">
        <w:rPr>
          <w:rFonts w:asciiTheme="majorHAnsi" w:hAnsiTheme="majorHAnsi"/>
          <w:sz w:val="22"/>
          <w:szCs w:val="22"/>
        </w:rPr>
        <w:t xml:space="preserve"> la posibilidad de aplicar la disolución</w:t>
      </w:r>
      <w:r>
        <w:rPr>
          <w:rFonts w:asciiTheme="majorHAnsi" w:hAnsiTheme="majorHAnsi"/>
          <w:sz w:val="22"/>
          <w:szCs w:val="22"/>
        </w:rPr>
        <w:t xml:space="preserve"> de la personalidad jurídica</w:t>
      </w:r>
      <w:r w:rsidR="005940D1" w:rsidRPr="009A51B5">
        <w:rPr>
          <w:rFonts w:asciiTheme="majorHAnsi" w:hAnsiTheme="majorHAnsi"/>
          <w:sz w:val="22"/>
          <w:szCs w:val="22"/>
        </w:rPr>
        <w:t xml:space="preserve"> a todos los simples delitos, esto es soborno, cohecho a funcionario público extranjero, negociación incompatible, corrupción entre particulares, administración desleal, apropiación indebida y financiamiento al terrorismo, siempre que exista reincidencia específica.</w:t>
      </w:r>
    </w:p>
    <w:p w:rsidR="005940D1" w:rsidRPr="009A51B5" w:rsidRDefault="005940D1" w:rsidP="005940D1">
      <w:pPr>
        <w:pStyle w:val="Header"/>
        <w:tabs>
          <w:tab w:val="center" w:pos="1134"/>
        </w:tabs>
        <w:jc w:val="both"/>
        <w:rPr>
          <w:rFonts w:asciiTheme="majorHAnsi" w:hAnsiTheme="majorHAnsi"/>
          <w:sz w:val="22"/>
          <w:szCs w:val="22"/>
          <w:u w:val="single"/>
        </w:rPr>
      </w:pPr>
    </w:p>
    <w:p w:rsidR="005940D1" w:rsidRDefault="00A368D3" w:rsidP="005940D1">
      <w:pPr>
        <w:pStyle w:val="Header"/>
        <w:tabs>
          <w:tab w:val="center" w:pos="1134"/>
        </w:tabs>
        <w:jc w:val="both"/>
        <w:rPr>
          <w:rFonts w:asciiTheme="majorHAnsi" w:hAnsiTheme="majorHAnsi"/>
          <w:sz w:val="22"/>
          <w:szCs w:val="22"/>
        </w:rPr>
      </w:pPr>
      <w:r>
        <w:rPr>
          <w:rFonts w:asciiTheme="majorHAnsi" w:hAnsiTheme="majorHAnsi"/>
          <w:sz w:val="22"/>
          <w:szCs w:val="22"/>
        </w:rPr>
        <w:t>A su vez,</w:t>
      </w:r>
      <w:r w:rsidR="005940D1" w:rsidRPr="009A51B5">
        <w:rPr>
          <w:rFonts w:asciiTheme="majorHAnsi" w:hAnsiTheme="majorHAnsi"/>
          <w:sz w:val="22"/>
          <w:szCs w:val="22"/>
        </w:rPr>
        <w:t xml:space="preserve"> </w:t>
      </w:r>
      <w:r w:rsidR="005940D1" w:rsidRPr="00D63B30">
        <w:rPr>
          <w:rFonts w:asciiTheme="majorHAnsi" w:hAnsiTheme="majorHAnsi"/>
          <w:sz w:val="22"/>
          <w:szCs w:val="22"/>
        </w:rPr>
        <w:t xml:space="preserve">se aumentan considerablemente las penas de multas aplicables a las personas jurídicas. </w:t>
      </w:r>
      <w:r w:rsidR="005940D1" w:rsidRPr="009A51B5">
        <w:rPr>
          <w:rFonts w:asciiTheme="majorHAnsi" w:hAnsiTheme="majorHAnsi"/>
          <w:sz w:val="22"/>
          <w:szCs w:val="22"/>
        </w:rPr>
        <w:t xml:space="preserve">Actualmente estas penas van desde las 200 UTM ($.9.507.600) hasta las 20.000 UTM ($.950.760.000). </w:t>
      </w:r>
      <w:r>
        <w:rPr>
          <w:rFonts w:asciiTheme="majorHAnsi" w:hAnsiTheme="majorHAnsi"/>
          <w:sz w:val="22"/>
          <w:szCs w:val="22"/>
        </w:rPr>
        <w:t>Con esta norma se elevan</w:t>
      </w:r>
      <w:r w:rsidR="005940D1" w:rsidRPr="009A51B5">
        <w:rPr>
          <w:rFonts w:asciiTheme="majorHAnsi" w:hAnsiTheme="majorHAnsi"/>
          <w:sz w:val="22"/>
          <w:szCs w:val="22"/>
        </w:rPr>
        <w:t xml:space="preserve"> desde las 400 UTM (19.015.200) hasta las 300.000 UTM ($14.261.400.000).</w:t>
      </w:r>
    </w:p>
    <w:p w:rsidR="00612662" w:rsidRDefault="00612662" w:rsidP="005940D1">
      <w:pPr>
        <w:pStyle w:val="Header"/>
        <w:tabs>
          <w:tab w:val="center" w:pos="1134"/>
        </w:tabs>
        <w:jc w:val="both"/>
        <w:rPr>
          <w:rFonts w:asciiTheme="majorHAnsi" w:hAnsiTheme="majorHAnsi"/>
          <w:sz w:val="22"/>
          <w:szCs w:val="22"/>
        </w:rPr>
      </w:pPr>
    </w:p>
    <w:p w:rsidR="00D63B30" w:rsidRPr="00D63B30" w:rsidRDefault="00D63B30" w:rsidP="00D63B30">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w:t>
      </w:r>
      <w:r>
        <w:rPr>
          <w:rFonts w:asciiTheme="majorHAnsi" w:eastAsia="Times New Roman" w:hAnsiTheme="majorHAnsi" w:cs="Arial"/>
          <w:color w:val="943634" w:themeColor="accent2" w:themeShade="BF"/>
          <w:sz w:val="22"/>
          <w:szCs w:val="22"/>
        </w:rPr>
        <w:t>robar (Aprobado con unanimidad 7</w:t>
      </w:r>
      <w:r w:rsidRPr="00BD087C">
        <w:rPr>
          <w:rFonts w:asciiTheme="majorHAnsi" w:eastAsia="Times New Roman" w:hAnsiTheme="majorHAnsi" w:cs="Arial"/>
          <w:color w:val="943634" w:themeColor="accent2" w:themeShade="BF"/>
          <w:sz w:val="22"/>
          <w:szCs w:val="22"/>
        </w:rPr>
        <w:t>x0 en Comisión Mixta)</w:t>
      </w:r>
    </w:p>
    <w:p w:rsidR="005940D1" w:rsidRPr="009A51B5" w:rsidRDefault="005940D1" w:rsidP="005940D1">
      <w:pPr>
        <w:pStyle w:val="Header"/>
        <w:tabs>
          <w:tab w:val="center" w:pos="1134"/>
        </w:tabs>
        <w:jc w:val="both"/>
        <w:rPr>
          <w:rFonts w:asciiTheme="majorHAnsi" w:hAnsiTheme="majorHAnsi"/>
          <w:sz w:val="22"/>
          <w:szCs w:val="22"/>
          <w:u w:val="single"/>
        </w:rPr>
      </w:pPr>
    </w:p>
    <w:p w:rsidR="005940D1" w:rsidRPr="009A51B5" w:rsidRDefault="00D63B30" w:rsidP="00730211">
      <w:pPr>
        <w:pStyle w:val="ListParagraph"/>
        <w:numPr>
          <w:ilvl w:val="0"/>
          <w:numId w:val="9"/>
        </w:numPr>
        <w:spacing w:after="0" w:line="240" w:lineRule="auto"/>
        <w:ind w:left="567"/>
        <w:jc w:val="both"/>
        <w:rPr>
          <w:rFonts w:asciiTheme="majorHAnsi" w:hAnsiTheme="majorHAnsi"/>
          <w:b/>
          <w:spacing w:val="-3"/>
        </w:rPr>
      </w:pPr>
      <w:r>
        <w:rPr>
          <w:rFonts w:asciiTheme="majorHAnsi" w:hAnsiTheme="majorHAnsi"/>
          <w:b/>
          <w:spacing w:val="-3"/>
        </w:rPr>
        <w:t>Pena de comisio a</w:t>
      </w:r>
      <w:r w:rsidR="005940D1" w:rsidRPr="009A51B5">
        <w:rPr>
          <w:rFonts w:asciiTheme="majorHAnsi" w:hAnsiTheme="majorHAnsi"/>
          <w:b/>
          <w:spacing w:val="-3"/>
        </w:rPr>
        <w:t xml:space="preserve">ccesorias para las personas jurídicas </w:t>
      </w:r>
      <w:r w:rsidR="00FA2864">
        <w:rPr>
          <w:rFonts w:asciiTheme="majorHAnsi" w:hAnsiTheme="majorHAnsi"/>
          <w:b/>
          <w:spacing w:val="-3"/>
        </w:rPr>
        <w:t>(art. 13 nuevo numeral 2)</w:t>
      </w:r>
    </w:p>
    <w:p w:rsidR="005940D1" w:rsidRPr="009A51B5" w:rsidRDefault="005940D1" w:rsidP="005940D1">
      <w:pPr>
        <w:pStyle w:val="ListParagraph"/>
        <w:spacing w:after="0" w:line="240" w:lineRule="auto"/>
        <w:jc w:val="both"/>
        <w:rPr>
          <w:rFonts w:asciiTheme="majorHAnsi" w:hAnsiTheme="majorHAnsi"/>
          <w:b/>
          <w:spacing w:val="-3"/>
        </w:rPr>
      </w:pPr>
    </w:p>
    <w:p w:rsidR="00FA2864" w:rsidRDefault="00D63B30" w:rsidP="00FA2864">
      <w:pPr>
        <w:pStyle w:val="Header"/>
        <w:tabs>
          <w:tab w:val="center" w:pos="1134"/>
        </w:tabs>
        <w:jc w:val="both"/>
        <w:rPr>
          <w:rFonts w:asciiTheme="majorHAnsi" w:hAnsiTheme="majorHAnsi"/>
          <w:sz w:val="22"/>
          <w:szCs w:val="22"/>
        </w:rPr>
      </w:pPr>
      <w:r>
        <w:rPr>
          <w:rFonts w:asciiTheme="majorHAnsi" w:hAnsiTheme="majorHAnsi"/>
          <w:sz w:val="22"/>
          <w:szCs w:val="22"/>
        </w:rPr>
        <w:t>El</w:t>
      </w:r>
      <w:r w:rsidR="005940D1" w:rsidRPr="009A51B5">
        <w:rPr>
          <w:rFonts w:asciiTheme="majorHAnsi" w:hAnsiTheme="majorHAnsi"/>
          <w:sz w:val="22"/>
          <w:szCs w:val="22"/>
        </w:rPr>
        <w:t xml:space="preserve"> proyecto </w:t>
      </w:r>
      <w:r>
        <w:rPr>
          <w:rFonts w:asciiTheme="majorHAnsi" w:hAnsiTheme="majorHAnsi"/>
          <w:sz w:val="22"/>
          <w:szCs w:val="22"/>
        </w:rPr>
        <w:t xml:space="preserve">establece </w:t>
      </w:r>
      <w:r w:rsidR="00FA2864">
        <w:rPr>
          <w:rFonts w:asciiTheme="majorHAnsi" w:hAnsiTheme="majorHAnsi"/>
          <w:sz w:val="22"/>
          <w:szCs w:val="22"/>
        </w:rPr>
        <w:t>además como</w:t>
      </w:r>
      <w:r>
        <w:rPr>
          <w:rFonts w:asciiTheme="majorHAnsi" w:hAnsiTheme="majorHAnsi"/>
          <w:sz w:val="22"/>
          <w:szCs w:val="22"/>
        </w:rPr>
        <w:t xml:space="preserve"> pena </w:t>
      </w:r>
      <w:r w:rsidR="00FA2864">
        <w:rPr>
          <w:rFonts w:asciiTheme="majorHAnsi" w:hAnsiTheme="majorHAnsi"/>
          <w:sz w:val="22"/>
          <w:szCs w:val="22"/>
        </w:rPr>
        <w:t xml:space="preserve">accesoria para las personas jurídicas: (1) </w:t>
      </w:r>
      <w:r>
        <w:rPr>
          <w:rFonts w:asciiTheme="majorHAnsi" w:hAnsiTheme="majorHAnsi"/>
          <w:sz w:val="22"/>
          <w:szCs w:val="22"/>
        </w:rPr>
        <w:t>e</w:t>
      </w:r>
      <w:r w:rsidR="00FA2864">
        <w:rPr>
          <w:rFonts w:asciiTheme="majorHAnsi" w:hAnsiTheme="majorHAnsi"/>
          <w:sz w:val="22"/>
          <w:szCs w:val="22"/>
        </w:rPr>
        <w:t>l</w:t>
      </w:r>
      <w:r>
        <w:rPr>
          <w:rFonts w:asciiTheme="majorHAnsi" w:hAnsiTheme="majorHAnsi"/>
          <w:sz w:val="22"/>
          <w:szCs w:val="22"/>
        </w:rPr>
        <w:t xml:space="preserve"> comiso de las ganancias derivadas del ilícito</w:t>
      </w:r>
      <w:r w:rsidR="00FA2864">
        <w:rPr>
          <w:rFonts w:asciiTheme="majorHAnsi" w:hAnsiTheme="majorHAnsi"/>
          <w:sz w:val="22"/>
          <w:szCs w:val="22"/>
        </w:rPr>
        <w:t>, que incluye los activos patrimoniales que correspondieren a las ganancias obtenidas; (2) el comiso de un suma equivalente cuando no se puede decomisar el producto del delito.</w:t>
      </w:r>
      <w:r w:rsidR="005940D1" w:rsidRPr="009A51B5">
        <w:rPr>
          <w:rFonts w:asciiTheme="majorHAnsi" w:hAnsiTheme="majorHAnsi"/>
          <w:sz w:val="22"/>
          <w:szCs w:val="22"/>
        </w:rPr>
        <w:t xml:space="preserve"> </w:t>
      </w:r>
    </w:p>
    <w:p w:rsidR="00612662" w:rsidRDefault="00612662" w:rsidP="00FA2864">
      <w:pPr>
        <w:pStyle w:val="Header"/>
        <w:tabs>
          <w:tab w:val="center" w:pos="1134"/>
        </w:tabs>
        <w:jc w:val="both"/>
        <w:rPr>
          <w:rFonts w:asciiTheme="majorHAnsi" w:hAnsiTheme="majorHAnsi"/>
          <w:sz w:val="22"/>
          <w:szCs w:val="22"/>
        </w:rPr>
      </w:pPr>
    </w:p>
    <w:p w:rsidR="00FA2864" w:rsidRPr="00D63B30" w:rsidRDefault="00FA2864" w:rsidP="00FA2864">
      <w:pPr>
        <w:widowControl w:val="0"/>
        <w:suppressAutoHyphens/>
        <w:autoSpaceDE w:val="0"/>
        <w:autoSpaceDN w:val="0"/>
        <w:adjustRightInd w:val="0"/>
        <w:jc w:val="both"/>
        <w:rPr>
          <w:rFonts w:asciiTheme="majorHAnsi" w:eastAsia="Times New Roman" w:hAnsiTheme="majorHAnsi" w:cs="Arial"/>
          <w:color w:val="943634" w:themeColor="accent2" w:themeShade="BF"/>
          <w:sz w:val="22"/>
          <w:szCs w:val="22"/>
        </w:rPr>
      </w:pPr>
      <w:r w:rsidRPr="00BD087C">
        <w:rPr>
          <w:rFonts w:asciiTheme="majorHAnsi" w:eastAsia="Times New Roman" w:hAnsiTheme="majorHAnsi" w:cs="Arial"/>
          <w:color w:val="943634" w:themeColor="accent2" w:themeShade="BF"/>
          <w:sz w:val="22"/>
          <w:szCs w:val="22"/>
        </w:rPr>
        <w:t>Sugerencia: Ap</w:t>
      </w:r>
      <w:r>
        <w:rPr>
          <w:rFonts w:asciiTheme="majorHAnsi" w:eastAsia="Times New Roman" w:hAnsiTheme="majorHAnsi" w:cs="Arial"/>
          <w:color w:val="943634" w:themeColor="accent2" w:themeShade="BF"/>
          <w:sz w:val="22"/>
          <w:szCs w:val="22"/>
        </w:rPr>
        <w:t>robar (Aprobado con unanimidad 7</w:t>
      </w:r>
      <w:r w:rsidRPr="00BD087C">
        <w:rPr>
          <w:rFonts w:asciiTheme="majorHAnsi" w:eastAsia="Times New Roman" w:hAnsiTheme="majorHAnsi" w:cs="Arial"/>
          <w:color w:val="943634" w:themeColor="accent2" w:themeShade="BF"/>
          <w:sz w:val="22"/>
          <w:szCs w:val="22"/>
        </w:rPr>
        <w:t>x0 en Comisión Mixta)</w:t>
      </w:r>
    </w:p>
    <w:p w:rsidR="00D63B30" w:rsidRPr="009A51B5" w:rsidRDefault="00D63B30" w:rsidP="00D63B30">
      <w:pPr>
        <w:pStyle w:val="Header"/>
        <w:tabs>
          <w:tab w:val="clear" w:pos="4153"/>
          <w:tab w:val="clear" w:pos="8306"/>
          <w:tab w:val="center" w:pos="1134"/>
          <w:tab w:val="right" w:pos="8838"/>
        </w:tabs>
        <w:autoSpaceDN w:val="0"/>
        <w:ind w:left="1068"/>
        <w:jc w:val="both"/>
        <w:rPr>
          <w:rFonts w:asciiTheme="majorHAnsi" w:hAnsiTheme="majorHAnsi"/>
          <w:sz w:val="22"/>
          <w:szCs w:val="22"/>
        </w:rPr>
      </w:pPr>
    </w:p>
    <w:p w:rsidR="005940D1" w:rsidRPr="00D63B30" w:rsidRDefault="005940D1" w:rsidP="005940D1">
      <w:pPr>
        <w:pStyle w:val="ListParagraph"/>
        <w:spacing w:after="0" w:line="240" w:lineRule="auto"/>
        <w:ind w:left="0"/>
        <w:jc w:val="both"/>
        <w:rPr>
          <w:rFonts w:asciiTheme="majorHAnsi" w:hAnsiTheme="majorHAnsi"/>
        </w:rPr>
      </w:pPr>
      <w:r w:rsidRPr="00D63B30">
        <w:rPr>
          <w:rFonts w:asciiTheme="majorHAnsi" w:hAnsiTheme="majorHAnsi"/>
        </w:rPr>
        <w:t xml:space="preserve">Todas modificaciones dan cumplimiento, a las recomendaciones del Grupo de Trabajo sobre Cohecho de la OCDE y, además, permiten </w:t>
      </w:r>
      <w:r w:rsidR="00D63B30">
        <w:rPr>
          <w:rFonts w:asciiTheme="majorHAnsi" w:hAnsiTheme="majorHAnsi"/>
        </w:rPr>
        <w:t>dar una respuesta a l</w:t>
      </w:r>
      <w:r w:rsidRPr="00D63B30">
        <w:rPr>
          <w:rFonts w:asciiTheme="majorHAnsi" w:hAnsiTheme="majorHAnsi"/>
        </w:rPr>
        <w:t xml:space="preserve">a los ilícitos de las personas jurídicas. </w:t>
      </w:r>
    </w:p>
    <w:p w:rsidR="005940D1" w:rsidRPr="009A51B5" w:rsidRDefault="005940D1" w:rsidP="005940D1">
      <w:pPr>
        <w:pStyle w:val="ListParagraph"/>
        <w:spacing w:after="0" w:line="240" w:lineRule="auto"/>
        <w:ind w:left="0"/>
        <w:jc w:val="both"/>
        <w:rPr>
          <w:rFonts w:asciiTheme="majorHAnsi" w:hAnsiTheme="majorHAnsi"/>
          <w:u w:val="single"/>
        </w:rPr>
      </w:pPr>
    </w:p>
    <w:p w:rsidR="005940D1" w:rsidRPr="009A51B5" w:rsidRDefault="005940D1" w:rsidP="00730211">
      <w:pPr>
        <w:pStyle w:val="ListParagraph"/>
        <w:numPr>
          <w:ilvl w:val="0"/>
          <w:numId w:val="9"/>
        </w:numPr>
        <w:spacing w:after="0" w:line="240" w:lineRule="auto"/>
        <w:ind w:left="567"/>
        <w:jc w:val="both"/>
        <w:rPr>
          <w:rFonts w:asciiTheme="majorHAnsi" w:hAnsiTheme="majorHAnsi"/>
          <w:b/>
        </w:rPr>
      </w:pPr>
      <w:r w:rsidRPr="009A51B5">
        <w:rPr>
          <w:rFonts w:asciiTheme="majorHAnsi" w:hAnsiTheme="majorHAnsi"/>
          <w:b/>
        </w:rPr>
        <w:t>Regulación de conflictos de intereses entre la persona jurídica y su representante legal</w:t>
      </w:r>
      <w:r w:rsidR="00FA2864">
        <w:rPr>
          <w:rFonts w:asciiTheme="majorHAnsi" w:hAnsiTheme="majorHAnsi"/>
          <w:b/>
        </w:rPr>
        <w:t xml:space="preserve"> (nuevo iniciso final art. 23)</w:t>
      </w:r>
    </w:p>
    <w:p w:rsidR="005940D1" w:rsidRPr="009A51B5" w:rsidRDefault="005940D1" w:rsidP="005940D1">
      <w:pPr>
        <w:pStyle w:val="ListParagraph"/>
        <w:spacing w:after="0" w:line="240" w:lineRule="auto"/>
        <w:jc w:val="both"/>
        <w:rPr>
          <w:rFonts w:asciiTheme="majorHAnsi" w:hAnsiTheme="majorHAnsi"/>
          <w:b/>
        </w:rPr>
      </w:pPr>
    </w:p>
    <w:p w:rsidR="009B0D7E" w:rsidRDefault="00FA2864" w:rsidP="005940D1">
      <w:pPr>
        <w:jc w:val="both"/>
        <w:rPr>
          <w:rFonts w:asciiTheme="majorHAnsi" w:hAnsiTheme="majorHAnsi" w:cs="Times New Roman"/>
          <w:sz w:val="22"/>
          <w:szCs w:val="22"/>
        </w:rPr>
      </w:pPr>
      <w:r>
        <w:rPr>
          <w:rFonts w:asciiTheme="majorHAnsi" w:hAnsiTheme="majorHAnsi" w:cs="Times New Roman"/>
          <w:sz w:val="22"/>
          <w:szCs w:val="22"/>
        </w:rPr>
        <w:t xml:space="preserve">Se agrego además un inciso final al art. 23 </w:t>
      </w:r>
      <w:r w:rsidR="009B0D7E">
        <w:rPr>
          <w:rFonts w:asciiTheme="majorHAnsi" w:hAnsiTheme="majorHAnsi" w:cs="Times New Roman"/>
          <w:sz w:val="22"/>
          <w:szCs w:val="22"/>
        </w:rPr>
        <w:t xml:space="preserve"> que señala que</w:t>
      </w:r>
    </w:p>
    <w:p w:rsidR="009B0D7E" w:rsidRDefault="009B0D7E" w:rsidP="005940D1">
      <w:pPr>
        <w:jc w:val="both"/>
        <w:rPr>
          <w:rFonts w:asciiTheme="majorHAnsi" w:hAnsiTheme="majorHAnsi" w:cs="Times New Roman"/>
          <w:sz w:val="22"/>
          <w:szCs w:val="22"/>
        </w:rPr>
      </w:pPr>
    </w:p>
    <w:p w:rsidR="005940D1" w:rsidRPr="009A51B5" w:rsidRDefault="005940D1" w:rsidP="005940D1">
      <w:pPr>
        <w:jc w:val="both"/>
        <w:rPr>
          <w:rFonts w:asciiTheme="majorHAnsi" w:hAnsiTheme="majorHAnsi"/>
          <w:sz w:val="22"/>
          <w:szCs w:val="22"/>
        </w:rPr>
      </w:pPr>
      <w:r w:rsidRPr="009A51B5">
        <w:rPr>
          <w:rFonts w:asciiTheme="majorHAnsi" w:hAnsiTheme="majorHAnsi"/>
          <w:sz w:val="22"/>
          <w:szCs w:val="22"/>
        </w:rPr>
        <w:t>“</w:t>
      </w:r>
      <w:r w:rsidRPr="009A51B5">
        <w:rPr>
          <w:rFonts w:asciiTheme="majorHAnsi" w:hAnsiTheme="majorHAnsi"/>
          <w:i/>
          <w:sz w:val="22"/>
          <w:szCs w:val="22"/>
        </w:rPr>
        <w:t>Si contra la persona que representa legalmente a la persona jurídica en el procedimiento penal se inicia una investigación por el mismo hecho o por uno relacionado, la persona jurídica deberá designar otro representante. En caso que no se efectuare la designación en un plazo de 15 días se procederá de conformidad con el inciso segundo</w:t>
      </w:r>
      <w:r w:rsidRPr="009A51B5">
        <w:rPr>
          <w:rFonts w:asciiTheme="majorHAnsi" w:hAnsiTheme="majorHAnsi"/>
          <w:sz w:val="22"/>
          <w:szCs w:val="22"/>
        </w:rPr>
        <w:t>.”</w:t>
      </w:r>
    </w:p>
    <w:p w:rsidR="005940D1" w:rsidRPr="009A51B5" w:rsidRDefault="005940D1" w:rsidP="005940D1">
      <w:pPr>
        <w:jc w:val="both"/>
        <w:rPr>
          <w:rFonts w:asciiTheme="majorHAnsi" w:hAnsiTheme="majorHAnsi"/>
          <w:sz w:val="22"/>
          <w:szCs w:val="22"/>
        </w:rPr>
      </w:pPr>
    </w:p>
    <w:p w:rsidR="005940D1" w:rsidRDefault="009B0D7E" w:rsidP="005940D1">
      <w:pPr>
        <w:jc w:val="both"/>
        <w:rPr>
          <w:rFonts w:asciiTheme="majorHAnsi" w:hAnsiTheme="majorHAnsi"/>
          <w:sz w:val="22"/>
          <w:szCs w:val="22"/>
        </w:rPr>
      </w:pPr>
      <w:r>
        <w:rPr>
          <w:rFonts w:asciiTheme="majorHAnsi" w:hAnsiTheme="majorHAnsi"/>
          <w:sz w:val="22"/>
          <w:szCs w:val="22"/>
        </w:rPr>
        <w:t xml:space="preserve">Con esto se busca evitar </w:t>
      </w:r>
      <w:r w:rsidR="005940D1" w:rsidRPr="009B0D7E">
        <w:rPr>
          <w:rFonts w:asciiTheme="majorHAnsi" w:hAnsiTheme="majorHAnsi"/>
          <w:sz w:val="22"/>
          <w:szCs w:val="22"/>
        </w:rPr>
        <w:t>eventuales “conflictos de interés” que puedan existir entre el representante de la persona jurídica y la persona jurídica</w:t>
      </w:r>
      <w:r>
        <w:rPr>
          <w:rFonts w:asciiTheme="majorHAnsi" w:hAnsiTheme="majorHAnsi"/>
          <w:sz w:val="22"/>
          <w:szCs w:val="22"/>
        </w:rPr>
        <w:t xml:space="preserve"> que ella representa. Esto con el objetivo de proteger </w:t>
      </w:r>
      <w:r w:rsidR="005940D1" w:rsidRPr="009B0D7E">
        <w:rPr>
          <w:rFonts w:asciiTheme="majorHAnsi" w:hAnsiTheme="majorHAnsi"/>
          <w:sz w:val="22"/>
          <w:szCs w:val="22"/>
        </w:rPr>
        <w:t xml:space="preserve"> </w:t>
      </w:r>
      <w:r>
        <w:rPr>
          <w:rFonts w:asciiTheme="majorHAnsi" w:hAnsiTheme="majorHAnsi"/>
          <w:sz w:val="22"/>
          <w:szCs w:val="22"/>
        </w:rPr>
        <w:t xml:space="preserve">a la persona jurídica, detrás de la cual el representante puede querer esconder su responsabilidad confundiéndola con la de aquella. </w:t>
      </w:r>
      <w:r w:rsidR="005940D1" w:rsidRPr="009B0D7E">
        <w:rPr>
          <w:rFonts w:asciiTheme="majorHAnsi" w:hAnsiTheme="majorHAnsi"/>
          <w:sz w:val="22"/>
          <w:szCs w:val="22"/>
        </w:rPr>
        <w:t xml:space="preserve"> </w:t>
      </w:r>
    </w:p>
    <w:p w:rsidR="00612662" w:rsidRPr="009A51B5" w:rsidRDefault="00612662" w:rsidP="005940D1">
      <w:pPr>
        <w:jc w:val="both"/>
        <w:rPr>
          <w:rFonts w:asciiTheme="majorHAnsi" w:hAnsiTheme="majorHAnsi"/>
          <w:sz w:val="22"/>
          <w:szCs w:val="22"/>
        </w:rPr>
      </w:pPr>
    </w:p>
    <w:p w:rsidR="005940D1" w:rsidRPr="009B0D7E" w:rsidRDefault="009B0D7E" w:rsidP="009B0D7E">
      <w:pPr>
        <w:rPr>
          <w:rFonts w:asciiTheme="majorHAnsi" w:hAnsiTheme="majorHAnsi"/>
          <w:b/>
          <w:sz w:val="22"/>
          <w:szCs w:val="22"/>
          <w:u w:val="single"/>
        </w:rPr>
      </w:pPr>
      <w:r w:rsidRPr="009B0D7E">
        <w:rPr>
          <w:rFonts w:asciiTheme="majorHAnsi" w:eastAsia="Times New Roman" w:hAnsiTheme="majorHAnsi" w:cs="Arial"/>
          <w:color w:val="943634" w:themeColor="accent2" w:themeShade="BF"/>
          <w:sz w:val="22"/>
          <w:szCs w:val="22"/>
        </w:rPr>
        <w:t>Sugerencia: Aprobar (Aprobado con unanimidad 7x0 en Comisión Mixta)</w:t>
      </w:r>
    </w:p>
    <w:p w:rsidR="005940D1" w:rsidRPr="009B0D7E" w:rsidRDefault="005940D1" w:rsidP="005940D1">
      <w:pPr>
        <w:pStyle w:val="ListParagraph"/>
        <w:ind w:left="709"/>
        <w:rPr>
          <w:rFonts w:asciiTheme="majorHAnsi" w:hAnsiTheme="majorHAnsi"/>
        </w:rPr>
      </w:pPr>
    </w:p>
    <w:p w:rsidR="005940D1" w:rsidRDefault="009B0D7E" w:rsidP="005940D1">
      <w:pPr>
        <w:pStyle w:val="ListParagraph"/>
        <w:numPr>
          <w:ilvl w:val="0"/>
          <w:numId w:val="11"/>
        </w:numPr>
        <w:ind w:left="709"/>
        <w:jc w:val="center"/>
        <w:rPr>
          <w:rFonts w:asciiTheme="majorHAnsi" w:hAnsiTheme="majorHAnsi"/>
        </w:rPr>
      </w:pPr>
      <w:r>
        <w:rPr>
          <w:rFonts w:asciiTheme="majorHAnsi" w:hAnsiTheme="majorHAnsi"/>
          <w:b/>
          <w:u w:val="single"/>
        </w:rPr>
        <w:t>Modificaciones a la ley 19.913, que crea la Unidad de Análisis Financiero y modifica disposiciones en materia de lavado y blanqueo de activos.</w:t>
      </w:r>
    </w:p>
    <w:p w:rsidR="009822E3" w:rsidRPr="009A51B5" w:rsidRDefault="009822E3" w:rsidP="009822E3">
      <w:pPr>
        <w:pStyle w:val="ListParagraph"/>
        <w:widowControl w:val="0"/>
        <w:autoSpaceDE w:val="0"/>
        <w:autoSpaceDN w:val="0"/>
        <w:adjustRightInd w:val="0"/>
        <w:spacing w:after="0" w:line="240" w:lineRule="auto"/>
        <w:ind w:left="1440"/>
        <w:jc w:val="both"/>
        <w:rPr>
          <w:rFonts w:asciiTheme="majorHAnsi" w:hAnsiTheme="majorHAnsi"/>
          <w:b/>
        </w:rPr>
      </w:pPr>
    </w:p>
    <w:p w:rsidR="009822E3" w:rsidRDefault="009B0D7E" w:rsidP="009822E3">
      <w:pPr>
        <w:jc w:val="both"/>
        <w:rPr>
          <w:rFonts w:asciiTheme="majorHAnsi" w:hAnsiTheme="majorHAnsi"/>
          <w:sz w:val="22"/>
          <w:szCs w:val="22"/>
        </w:rPr>
      </w:pPr>
      <w:r>
        <w:rPr>
          <w:rFonts w:asciiTheme="majorHAnsi" w:hAnsiTheme="majorHAnsi"/>
          <w:sz w:val="22"/>
          <w:szCs w:val="22"/>
        </w:rPr>
        <w:t>S</w:t>
      </w:r>
      <w:r w:rsidR="009822E3" w:rsidRPr="009A51B5">
        <w:rPr>
          <w:rFonts w:asciiTheme="majorHAnsi" w:hAnsiTheme="majorHAnsi"/>
          <w:sz w:val="22"/>
          <w:szCs w:val="22"/>
        </w:rPr>
        <w:t>e incorporara la apropiación indebida y la administración desleal dentro del catálogo de delitos precedentes del lavado de activos.</w:t>
      </w:r>
    </w:p>
    <w:p w:rsidR="00612662" w:rsidRPr="009A51B5" w:rsidRDefault="00612662" w:rsidP="009822E3">
      <w:pPr>
        <w:jc w:val="both"/>
        <w:rPr>
          <w:rFonts w:asciiTheme="majorHAnsi" w:hAnsiTheme="majorHAnsi"/>
          <w:sz w:val="22"/>
          <w:szCs w:val="22"/>
        </w:rPr>
      </w:pPr>
      <w:bookmarkStart w:id="0" w:name="_GoBack"/>
      <w:bookmarkEnd w:id="0"/>
    </w:p>
    <w:p w:rsidR="009822E3" w:rsidRPr="009A51B5" w:rsidRDefault="009B0D7E" w:rsidP="009822E3">
      <w:pPr>
        <w:pStyle w:val="Header"/>
        <w:jc w:val="both"/>
        <w:rPr>
          <w:rFonts w:asciiTheme="majorHAnsi" w:hAnsiTheme="majorHAnsi"/>
          <w:sz w:val="22"/>
          <w:szCs w:val="22"/>
        </w:rPr>
      </w:pPr>
      <w:r w:rsidRPr="00BD087C">
        <w:rPr>
          <w:rFonts w:asciiTheme="majorHAnsi" w:eastAsia="Times New Roman" w:hAnsiTheme="majorHAnsi" w:cs="Arial"/>
          <w:color w:val="943634" w:themeColor="accent2" w:themeShade="BF"/>
          <w:sz w:val="22"/>
          <w:szCs w:val="22"/>
        </w:rPr>
        <w:t>Sugerencia: Ap</w:t>
      </w:r>
      <w:r>
        <w:rPr>
          <w:rFonts w:asciiTheme="majorHAnsi" w:eastAsia="Times New Roman" w:hAnsiTheme="majorHAnsi" w:cs="Arial"/>
          <w:color w:val="943634" w:themeColor="accent2" w:themeShade="BF"/>
          <w:sz w:val="22"/>
          <w:szCs w:val="22"/>
        </w:rPr>
        <w:t>robar (Aprobado con unanimidad 7</w:t>
      </w:r>
      <w:r w:rsidRPr="00BD087C">
        <w:rPr>
          <w:rFonts w:asciiTheme="majorHAnsi" w:eastAsia="Times New Roman" w:hAnsiTheme="majorHAnsi" w:cs="Arial"/>
          <w:color w:val="943634" w:themeColor="accent2" w:themeShade="BF"/>
          <w:sz w:val="22"/>
          <w:szCs w:val="22"/>
        </w:rPr>
        <w:t>x0 en Comisión Mixta)</w:t>
      </w: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rsidP="009822E3">
      <w:pPr>
        <w:jc w:val="center"/>
        <w:rPr>
          <w:rFonts w:asciiTheme="majorHAnsi" w:hAnsiTheme="majorHAnsi"/>
          <w:b/>
          <w:sz w:val="22"/>
          <w:szCs w:val="22"/>
        </w:rPr>
      </w:pPr>
    </w:p>
    <w:p w:rsidR="009822E3" w:rsidRPr="009A51B5" w:rsidRDefault="009822E3">
      <w:pPr>
        <w:rPr>
          <w:rFonts w:asciiTheme="majorHAnsi" w:hAnsiTheme="majorHAnsi"/>
          <w:sz w:val="22"/>
          <w:szCs w:val="22"/>
        </w:rPr>
      </w:pPr>
    </w:p>
    <w:sectPr w:rsidR="009822E3" w:rsidRPr="009A51B5" w:rsidSect="009822E3">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E1" w:rsidRDefault="005C20E1" w:rsidP="009822E3">
      <w:r>
        <w:separator/>
      </w:r>
    </w:p>
  </w:endnote>
  <w:endnote w:type="continuationSeparator" w:id="0">
    <w:p w:rsidR="005C20E1" w:rsidRDefault="005C20E1" w:rsidP="0098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E1" w:rsidRDefault="005C20E1" w:rsidP="009822E3">
      <w:r>
        <w:separator/>
      </w:r>
    </w:p>
  </w:footnote>
  <w:footnote w:type="continuationSeparator" w:id="0">
    <w:p w:rsidR="005C20E1" w:rsidRDefault="005C20E1" w:rsidP="00982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5C20E1" w:rsidRPr="0088634D" w:rsidTr="009A51B5">
      <w:tc>
        <w:tcPr>
          <w:tcW w:w="1152" w:type="dxa"/>
        </w:tcPr>
        <w:p w:rsidR="005C20E1" w:rsidRPr="009A51B5" w:rsidRDefault="005C20E1" w:rsidP="009A51B5">
          <w:pPr>
            <w:pStyle w:val="Header"/>
            <w:jc w:val="right"/>
            <w:rPr>
              <w:rFonts w:asciiTheme="majorHAnsi" w:hAnsiTheme="majorHAnsi"/>
              <w:b/>
              <w:sz w:val="22"/>
              <w:szCs w:val="22"/>
            </w:rPr>
          </w:pPr>
          <w:r w:rsidRPr="009A51B5">
            <w:rPr>
              <w:rFonts w:asciiTheme="majorHAnsi" w:hAnsiTheme="majorHAnsi"/>
              <w:b/>
              <w:sz w:val="22"/>
              <w:szCs w:val="22"/>
            </w:rPr>
            <w:fldChar w:fldCharType="begin"/>
          </w:r>
          <w:r w:rsidRPr="009A51B5">
            <w:rPr>
              <w:rFonts w:asciiTheme="majorHAnsi" w:hAnsiTheme="majorHAnsi"/>
              <w:b/>
              <w:sz w:val="22"/>
              <w:szCs w:val="22"/>
            </w:rPr>
            <w:instrText xml:space="preserve"> PAGE   \* MERGEFORMAT </w:instrText>
          </w:r>
          <w:r w:rsidRPr="009A51B5">
            <w:rPr>
              <w:rFonts w:asciiTheme="majorHAnsi" w:hAnsiTheme="majorHAnsi"/>
              <w:b/>
              <w:sz w:val="22"/>
              <w:szCs w:val="22"/>
            </w:rPr>
            <w:fldChar w:fldCharType="separate"/>
          </w:r>
          <w:r w:rsidR="00612662">
            <w:rPr>
              <w:rFonts w:asciiTheme="majorHAnsi" w:hAnsiTheme="majorHAnsi"/>
              <w:b/>
              <w:noProof/>
              <w:sz w:val="22"/>
              <w:szCs w:val="22"/>
            </w:rPr>
            <w:t>6</w:t>
          </w:r>
          <w:r w:rsidRPr="009A51B5">
            <w:rPr>
              <w:rFonts w:asciiTheme="majorHAnsi" w:hAnsiTheme="majorHAnsi"/>
              <w:b/>
              <w:sz w:val="22"/>
              <w:szCs w:val="22"/>
            </w:rPr>
            <w:fldChar w:fldCharType="end"/>
          </w:r>
        </w:p>
      </w:tc>
      <w:tc>
        <w:tcPr>
          <w:tcW w:w="0" w:type="auto"/>
          <w:noWrap/>
        </w:tcPr>
        <w:p w:rsidR="005C20E1" w:rsidRPr="009A51B5" w:rsidRDefault="005C20E1" w:rsidP="009A51B5">
          <w:pPr>
            <w:pStyle w:val="Header"/>
            <w:rPr>
              <w:rFonts w:asciiTheme="majorHAnsi" w:hAnsiTheme="majorHAnsi"/>
              <w:b/>
              <w:sz w:val="22"/>
              <w:szCs w:val="22"/>
            </w:rPr>
          </w:pPr>
        </w:p>
      </w:tc>
    </w:tr>
  </w:tbl>
  <w:p w:rsidR="005C20E1" w:rsidRDefault="005C20E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E1" w:rsidRPr="009822E3" w:rsidRDefault="005C20E1" w:rsidP="009822E3">
    <w:pPr>
      <w:pStyle w:val="Header"/>
      <w:jc w:val="right"/>
      <w:rPr>
        <w:rFonts w:asciiTheme="majorHAnsi" w:hAnsiTheme="majorHAnsi"/>
        <w:sz w:val="20"/>
        <w:szCs w:val="20"/>
      </w:rPr>
    </w:pPr>
    <w:r w:rsidRPr="009822E3">
      <w:rPr>
        <w:rFonts w:asciiTheme="majorHAnsi" w:hAnsiTheme="majorHAnsi"/>
        <w:sz w:val="20"/>
        <w:szCs w:val="20"/>
      </w:rPr>
      <w:t>Juan Carlos Gazmuri</w:t>
    </w:r>
  </w:p>
  <w:p w:rsidR="005C20E1" w:rsidRPr="009822E3" w:rsidRDefault="005C20E1" w:rsidP="009822E3">
    <w:pPr>
      <w:pStyle w:val="Header"/>
      <w:jc w:val="right"/>
      <w:rPr>
        <w:rFonts w:asciiTheme="majorHAnsi" w:hAnsiTheme="majorHAnsi"/>
        <w:sz w:val="20"/>
        <w:szCs w:val="20"/>
      </w:rPr>
    </w:pPr>
    <w:r w:rsidRPr="009822E3">
      <w:rPr>
        <w:rFonts w:asciiTheme="majorHAnsi" w:hAnsiTheme="majorHAnsi"/>
        <w:sz w:val="20"/>
        <w:szCs w:val="20"/>
      </w:rPr>
      <w:t>Asesor Legislativo</w:t>
    </w:r>
  </w:p>
  <w:p w:rsidR="005C20E1" w:rsidRDefault="005C20E1" w:rsidP="009822E3">
    <w:pPr>
      <w:pStyle w:val="Header"/>
      <w:jc w:val="right"/>
      <w:rPr>
        <w:rFonts w:asciiTheme="majorHAnsi" w:hAnsiTheme="majorHAnsi"/>
        <w:sz w:val="20"/>
        <w:szCs w:val="20"/>
      </w:rPr>
    </w:pPr>
    <w:r w:rsidRPr="009822E3">
      <w:rPr>
        <w:rFonts w:asciiTheme="majorHAnsi" w:hAnsiTheme="majorHAnsi"/>
        <w:sz w:val="20"/>
        <w:szCs w:val="20"/>
      </w:rPr>
      <w:t xml:space="preserve">Senadora E. Von </w:t>
    </w:r>
    <w:proofErr w:type="spellStart"/>
    <w:r w:rsidRPr="009822E3">
      <w:rPr>
        <w:rFonts w:asciiTheme="majorHAnsi" w:hAnsiTheme="majorHAnsi"/>
        <w:sz w:val="20"/>
        <w:szCs w:val="20"/>
      </w:rPr>
      <w:t>Baer</w:t>
    </w:r>
    <w:proofErr w:type="spellEnd"/>
  </w:p>
  <w:p w:rsidR="005C20E1" w:rsidRPr="009822E3" w:rsidRDefault="005C20E1" w:rsidP="009822E3">
    <w:pPr>
      <w:pStyle w:val="Header"/>
      <w:jc w:val="right"/>
      <w:rPr>
        <w:rFonts w:asciiTheme="majorHAnsi" w:hAnsiTheme="majorHAns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2AF"/>
    <w:multiLevelType w:val="hybridMultilevel"/>
    <w:tmpl w:val="179AE0B4"/>
    <w:lvl w:ilvl="0" w:tplc="C34E1968">
      <w:start w:val="4"/>
      <w:numFmt w:val="bullet"/>
      <w:lvlText w:val="-"/>
      <w:lvlJc w:val="left"/>
      <w:pPr>
        <w:ind w:left="720" w:hanging="360"/>
      </w:pPr>
      <w:rPr>
        <w:rFonts w:ascii="Garamond" w:eastAsiaTheme="minorHAnsi"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DBD4275"/>
    <w:multiLevelType w:val="hybridMultilevel"/>
    <w:tmpl w:val="9DE0286A"/>
    <w:lvl w:ilvl="0" w:tplc="1C96F49E">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4262E0E"/>
    <w:multiLevelType w:val="hybridMultilevel"/>
    <w:tmpl w:val="A1D62A7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25E245C"/>
    <w:multiLevelType w:val="hybridMultilevel"/>
    <w:tmpl w:val="08E0E41C"/>
    <w:lvl w:ilvl="0" w:tplc="C4940C2E">
      <w:start w:val="1"/>
      <w:numFmt w:val="upperLetter"/>
      <w:lvlText w:val="%1."/>
      <w:lvlJc w:val="left"/>
      <w:pPr>
        <w:ind w:left="1080" w:hanging="72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346E3D"/>
    <w:multiLevelType w:val="hybridMultilevel"/>
    <w:tmpl w:val="9F587AE4"/>
    <w:lvl w:ilvl="0" w:tplc="F7202E4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547363"/>
    <w:multiLevelType w:val="hybridMultilevel"/>
    <w:tmpl w:val="EA6E09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28B4E33"/>
    <w:multiLevelType w:val="hybridMultilevel"/>
    <w:tmpl w:val="CF1CF8EC"/>
    <w:lvl w:ilvl="0" w:tplc="48A41310">
      <w:start w:val="1"/>
      <w:numFmt w:val="upperRoman"/>
      <w:lvlText w:val="%1."/>
      <w:lvlJc w:val="left"/>
      <w:pPr>
        <w:ind w:left="1440" w:hanging="720"/>
      </w:pPr>
      <w:rPr>
        <w:rFonts w:eastAsiaTheme="minorHAnsi" w:cstheme="minorBid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8B12C21"/>
    <w:multiLevelType w:val="hybridMultilevel"/>
    <w:tmpl w:val="DBD2B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CA0D87"/>
    <w:multiLevelType w:val="hybridMultilevel"/>
    <w:tmpl w:val="5C688CA4"/>
    <w:lvl w:ilvl="0" w:tplc="50BEF9D8">
      <w:start w:val="2"/>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ADC22B8"/>
    <w:multiLevelType w:val="hybridMultilevel"/>
    <w:tmpl w:val="074EB6E2"/>
    <w:lvl w:ilvl="0" w:tplc="F288F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E554C"/>
    <w:multiLevelType w:val="hybridMultilevel"/>
    <w:tmpl w:val="50E272BC"/>
    <w:lvl w:ilvl="0" w:tplc="76AAC63A">
      <w:start w:val="1"/>
      <w:numFmt w:val="bullet"/>
      <w:lvlText w:val="-"/>
      <w:lvlJc w:val="left"/>
      <w:pPr>
        <w:ind w:left="720" w:hanging="360"/>
      </w:pPr>
      <w:rPr>
        <w:rFonts w:ascii="Calibri" w:eastAsia="Cambria"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E118B8"/>
    <w:multiLevelType w:val="hybridMultilevel"/>
    <w:tmpl w:val="61FECCDA"/>
    <w:lvl w:ilvl="0" w:tplc="9AB0E980">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72131787"/>
    <w:multiLevelType w:val="hybridMultilevel"/>
    <w:tmpl w:val="1376F1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6863D2B"/>
    <w:multiLevelType w:val="hybridMultilevel"/>
    <w:tmpl w:val="5A04D612"/>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5"/>
  </w:num>
  <w:num w:numId="2">
    <w:abstractNumId w:val="4"/>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
  </w:num>
  <w:num w:numId="8">
    <w:abstractNumId w:val="0"/>
  </w:num>
  <w:num w:numId="9">
    <w:abstractNumId w:val="12"/>
  </w:num>
  <w:num w:numId="10">
    <w:abstractNumId w:val="11"/>
  </w:num>
  <w:num w:numId="11">
    <w:abstractNumId w:val="3"/>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E3"/>
    <w:rsid w:val="000C6C8C"/>
    <w:rsid w:val="000F2BD5"/>
    <w:rsid w:val="000F51AC"/>
    <w:rsid w:val="00184C2F"/>
    <w:rsid w:val="003663DF"/>
    <w:rsid w:val="00457C79"/>
    <w:rsid w:val="004D6C12"/>
    <w:rsid w:val="004F371F"/>
    <w:rsid w:val="005940D1"/>
    <w:rsid w:val="005C20E1"/>
    <w:rsid w:val="005F4B1E"/>
    <w:rsid w:val="00612662"/>
    <w:rsid w:val="007120F5"/>
    <w:rsid w:val="0072200D"/>
    <w:rsid w:val="00730211"/>
    <w:rsid w:val="0075794A"/>
    <w:rsid w:val="008F7101"/>
    <w:rsid w:val="00902D44"/>
    <w:rsid w:val="00921F02"/>
    <w:rsid w:val="009822E3"/>
    <w:rsid w:val="009A51B5"/>
    <w:rsid w:val="009B0D7E"/>
    <w:rsid w:val="00A368D3"/>
    <w:rsid w:val="00AE06FF"/>
    <w:rsid w:val="00B37968"/>
    <w:rsid w:val="00B611A5"/>
    <w:rsid w:val="00BD087C"/>
    <w:rsid w:val="00BD4CFD"/>
    <w:rsid w:val="00C16FDB"/>
    <w:rsid w:val="00C86E01"/>
    <w:rsid w:val="00CD6482"/>
    <w:rsid w:val="00D568D2"/>
    <w:rsid w:val="00D63B30"/>
    <w:rsid w:val="00DB162F"/>
    <w:rsid w:val="00E071AF"/>
    <w:rsid w:val="00EB783E"/>
    <w:rsid w:val="00F168E2"/>
    <w:rsid w:val="00F311A0"/>
    <w:rsid w:val="00FA2864"/>
    <w:rsid w:val="00FC428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BE58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2E3"/>
    <w:rPr>
      <w:rFonts w:ascii="Cambria" w:eastAsia="Cambria" w:hAnsi="Cambria" w:cs="Cambria"/>
      <w:lang w:val="es-ES"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E3"/>
    <w:pPr>
      <w:tabs>
        <w:tab w:val="center" w:pos="4153"/>
        <w:tab w:val="right" w:pos="8306"/>
      </w:tabs>
    </w:pPr>
  </w:style>
  <w:style w:type="character" w:customStyle="1" w:styleId="HeaderChar">
    <w:name w:val="Header Char"/>
    <w:basedOn w:val="DefaultParagraphFont"/>
    <w:link w:val="Header"/>
    <w:uiPriority w:val="99"/>
    <w:rsid w:val="009822E3"/>
    <w:rPr>
      <w:rFonts w:ascii="Cambria" w:eastAsia="Cambria" w:hAnsi="Cambria" w:cs="Cambria"/>
      <w:lang w:val="es-ES" w:eastAsia="es-CL"/>
    </w:rPr>
  </w:style>
  <w:style w:type="paragraph" w:styleId="Footer">
    <w:name w:val="footer"/>
    <w:basedOn w:val="Normal"/>
    <w:link w:val="FooterChar"/>
    <w:uiPriority w:val="99"/>
    <w:unhideWhenUsed/>
    <w:rsid w:val="009822E3"/>
    <w:pPr>
      <w:tabs>
        <w:tab w:val="center" w:pos="4153"/>
        <w:tab w:val="right" w:pos="8306"/>
      </w:tabs>
    </w:pPr>
  </w:style>
  <w:style w:type="character" w:customStyle="1" w:styleId="FooterChar">
    <w:name w:val="Footer Char"/>
    <w:basedOn w:val="DefaultParagraphFont"/>
    <w:link w:val="Footer"/>
    <w:uiPriority w:val="99"/>
    <w:rsid w:val="009822E3"/>
    <w:rPr>
      <w:rFonts w:ascii="Cambria" w:eastAsia="Cambria" w:hAnsi="Cambria" w:cs="Cambria"/>
      <w:lang w:val="es-ES" w:eastAsia="es-CL"/>
    </w:rPr>
  </w:style>
  <w:style w:type="table" w:styleId="TableGrid">
    <w:name w:val="Table Grid"/>
    <w:basedOn w:val="TableNormal"/>
    <w:uiPriority w:val="39"/>
    <w:rsid w:val="009822E3"/>
    <w:rPr>
      <w:rFonts w:eastAsiaTheme="minorHAnsi"/>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822E3"/>
    <w:pPr>
      <w:spacing w:after="200" w:line="276" w:lineRule="auto"/>
      <w:ind w:left="720"/>
      <w:contextualSpacing/>
    </w:pPr>
    <w:rPr>
      <w:rFonts w:asciiTheme="minorHAnsi" w:eastAsiaTheme="minorHAnsi" w:hAnsiTheme="minorHAnsi" w:cstheme="minorBidi"/>
      <w:sz w:val="22"/>
      <w:szCs w:val="22"/>
      <w:lang w:val="es-CL" w:eastAsia="en-US"/>
    </w:rPr>
  </w:style>
  <w:style w:type="paragraph" w:styleId="FootnoteText">
    <w:name w:val="footnote text"/>
    <w:basedOn w:val="Normal"/>
    <w:link w:val="FootnoteTextChar"/>
    <w:uiPriority w:val="99"/>
    <w:unhideWhenUsed/>
    <w:rsid w:val="009822E3"/>
    <w:rPr>
      <w:rFonts w:asciiTheme="minorHAnsi" w:eastAsiaTheme="minorHAnsi" w:hAnsiTheme="minorHAnsi" w:cstheme="minorBidi"/>
      <w:sz w:val="20"/>
      <w:szCs w:val="20"/>
      <w:lang w:val="es-CL" w:eastAsia="en-US"/>
    </w:rPr>
  </w:style>
  <w:style w:type="character" w:customStyle="1" w:styleId="FootnoteTextChar">
    <w:name w:val="Footnote Text Char"/>
    <w:basedOn w:val="DefaultParagraphFont"/>
    <w:link w:val="FootnoteText"/>
    <w:uiPriority w:val="99"/>
    <w:rsid w:val="009822E3"/>
    <w:rPr>
      <w:rFonts w:eastAsiaTheme="minorHAnsi"/>
      <w:sz w:val="20"/>
      <w:szCs w:val="20"/>
      <w:lang w:val="es-CL"/>
    </w:rPr>
  </w:style>
  <w:style w:type="character" w:styleId="FootnoteReference">
    <w:name w:val="footnote reference"/>
    <w:basedOn w:val="DefaultParagraphFont"/>
    <w:uiPriority w:val="99"/>
    <w:unhideWhenUsed/>
    <w:rsid w:val="009822E3"/>
    <w:rPr>
      <w:vertAlign w:val="superscript"/>
    </w:rPr>
  </w:style>
  <w:style w:type="character" w:customStyle="1" w:styleId="ListParagraphChar">
    <w:name w:val="List Paragraph Char"/>
    <w:basedOn w:val="DefaultParagraphFont"/>
    <w:link w:val="ListParagraph"/>
    <w:uiPriority w:val="34"/>
    <w:locked/>
    <w:rsid w:val="009822E3"/>
    <w:rPr>
      <w:rFonts w:eastAsiaTheme="minorHAnsi"/>
      <w:sz w:val="22"/>
      <w:szCs w:val="22"/>
      <w:lang w:val="es-C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22E3"/>
    <w:rPr>
      <w:rFonts w:ascii="Cambria" w:eastAsia="Cambria" w:hAnsi="Cambria" w:cs="Cambria"/>
      <w:lang w:val="es-ES" w:eastAsia="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2E3"/>
    <w:pPr>
      <w:tabs>
        <w:tab w:val="center" w:pos="4153"/>
        <w:tab w:val="right" w:pos="8306"/>
      </w:tabs>
    </w:pPr>
  </w:style>
  <w:style w:type="character" w:customStyle="1" w:styleId="HeaderChar">
    <w:name w:val="Header Char"/>
    <w:basedOn w:val="DefaultParagraphFont"/>
    <w:link w:val="Header"/>
    <w:uiPriority w:val="99"/>
    <w:rsid w:val="009822E3"/>
    <w:rPr>
      <w:rFonts w:ascii="Cambria" w:eastAsia="Cambria" w:hAnsi="Cambria" w:cs="Cambria"/>
      <w:lang w:val="es-ES" w:eastAsia="es-CL"/>
    </w:rPr>
  </w:style>
  <w:style w:type="paragraph" w:styleId="Footer">
    <w:name w:val="footer"/>
    <w:basedOn w:val="Normal"/>
    <w:link w:val="FooterChar"/>
    <w:uiPriority w:val="99"/>
    <w:unhideWhenUsed/>
    <w:rsid w:val="009822E3"/>
    <w:pPr>
      <w:tabs>
        <w:tab w:val="center" w:pos="4153"/>
        <w:tab w:val="right" w:pos="8306"/>
      </w:tabs>
    </w:pPr>
  </w:style>
  <w:style w:type="character" w:customStyle="1" w:styleId="FooterChar">
    <w:name w:val="Footer Char"/>
    <w:basedOn w:val="DefaultParagraphFont"/>
    <w:link w:val="Footer"/>
    <w:uiPriority w:val="99"/>
    <w:rsid w:val="009822E3"/>
    <w:rPr>
      <w:rFonts w:ascii="Cambria" w:eastAsia="Cambria" w:hAnsi="Cambria" w:cs="Cambria"/>
      <w:lang w:val="es-ES" w:eastAsia="es-CL"/>
    </w:rPr>
  </w:style>
  <w:style w:type="table" w:styleId="TableGrid">
    <w:name w:val="Table Grid"/>
    <w:basedOn w:val="TableNormal"/>
    <w:uiPriority w:val="39"/>
    <w:rsid w:val="009822E3"/>
    <w:rPr>
      <w:rFonts w:eastAsiaTheme="minorHAnsi"/>
      <w:sz w:val="22"/>
      <w:szCs w:val="22"/>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822E3"/>
    <w:pPr>
      <w:spacing w:after="200" w:line="276" w:lineRule="auto"/>
      <w:ind w:left="720"/>
      <w:contextualSpacing/>
    </w:pPr>
    <w:rPr>
      <w:rFonts w:asciiTheme="minorHAnsi" w:eastAsiaTheme="minorHAnsi" w:hAnsiTheme="minorHAnsi" w:cstheme="minorBidi"/>
      <w:sz w:val="22"/>
      <w:szCs w:val="22"/>
      <w:lang w:val="es-CL" w:eastAsia="en-US"/>
    </w:rPr>
  </w:style>
  <w:style w:type="paragraph" w:styleId="FootnoteText">
    <w:name w:val="footnote text"/>
    <w:basedOn w:val="Normal"/>
    <w:link w:val="FootnoteTextChar"/>
    <w:uiPriority w:val="99"/>
    <w:unhideWhenUsed/>
    <w:rsid w:val="009822E3"/>
    <w:rPr>
      <w:rFonts w:asciiTheme="minorHAnsi" w:eastAsiaTheme="minorHAnsi" w:hAnsiTheme="minorHAnsi" w:cstheme="minorBidi"/>
      <w:sz w:val="20"/>
      <w:szCs w:val="20"/>
      <w:lang w:val="es-CL" w:eastAsia="en-US"/>
    </w:rPr>
  </w:style>
  <w:style w:type="character" w:customStyle="1" w:styleId="FootnoteTextChar">
    <w:name w:val="Footnote Text Char"/>
    <w:basedOn w:val="DefaultParagraphFont"/>
    <w:link w:val="FootnoteText"/>
    <w:uiPriority w:val="99"/>
    <w:rsid w:val="009822E3"/>
    <w:rPr>
      <w:rFonts w:eastAsiaTheme="minorHAnsi"/>
      <w:sz w:val="20"/>
      <w:szCs w:val="20"/>
      <w:lang w:val="es-CL"/>
    </w:rPr>
  </w:style>
  <w:style w:type="character" w:styleId="FootnoteReference">
    <w:name w:val="footnote reference"/>
    <w:basedOn w:val="DefaultParagraphFont"/>
    <w:uiPriority w:val="99"/>
    <w:unhideWhenUsed/>
    <w:rsid w:val="009822E3"/>
    <w:rPr>
      <w:vertAlign w:val="superscript"/>
    </w:rPr>
  </w:style>
  <w:style w:type="character" w:customStyle="1" w:styleId="ListParagraphChar">
    <w:name w:val="List Paragraph Char"/>
    <w:basedOn w:val="DefaultParagraphFont"/>
    <w:link w:val="ListParagraph"/>
    <w:uiPriority w:val="34"/>
    <w:locked/>
    <w:rsid w:val="009822E3"/>
    <w:rPr>
      <w:rFonts w:eastAsiaTheme="minorHAnsi"/>
      <w:sz w:val="22"/>
      <w:szCs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9AA6C-7740-8948-8A06-7AEB871E3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2470</Words>
  <Characters>14079</Characters>
  <Application>Microsoft Macintosh Word</Application>
  <DocSecurity>0</DocSecurity>
  <Lines>117</Lines>
  <Paragraphs>33</Paragraphs>
  <ScaleCrop>false</ScaleCrop>
  <Company/>
  <LinksUpToDate>false</LinksUpToDate>
  <CharactersWithSpaces>16516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Gazmuri</dc:creator>
  <cp:keywords/>
  <dc:description/>
  <cp:lastModifiedBy>Juan Carlos Gazmuri</cp:lastModifiedBy>
  <cp:revision>1</cp:revision>
  <dcterms:created xsi:type="dcterms:W3CDTF">2018-10-23T16:14:00Z</dcterms:created>
  <dcterms:modified xsi:type="dcterms:W3CDTF">2018-10-24T04:20:00Z</dcterms:modified>
</cp:coreProperties>
</file>