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90" w:rsidRPr="00597E2F" w:rsidRDefault="00BD3790" w:rsidP="00A42BC3">
      <w:pPr>
        <w:jc w:val="center"/>
        <w:rPr>
          <w:rFonts w:asciiTheme="majorHAnsi" w:hAnsiTheme="majorHAnsi"/>
        </w:rPr>
      </w:pPr>
      <w:r w:rsidRPr="00597E2F">
        <w:rPr>
          <w:rFonts w:asciiTheme="majorHAnsi" w:hAnsiTheme="majorHAnsi"/>
          <w:b/>
          <w:u w:val="single"/>
        </w:rPr>
        <w:t xml:space="preserve">Proyecto </w:t>
      </w:r>
      <w:r>
        <w:rPr>
          <w:rFonts w:asciiTheme="majorHAnsi" w:hAnsiTheme="majorHAnsi"/>
          <w:b/>
          <w:u w:val="single"/>
        </w:rPr>
        <w:t>que otorga reconocimiento legal al pueblo tribal afrodescendiente</w:t>
      </w:r>
      <w:r w:rsidRPr="00597E2F">
        <w:rPr>
          <w:rFonts w:asciiTheme="majorHAnsi" w:hAnsiTheme="majorHAnsi"/>
        </w:rPr>
        <w:t>.</w:t>
      </w:r>
    </w:p>
    <w:p w:rsidR="00BD3790" w:rsidRPr="00597E2F" w:rsidRDefault="00BD3790" w:rsidP="00A42BC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Boletín 10.625 – 17</w:t>
      </w:r>
    </w:p>
    <w:p w:rsidR="00BD3790" w:rsidRPr="00597E2F" w:rsidRDefault="00BD3790" w:rsidP="00A42BC3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D3790" w:rsidRPr="00597E2F" w:rsidTr="00BD3790">
        <w:tc>
          <w:tcPr>
            <w:tcW w:w="4414" w:type="dxa"/>
          </w:tcPr>
          <w:p w:rsidR="00BD3790" w:rsidRPr="00597E2F" w:rsidRDefault="00BD3790" w:rsidP="00A42BC3">
            <w:pPr>
              <w:tabs>
                <w:tab w:val="left" w:pos="7453"/>
              </w:tabs>
              <w:jc w:val="both"/>
              <w:rPr>
                <w:rFonts w:asciiTheme="majorHAnsi" w:hAnsiTheme="majorHAnsi"/>
                <w:szCs w:val="22"/>
              </w:rPr>
            </w:pPr>
            <w:r w:rsidRPr="00597E2F">
              <w:rPr>
                <w:rFonts w:asciiTheme="majorHAnsi" w:hAnsiTheme="majorHAnsi"/>
                <w:szCs w:val="22"/>
              </w:rPr>
              <w:t xml:space="preserve">Origen del proyecto </w:t>
            </w:r>
          </w:p>
          <w:p w:rsidR="00BD3790" w:rsidRPr="00597E2F" w:rsidRDefault="00BD3790" w:rsidP="00A42BC3">
            <w:pPr>
              <w:tabs>
                <w:tab w:val="left" w:pos="7453"/>
              </w:tabs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4414" w:type="dxa"/>
          </w:tcPr>
          <w:p w:rsidR="00BD3790" w:rsidRPr="00597E2F" w:rsidRDefault="00BD3790" w:rsidP="00A42BC3">
            <w:pPr>
              <w:tabs>
                <w:tab w:val="left" w:pos="1507"/>
              </w:tabs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Moción diputados </w:t>
            </w:r>
            <w:proofErr w:type="spellStart"/>
            <w:r>
              <w:rPr>
                <w:rFonts w:asciiTheme="majorHAnsi" w:hAnsiTheme="majorHAnsi"/>
                <w:szCs w:val="22"/>
              </w:rPr>
              <w:t>Cariola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Cs w:val="22"/>
              </w:rPr>
              <w:t>Kort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Cs w:val="22"/>
              </w:rPr>
              <w:t>Mirosevic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Cs w:val="22"/>
              </w:rPr>
              <w:t>Rocafull</w:t>
            </w:r>
            <w:proofErr w:type="spellEnd"/>
            <w:r>
              <w:rPr>
                <w:rFonts w:asciiTheme="majorHAnsi" w:hAnsiTheme="majorHAnsi"/>
                <w:szCs w:val="22"/>
              </w:rPr>
              <w:t>, Soto</w:t>
            </w:r>
            <w:r w:rsidRPr="00597E2F">
              <w:rPr>
                <w:rFonts w:asciiTheme="majorHAnsi" w:hAnsiTheme="majorHAnsi"/>
                <w:szCs w:val="22"/>
              </w:rPr>
              <w:t xml:space="preserve">, </w:t>
            </w:r>
            <w:r>
              <w:rPr>
                <w:rFonts w:asciiTheme="majorHAnsi" w:hAnsiTheme="majorHAnsi"/>
                <w:szCs w:val="22"/>
              </w:rPr>
              <w:t>Farías, Melo</w:t>
            </w:r>
            <w:r w:rsidRPr="00597E2F">
              <w:rPr>
                <w:rFonts w:asciiTheme="majorHAnsi" w:hAnsiTheme="majorHAnsi"/>
                <w:szCs w:val="22"/>
              </w:rPr>
              <w:t>,</w:t>
            </w:r>
            <w:r>
              <w:rPr>
                <w:rFonts w:asciiTheme="majorHAnsi" w:hAnsiTheme="majorHAnsi"/>
                <w:szCs w:val="22"/>
              </w:rPr>
              <w:t xml:space="preserve"> y senadora </w:t>
            </w:r>
            <w:proofErr w:type="spellStart"/>
            <w:r>
              <w:rPr>
                <w:rFonts w:asciiTheme="majorHAnsi" w:hAnsiTheme="majorHAnsi"/>
                <w:szCs w:val="22"/>
              </w:rPr>
              <w:t>Provoste</w:t>
            </w:r>
            <w:proofErr w:type="spellEnd"/>
            <w:r w:rsidRPr="00597E2F">
              <w:rPr>
                <w:rFonts w:asciiTheme="majorHAnsi" w:hAnsiTheme="majorHAnsi"/>
                <w:szCs w:val="22"/>
              </w:rPr>
              <w:t xml:space="preserve"> </w:t>
            </w:r>
            <w:r>
              <w:rPr>
                <w:rFonts w:asciiTheme="majorHAnsi" w:hAnsiTheme="majorHAnsi"/>
                <w:szCs w:val="22"/>
              </w:rPr>
              <w:t>(2017</w:t>
            </w:r>
            <w:r w:rsidRPr="00597E2F">
              <w:rPr>
                <w:rFonts w:asciiTheme="majorHAnsi" w:hAnsiTheme="majorHAnsi"/>
                <w:szCs w:val="22"/>
              </w:rPr>
              <w:t>)</w:t>
            </w:r>
          </w:p>
        </w:tc>
      </w:tr>
      <w:tr w:rsidR="00BD3790" w:rsidRPr="00597E2F" w:rsidTr="00BD3790">
        <w:tc>
          <w:tcPr>
            <w:tcW w:w="4414" w:type="dxa"/>
          </w:tcPr>
          <w:p w:rsidR="00BD3790" w:rsidRPr="00597E2F" w:rsidRDefault="00BD3790" w:rsidP="00A42BC3">
            <w:pPr>
              <w:tabs>
                <w:tab w:val="left" w:pos="7453"/>
              </w:tabs>
              <w:jc w:val="both"/>
              <w:rPr>
                <w:rFonts w:asciiTheme="majorHAnsi" w:hAnsiTheme="majorHAnsi"/>
                <w:szCs w:val="22"/>
              </w:rPr>
            </w:pPr>
            <w:r w:rsidRPr="00597E2F">
              <w:rPr>
                <w:rFonts w:asciiTheme="majorHAnsi" w:hAnsiTheme="majorHAnsi"/>
                <w:szCs w:val="22"/>
              </w:rPr>
              <w:t xml:space="preserve">Trámite legislativo </w:t>
            </w:r>
          </w:p>
        </w:tc>
        <w:tc>
          <w:tcPr>
            <w:tcW w:w="4414" w:type="dxa"/>
          </w:tcPr>
          <w:p w:rsidR="00BD3790" w:rsidRPr="00597E2F" w:rsidRDefault="00BD3790" w:rsidP="00A42BC3">
            <w:pPr>
              <w:tabs>
                <w:tab w:val="left" w:pos="7453"/>
              </w:tabs>
              <w:jc w:val="both"/>
              <w:rPr>
                <w:rFonts w:asciiTheme="majorHAnsi" w:hAnsiTheme="majorHAnsi"/>
                <w:szCs w:val="22"/>
              </w:rPr>
            </w:pPr>
            <w:r w:rsidRPr="00597E2F">
              <w:rPr>
                <w:rFonts w:asciiTheme="majorHAnsi" w:hAnsiTheme="majorHAnsi"/>
                <w:szCs w:val="22"/>
              </w:rPr>
              <w:t>Senado, Segundo Tramite Constitucional</w:t>
            </w:r>
            <w:r>
              <w:rPr>
                <w:rFonts w:asciiTheme="majorHAnsi" w:hAnsiTheme="majorHAnsi"/>
                <w:szCs w:val="22"/>
              </w:rPr>
              <w:t xml:space="preserve"> (Aprobado con 91 votos a favor y una abstención en la Cámara)</w:t>
            </w:r>
            <w:r w:rsidRPr="00597E2F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  <w:tr w:rsidR="00BD3790" w:rsidRPr="00597E2F" w:rsidTr="00BD3790">
        <w:tc>
          <w:tcPr>
            <w:tcW w:w="4414" w:type="dxa"/>
          </w:tcPr>
          <w:p w:rsidR="00BD3790" w:rsidRPr="00597E2F" w:rsidRDefault="00BD3790" w:rsidP="00A42BC3">
            <w:pPr>
              <w:tabs>
                <w:tab w:val="left" w:pos="7453"/>
              </w:tabs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Informe</w:t>
            </w:r>
          </w:p>
        </w:tc>
        <w:tc>
          <w:tcPr>
            <w:tcW w:w="4414" w:type="dxa"/>
          </w:tcPr>
          <w:p w:rsidR="00BD3790" w:rsidRDefault="00BD3790" w:rsidP="00A42BC3">
            <w:pPr>
              <w:tabs>
                <w:tab w:val="left" w:pos="7453"/>
              </w:tabs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Comisión de DDHH, Nacionalidad y Ciudadanía </w:t>
            </w:r>
          </w:p>
          <w:p w:rsidR="00BD3790" w:rsidRPr="00597E2F" w:rsidRDefault="00BD3790" w:rsidP="00A42BC3">
            <w:pPr>
              <w:tabs>
                <w:tab w:val="left" w:pos="7453"/>
              </w:tabs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BD3790" w:rsidRPr="00597E2F" w:rsidTr="00BD3790">
        <w:trPr>
          <w:trHeight w:val="357"/>
        </w:trPr>
        <w:tc>
          <w:tcPr>
            <w:tcW w:w="4414" w:type="dxa"/>
          </w:tcPr>
          <w:p w:rsidR="00BD3790" w:rsidRPr="00597E2F" w:rsidRDefault="00BD3790" w:rsidP="00A42BC3">
            <w:pPr>
              <w:tabs>
                <w:tab w:val="left" w:pos="7453"/>
              </w:tabs>
              <w:jc w:val="both"/>
              <w:rPr>
                <w:rFonts w:asciiTheme="majorHAnsi" w:hAnsiTheme="majorHAnsi"/>
                <w:szCs w:val="22"/>
              </w:rPr>
            </w:pPr>
            <w:r w:rsidRPr="00597E2F">
              <w:rPr>
                <w:rFonts w:asciiTheme="majorHAnsi" w:hAnsiTheme="majorHAnsi"/>
                <w:szCs w:val="22"/>
              </w:rPr>
              <w:t xml:space="preserve">Urgencia </w:t>
            </w:r>
          </w:p>
        </w:tc>
        <w:tc>
          <w:tcPr>
            <w:tcW w:w="4414" w:type="dxa"/>
          </w:tcPr>
          <w:p w:rsidR="00BD3790" w:rsidRPr="00597E2F" w:rsidRDefault="00BD3790" w:rsidP="00A42BC3">
            <w:pPr>
              <w:tabs>
                <w:tab w:val="left" w:pos="7453"/>
              </w:tabs>
              <w:jc w:val="both"/>
              <w:rPr>
                <w:rFonts w:asciiTheme="majorHAnsi" w:hAnsiTheme="majorHAnsi"/>
                <w:szCs w:val="22"/>
              </w:rPr>
            </w:pPr>
            <w:r w:rsidRPr="00597E2F">
              <w:rPr>
                <w:rFonts w:asciiTheme="majorHAnsi" w:hAnsiTheme="majorHAnsi"/>
                <w:szCs w:val="22"/>
              </w:rPr>
              <w:t>No</w:t>
            </w:r>
          </w:p>
        </w:tc>
      </w:tr>
      <w:tr w:rsidR="00BD3790" w:rsidRPr="00597E2F" w:rsidTr="00BD3790">
        <w:tc>
          <w:tcPr>
            <w:tcW w:w="4414" w:type="dxa"/>
          </w:tcPr>
          <w:p w:rsidR="00BD3790" w:rsidRPr="00597E2F" w:rsidRDefault="00BD3790" w:rsidP="00A42BC3">
            <w:pPr>
              <w:tabs>
                <w:tab w:val="left" w:pos="7453"/>
              </w:tabs>
              <w:jc w:val="both"/>
              <w:rPr>
                <w:rFonts w:asciiTheme="majorHAnsi" w:hAnsiTheme="majorHAnsi"/>
                <w:szCs w:val="22"/>
              </w:rPr>
            </w:pPr>
            <w:r w:rsidRPr="00597E2F">
              <w:rPr>
                <w:rFonts w:asciiTheme="majorHAnsi" w:hAnsiTheme="majorHAnsi"/>
                <w:szCs w:val="22"/>
              </w:rPr>
              <w:t>Quórum</w:t>
            </w:r>
          </w:p>
        </w:tc>
        <w:tc>
          <w:tcPr>
            <w:tcW w:w="4414" w:type="dxa"/>
          </w:tcPr>
          <w:p w:rsidR="00BD3790" w:rsidRPr="00597E2F" w:rsidRDefault="00BD3790" w:rsidP="00A42BC3">
            <w:pPr>
              <w:tabs>
                <w:tab w:val="left" w:pos="7453"/>
              </w:tabs>
              <w:jc w:val="both"/>
              <w:rPr>
                <w:rFonts w:asciiTheme="majorHAnsi" w:hAnsiTheme="majorHAnsi"/>
                <w:szCs w:val="22"/>
              </w:rPr>
            </w:pPr>
            <w:r w:rsidRPr="00597E2F">
              <w:rPr>
                <w:rFonts w:asciiTheme="majorHAnsi" w:hAnsiTheme="majorHAnsi" w:cs="Arial"/>
                <w:szCs w:val="22"/>
              </w:rPr>
              <w:t>Simple</w:t>
            </w:r>
          </w:p>
        </w:tc>
      </w:tr>
      <w:tr w:rsidR="00BD3790" w:rsidRPr="00597E2F" w:rsidTr="00BD3790">
        <w:tc>
          <w:tcPr>
            <w:tcW w:w="4414" w:type="dxa"/>
          </w:tcPr>
          <w:p w:rsidR="00BD3790" w:rsidRPr="00597E2F" w:rsidRDefault="00BD3790" w:rsidP="00A42BC3">
            <w:pPr>
              <w:tabs>
                <w:tab w:val="left" w:pos="7453"/>
              </w:tabs>
              <w:jc w:val="both"/>
              <w:rPr>
                <w:rFonts w:asciiTheme="majorHAnsi" w:hAnsiTheme="majorHAnsi"/>
                <w:szCs w:val="22"/>
              </w:rPr>
            </w:pPr>
            <w:r w:rsidRPr="00597E2F">
              <w:rPr>
                <w:rFonts w:asciiTheme="majorHAnsi" w:hAnsiTheme="majorHAnsi"/>
                <w:szCs w:val="22"/>
              </w:rPr>
              <w:t>Forma de discusión</w:t>
            </w:r>
          </w:p>
        </w:tc>
        <w:tc>
          <w:tcPr>
            <w:tcW w:w="4414" w:type="dxa"/>
          </w:tcPr>
          <w:p w:rsidR="00BD3790" w:rsidRPr="00597E2F" w:rsidRDefault="00BD3790" w:rsidP="00A42BC3">
            <w:pPr>
              <w:tabs>
                <w:tab w:val="left" w:pos="7453"/>
              </w:tabs>
              <w:jc w:val="both"/>
              <w:rPr>
                <w:rFonts w:asciiTheme="majorHAnsi" w:hAnsiTheme="majorHAnsi"/>
                <w:szCs w:val="22"/>
              </w:rPr>
            </w:pPr>
            <w:r w:rsidRPr="00597E2F">
              <w:rPr>
                <w:rFonts w:asciiTheme="majorHAnsi" w:hAnsiTheme="majorHAnsi"/>
                <w:szCs w:val="22"/>
              </w:rPr>
              <w:t>En general</w:t>
            </w:r>
          </w:p>
        </w:tc>
      </w:tr>
    </w:tbl>
    <w:p w:rsidR="00BD3790" w:rsidRPr="00597E2F" w:rsidRDefault="00BD3790" w:rsidP="00A42BC3">
      <w:pPr>
        <w:jc w:val="both"/>
        <w:rPr>
          <w:rFonts w:asciiTheme="majorHAnsi" w:hAnsiTheme="majorHAnsi"/>
        </w:rPr>
      </w:pPr>
      <w:r w:rsidRPr="00597E2F">
        <w:rPr>
          <w:rFonts w:asciiTheme="majorHAnsi" w:hAnsiTheme="majorHAnsi"/>
        </w:rPr>
        <w:t xml:space="preserve"> </w:t>
      </w:r>
    </w:p>
    <w:p w:rsidR="00BD3790" w:rsidRPr="00B03ACE" w:rsidRDefault="00387C60" w:rsidP="00A42BC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u w:val="single"/>
        </w:rPr>
        <w:t>El P</w:t>
      </w:r>
      <w:r w:rsidR="00B03ACE" w:rsidRPr="00B45B8D">
        <w:rPr>
          <w:rFonts w:asciiTheme="majorHAnsi" w:hAnsiTheme="majorHAnsi"/>
          <w:b/>
          <w:u w:val="single"/>
        </w:rPr>
        <w:t>royecto</w:t>
      </w:r>
      <w:r w:rsidR="00B03ACE" w:rsidRPr="00B03ACE">
        <w:rPr>
          <w:rFonts w:asciiTheme="majorHAnsi" w:hAnsiTheme="majorHAnsi"/>
          <w:sz w:val="22"/>
          <w:szCs w:val="22"/>
        </w:rPr>
        <w:t>:</w:t>
      </w:r>
    </w:p>
    <w:p w:rsidR="00B03ACE" w:rsidRPr="00B03ACE" w:rsidRDefault="00B03ACE" w:rsidP="00A42BC3">
      <w:pPr>
        <w:jc w:val="both"/>
        <w:rPr>
          <w:rFonts w:asciiTheme="majorHAnsi" w:hAnsiTheme="majorHAnsi"/>
          <w:sz w:val="22"/>
          <w:szCs w:val="22"/>
        </w:rPr>
      </w:pPr>
    </w:p>
    <w:p w:rsidR="00B03ACE" w:rsidRPr="00B03ACE" w:rsidRDefault="00B03ACE" w:rsidP="00A42B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B03ACE">
        <w:rPr>
          <w:rFonts w:asciiTheme="majorHAnsi" w:hAnsiTheme="majorHAnsi"/>
          <w:sz w:val="22"/>
          <w:szCs w:val="22"/>
        </w:rPr>
        <w:t xml:space="preserve">El proyecto le otorga un </w:t>
      </w:r>
      <w:r w:rsidRPr="00C80CF9">
        <w:rPr>
          <w:rFonts w:asciiTheme="majorHAnsi" w:hAnsiTheme="majorHAnsi"/>
          <w:b/>
          <w:sz w:val="22"/>
          <w:szCs w:val="22"/>
        </w:rPr>
        <w:t>reconocimiento lega</w:t>
      </w:r>
      <w:r w:rsidRPr="00B03ACE">
        <w:rPr>
          <w:rFonts w:asciiTheme="majorHAnsi" w:hAnsiTheme="majorHAnsi"/>
          <w:sz w:val="22"/>
          <w:szCs w:val="22"/>
        </w:rPr>
        <w:t>l al pueblo tribal afrodescendiente chileno y a su cultura.</w:t>
      </w:r>
      <w:r>
        <w:rPr>
          <w:rFonts w:asciiTheme="majorHAnsi" w:hAnsiTheme="majorHAnsi"/>
          <w:sz w:val="22"/>
          <w:szCs w:val="22"/>
        </w:rPr>
        <w:t xml:space="preserve"> (Art. 1)</w:t>
      </w:r>
    </w:p>
    <w:p w:rsidR="00B03ACE" w:rsidRDefault="00C80CF9" w:rsidP="00A42B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B45B8D">
        <w:rPr>
          <w:rFonts w:asciiTheme="majorHAnsi" w:hAnsiTheme="majorHAnsi"/>
          <w:b/>
          <w:sz w:val="22"/>
          <w:szCs w:val="22"/>
        </w:rPr>
        <w:t>Otorga una d</w:t>
      </w:r>
      <w:r w:rsidR="00B45B8D" w:rsidRPr="00B45B8D">
        <w:rPr>
          <w:rFonts w:asciiTheme="majorHAnsi" w:hAnsiTheme="majorHAnsi"/>
          <w:b/>
          <w:sz w:val="22"/>
          <w:szCs w:val="22"/>
        </w:rPr>
        <w:t>efinición</w:t>
      </w:r>
      <w:r w:rsidR="00B45B8D">
        <w:rPr>
          <w:rFonts w:asciiTheme="majorHAnsi" w:hAnsiTheme="majorHAnsi"/>
          <w:sz w:val="22"/>
          <w:szCs w:val="22"/>
        </w:rPr>
        <w:t xml:space="preserve"> de este pueblo, correspondiendo a</w:t>
      </w:r>
      <w:r w:rsidR="00B03ACE">
        <w:rPr>
          <w:rFonts w:asciiTheme="majorHAnsi" w:hAnsiTheme="majorHAnsi"/>
          <w:sz w:val="22"/>
          <w:szCs w:val="22"/>
        </w:rPr>
        <w:t xml:space="preserve"> aquellos chilenos que, teniendo un misma cultura, son “descendientes de la diáspora africana y se identifican como tal” (Art. 2)</w:t>
      </w:r>
    </w:p>
    <w:p w:rsidR="00B03ACE" w:rsidRDefault="00C80CF9" w:rsidP="00A42B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Establece el </w:t>
      </w:r>
      <w:r w:rsidRPr="00B45B8D">
        <w:rPr>
          <w:rFonts w:asciiTheme="majorHAnsi" w:hAnsiTheme="majorHAnsi"/>
          <w:b/>
          <w:sz w:val="22"/>
          <w:szCs w:val="22"/>
        </w:rPr>
        <w:t>deber del Estado de valor</w:t>
      </w:r>
      <w:r w:rsidR="00B45B8D" w:rsidRPr="00B45B8D">
        <w:rPr>
          <w:rFonts w:asciiTheme="majorHAnsi" w:hAnsiTheme="majorHAnsi"/>
          <w:b/>
          <w:sz w:val="22"/>
          <w:szCs w:val="22"/>
        </w:rPr>
        <w:t>ar</w:t>
      </w:r>
      <w:r w:rsidRPr="00B45B8D">
        <w:rPr>
          <w:rFonts w:asciiTheme="majorHAnsi" w:hAnsiTheme="majorHAnsi"/>
          <w:b/>
          <w:sz w:val="22"/>
          <w:szCs w:val="22"/>
        </w:rPr>
        <w:t>, respetar y promover su cultura</w:t>
      </w:r>
      <w:r>
        <w:rPr>
          <w:rFonts w:asciiTheme="majorHAnsi" w:hAnsiTheme="majorHAnsi"/>
          <w:sz w:val="22"/>
          <w:szCs w:val="22"/>
        </w:rPr>
        <w:t>, como patrimonio cultural inmaterial del país (Art 3.).</w:t>
      </w:r>
    </w:p>
    <w:p w:rsidR="00C80CF9" w:rsidRDefault="00B45B8D" w:rsidP="00A42B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Establece que el sistema</w:t>
      </w:r>
      <w:r w:rsidR="00C80CF9">
        <w:rPr>
          <w:rFonts w:asciiTheme="majorHAnsi" w:hAnsiTheme="majorHAnsi"/>
          <w:sz w:val="22"/>
          <w:szCs w:val="22"/>
        </w:rPr>
        <w:t xml:space="preserve"> nacional de educación “procurará</w:t>
      </w:r>
      <w:r>
        <w:rPr>
          <w:rFonts w:asciiTheme="majorHAnsi" w:hAnsiTheme="majorHAnsi"/>
          <w:sz w:val="22"/>
          <w:szCs w:val="22"/>
        </w:rPr>
        <w:t xml:space="preserve">” </w:t>
      </w:r>
      <w:r w:rsidRPr="00B45B8D">
        <w:rPr>
          <w:rFonts w:asciiTheme="majorHAnsi" w:hAnsiTheme="majorHAnsi"/>
          <w:b/>
          <w:sz w:val="22"/>
          <w:szCs w:val="22"/>
        </w:rPr>
        <w:t>contemplar</w:t>
      </w:r>
      <w:r w:rsidR="00C80CF9" w:rsidRPr="00B45B8D">
        <w:rPr>
          <w:rFonts w:asciiTheme="majorHAnsi" w:hAnsiTheme="majorHAnsi"/>
          <w:b/>
          <w:sz w:val="22"/>
          <w:szCs w:val="22"/>
        </w:rPr>
        <w:t xml:space="preserve"> una unidad programática</w:t>
      </w:r>
      <w:r w:rsidR="00C80CF9">
        <w:rPr>
          <w:rFonts w:asciiTheme="majorHAnsi" w:hAnsiTheme="majorHAnsi"/>
          <w:sz w:val="22"/>
          <w:szCs w:val="22"/>
        </w:rPr>
        <w:t xml:space="preserve"> que posibilite el conocimiento de su cultura en todos los niveles escolares. (Art. 4)</w:t>
      </w:r>
    </w:p>
    <w:p w:rsidR="00B03ACE" w:rsidRDefault="00C80CF9" w:rsidP="00A42B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C80CF9">
        <w:rPr>
          <w:rFonts w:asciiTheme="majorHAnsi" w:hAnsiTheme="majorHAnsi"/>
          <w:sz w:val="22"/>
          <w:szCs w:val="22"/>
        </w:rPr>
        <w:t xml:space="preserve">Establece el </w:t>
      </w:r>
      <w:r w:rsidRPr="00B45B8D">
        <w:rPr>
          <w:rFonts w:asciiTheme="majorHAnsi" w:hAnsiTheme="majorHAnsi"/>
          <w:b/>
          <w:sz w:val="22"/>
          <w:szCs w:val="22"/>
        </w:rPr>
        <w:t>derecho a ser consultados</w:t>
      </w:r>
      <w:r w:rsidRPr="00C80CF9">
        <w:rPr>
          <w:rFonts w:asciiTheme="majorHAnsi" w:hAnsiTheme="majorHAnsi"/>
          <w:sz w:val="22"/>
          <w:szCs w:val="22"/>
        </w:rPr>
        <w:t xml:space="preserve"> cada vez que se prevean medidas legislativas o administrativas </w:t>
      </w:r>
      <w:r>
        <w:rPr>
          <w:rFonts w:asciiTheme="majorHAnsi" w:hAnsiTheme="majorHAnsi"/>
          <w:sz w:val="22"/>
          <w:szCs w:val="22"/>
        </w:rPr>
        <w:t>susceptibles de afectarles.</w:t>
      </w:r>
      <w:r w:rsidR="00B45B8D">
        <w:rPr>
          <w:rFonts w:asciiTheme="majorHAnsi" w:hAnsiTheme="majorHAnsi"/>
          <w:sz w:val="22"/>
          <w:szCs w:val="22"/>
        </w:rPr>
        <w:t xml:space="preserve"> (Art. 5)</w:t>
      </w:r>
    </w:p>
    <w:p w:rsidR="00C80CF9" w:rsidRDefault="00C80CF9" w:rsidP="00A42B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Estado además “procurará” </w:t>
      </w:r>
      <w:r w:rsidRPr="00B45B8D">
        <w:rPr>
          <w:rFonts w:asciiTheme="majorHAnsi" w:hAnsiTheme="majorHAnsi"/>
          <w:b/>
          <w:sz w:val="22"/>
          <w:szCs w:val="22"/>
        </w:rPr>
        <w:t>incluir en el censo</w:t>
      </w:r>
      <w:r>
        <w:rPr>
          <w:rFonts w:asciiTheme="majorHAnsi" w:hAnsiTheme="majorHAnsi"/>
          <w:sz w:val="22"/>
          <w:szCs w:val="22"/>
        </w:rPr>
        <w:t xml:space="preserve"> de la población a la categoría afrodescendiente.</w:t>
      </w:r>
      <w:r w:rsidR="00B45B8D">
        <w:rPr>
          <w:rFonts w:asciiTheme="majorHAnsi" w:hAnsiTheme="majorHAnsi"/>
          <w:sz w:val="22"/>
          <w:szCs w:val="22"/>
        </w:rPr>
        <w:t xml:space="preserve"> (Art. 6)</w:t>
      </w:r>
    </w:p>
    <w:p w:rsidR="00B45B8D" w:rsidRPr="00B45B8D" w:rsidRDefault="00B45B8D" w:rsidP="00A42BC3">
      <w:pPr>
        <w:jc w:val="both"/>
        <w:rPr>
          <w:rFonts w:asciiTheme="majorHAnsi" w:hAnsiTheme="majorHAnsi"/>
          <w:b/>
          <w:u w:val="single"/>
        </w:rPr>
      </w:pPr>
    </w:p>
    <w:p w:rsidR="00B45B8D" w:rsidRDefault="00B45B8D" w:rsidP="00A42BC3">
      <w:pPr>
        <w:jc w:val="both"/>
        <w:rPr>
          <w:rFonts w:asciiTheme="majorHAnsi" w:hAnsiTheme="majorHAnsi"/>
          <w:sz w:val="22"/>
          <w:szCs w:val="22"/>
        </w:rPr>
      </w:pPr>
      <w:r w:rsidRPr="00B45B8D">
        <w:rPr>
          <w:rFonts w:asciiTheme="majorHAnsi" w:hAnsiTheme="majorHAnsi"/>
          <w:b/>
          <w:u w:val="single"/>
        </w:rPr>
        <w:t>Comentarios</w:t>
      </w:r>
      <w:r>
        <w:rPr>
          <w:rFonts w:asciiTheme="majorHAnsi" w:hAnsiTheme="majorHAnsi"/>
          <w:sz w:val="22"/>
          <w:szCs w:val="22"/>
        </w:rPr>
        <w:t>:</w:t>
      </w:r>
    </w:p>
    <w:p w:rsidR="00B45B8D" w:rsidRDefault="00B45B8D" w:rsidP="00A42BC3">
      <w:pPr>
        <w:jc w:val="both"/>
        <w:rPr>
          <w:rFonts w:asciiTheme="majorHAnsi" w:hAnsiTheme="majorHAnsi"/>
          <w:sz w:val="22"/>
          <w:szCs w:val="22"/>
        </w:rPr>
      </w:pPr>
    </w:p>
    <w:p w:rsidR="00B45B8D" w:rsidRPr="00B45B8D" w:rsidRDefault="00B45B8D" w:rsidP="00A42BC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B45B8D">
        <w:rPr>
          <w:rFonts w:asciiTheme="majorHAnsi" w:hAnsiTheme="majorHAnsi"/>
          <w:sz w:val="22"/>
          <w:szCs w:val="22"/>
        </w:rPr>
        <w:t>Parece razonable el reconocimiento legal que se hace del pueblo afrodescendiente chileno, toda vez que hoy existirían alrededor de 8.500 personas afrodescendientes en la Región de Arica y Parinacota, correspondiendo al 5% de la población regional.</w:t>
      </w:r>
      <w:r w:rsidR="00A42BC3">
        <w:rPr>
          <w:rFonts w:asciiTheme="majorHAnsi" w:hAnsiTheme="majorHAnsi"/>
          <w:sz w:val="22"/>
          <w:szCs w:val="22"/>
        </w:rPr>
        <w:t xml:space="preserve"> De igual manera ocurre cuando se plantea incluir su categoría en el censo de la población.</w:t>
      </w:r>
    </w:p>
    <w:p w:rsidR="00A42BC3" w:rsidRDefault="00B45B8D" w:rsidP="00A42BC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A42BC3">
        <w:rPr>
          <w:rFonts w:asciiTheme="majorHAnsi" w:hAnsiTheme="majorHAnsi"/>
          <w:sz w:val="22"/>
          <w:szCs w:val="22"/>
        </w:rPr>
        <w:t>Por su parte, aunque sea poco concreto y etéreo, no parece haber inconveniente en establecer el deber del Estado de valorar,</w:t>
      </w:r>
      <w:r w:rsidR="00A42BC3" w:rsidRPr="00A42BC3">
        <w:rPr>
          <w:rFonts w:asciiTheme="majorHAnsi" w:hAnsiTheme="majorHAnsi"/>
          <w:sz w:val="22"/>
          <w:szCs w:val="22"/>
        </w:rPr>
        <w:t xml:space="preserve"> respetar y promover su cultura. </w:t>
      </w:r>
    </w:p>
    <w:p w:rsidR="00B45B8D" w:rsidRPr="00A42BC3" w:rsidRDefault="00A42BC3" w:rsidP="00A42BC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A42BC3">
        <w:rPr>
          <w:rFonts w:asciiTheme="majorHAnsi" w:hAnsiTheme="majorHAnsi"/>
          <w:sz w:val="22"/>
          <w:szCs w:val="22"/>
        </w:rPr>
        <w:t>A su vez,</w:t>
      </w:r>
      <w:r w:rsidR="00B45B8D" w:rsidRPr="00A42BC3">
        <w:rPr>
          <w:rFonts w:asciiTheme="majorHAnsi" w:hAnsiTheme="majorHAnsi"/>
          <w:sz w:val="22"/>
          <w:szCs w:val="22"/>
        </w:rPr>
        <w:t xml:space="preserve"> es </w:t>
      </w:r>
      <w:r w:rsidRPr="00A42BC3">
        <w:rPr>
          <w:rFonts w:asciiTheme="majorHAnsi" w:hAnsiTheme="majorHAnsi"/>
          <w:sz w:val="22"/>
          <w:szCs w:val="22"/>
        </w:rPr>
        <w:t xml:space="preserve">de justica y está en consonancia con el Convenio 169 de la OIT sobre </w:t>
      </w:r>
      <w:proofErr w:type="spellStart"/>
      <w:r w:rsidRPr="00A42BC3">
        <w:rPr>
          <w:rFonts w:asciiTheme="majorHAnsi" w:hAnsiTheme="majorHAnsi"/>
          <w:sz w:val="22"/>
          <w:szCs w:val="22"/>
        </w:rPr>
        <w:t>Puebos</w:t>
      </w:r>
      <w:proofErr w:type="spellEnd"/>
      <w:r w:rsidRPr="00A42BC3">
        <w:rPr>
          <w:rFonts w:asciiTheme="majorHAnsi" w:hAnsiTheme="majorHAnsi"/>
          <w:sz w:val="22"/>
          <w:szCs w:val="22"/>
        </w:rPr>
        <w:t xml:space="preserve"> Indígenas y Tribales,</w:t>
      </w:r>
      <w:r w:rsidR="00B45B8D" w:rsidRPr="00A42BC3">
        <w:rPr>
          <w:rFonts w:asciiTheme="majorHAnsi" w:hAnsiTheme="majorHAnsi"/>
          <w:sz w:val="22"/>
          <w:szCs w:val="22"/>
        </w:rPr>
        <w:t xml:space="preserve"> que dicho pueblo sea </w:t>
      </w:r>
      <w:r w:rsidRPr="00A42BC3">
        <w:rPr>
          <w:rFonts w:asciiTheme="majorHAnsi" w:hAnsiTheme="majorHAnsi"/>
          <w:sz w:val="22"/>
          <w:szCs w:val="22"/>
        </w:rPr>
        <w:t>consultado cuando se discutan medidas que sean susceptibles de afectarles.</w:t>
      </w:r>
    </w:p>
    <w:p w:rsidR="00A42BC3" w:rsidRDefault="00A42BC3" w:rsidP="00A42BC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Sin embargo, cabe cuestionarse si es conveniente establecer que nuestro sistema nacional de educación “procure” </w:t>
      </w:r>
      <w:r w:rsidRPr="00387C60">
        <w:rPr>
          <w:rFonts w:asciiTheme="majorHAnsi" w:hAnsiTheme="majorHAnsi"/>
          <w:sz w:val="22"/>
          <w:szCs w:val="22"/>
          <w:u w:val="single"/>
        </w:rPr>
        <w:t>contemplar una unidad</w:t>
      </w:r>
      <w:r w:rsidRPr="007D3A1E">
        <w:rPr>
          <w:rFonts w:asciiTheme="majorHAnsi" w:hAnsiTheme="majorHAnsi"/>
          <w:sz w:val="22"/>
          <w:szCs w:val="22"/>
          <w:u w:val="single"/>
        </w:rPr>
        <w:t xml:space="preserve"> programática</w:t>
      </w:r>
      <w:r>
        <w:rPr>
          <w:rFonts w:asciiTheme="majorHAnsi" w:hAnsiTheme="majorHAnsi"/>
          <w:sz w:val="22"/>
          <w:szCs w:val="22"/>
        </w:rPr>
        <w:t>. Esto ya que si se incluye una unidad programática en todos los niveles escolares de nuestro sistema, no parecieran haber motiv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os para oponerse a que otros grupos </w:t>
      </w:r>
      <w:r w:rsidR="007D3A1E">
        <w:rPr>
          <w:rFonts w:asciiTheme="majorHAnsi" w:hAnsiTheme="majorHAnsi"/>
          <w:sz w:val="22"/>
          <w:szCs w:val="22"/>
        </w:rPr>
        <w:t xml:space="preserve">étnicos y culturales, que </w:t>
      </w:r>
      <w:r w:rsidR="007D3A1E">
        <w:rPr>
          <w:rFonts w:asciiTheme="majorHAnsi" w:hAnsiTheme="majorHAnsi"/>
          <w:sz w:val="22"/>
          <w:szCs w:val="22"/>
        </w:rPr>
        <w:lastRenderedPageBreak/>
        <w:t>son mayores en número que la población afrodescendiente, tenga su propia unidad. Así como también se podría pretender que otras expresiones culturales, de diversa índole pero de mayor relevancia y presencia en nuestro país, tengan a su vez su propia unidad consagrada por ley. De esta manera podríamos terminar con múltiples unidades program</w:t>
      </w:r>
      <w:r w:rsidR="00C0160B">
        <w:rPr>
          <w:rFonts w:asciiTheme="majorHAnsi" w:hAnsiTheme="majorHAnsi"/>
          <w:sz w:val="22"/>
          <w:szCs w:val="22"/>
        </w:rPr>
        <w:t xml:space="preserve">áticas curriculares que impidan impartir los contenidos mínimos e indispensables, o que se le quite la debida flexibilidad que deben poder tener los establecimientos en la implementación de los currículos. </w:t>
      </w:r>
    </w:p>
    <w:p w:rsidR="00C0160B" w:rsidRDefault="00C0160B" w:rsidP="00C0160B">
      <w:pPr>
        <w:pStyle w:val="ListParagraph"/>
        <w:jc w:val="both"/>
        <w:rPr>
          <w:rFonts w:asciiTheme="majorHAnsi" w:hAnsiTheme="majorHAnsi"/>
          <w:sz w:val="22"/>
          <w:szCs w:val="22"/>
        </w:rPr>
      </w:pPr>
    </w:p>
    <w:p w:rsidR="00C0160B" w:rsidRPr="00C0160B" w:rsidRDefault="00387C60" w:rsidP="00C0160B">
      <w:pPr>
        <w:pStyle w:val="ListParagraph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 obstante lo anterior, se </w:t>
      </w:r>
      <w:r w:rsidR="00C0160B">
        <w:rPr>
          <w:rFonts w:asciiTheme="majorHAnsi" w:hAnsiTheme="majorHAnsi"/>
          <w:sz w:val="22"/>
          <w:szCs w:val="22"/>
        </w:rPr>
        <w:t>podría pensar que los redactores del proyecto de ley tuvieron en mente el reparo anterior, y que por ello solo se utilizó el verbo “procurar” y no “deberá”. La diferencia no es menor, por cuanto procurar implica</w:t>
      </w:r>
      <w:r>
        <w:rPr>
          <w:rFonts w:asciiTheme="majorHAnsi" w:hAnsiTheme="majorHAnsi"/>
          <w:sz w:val="22"/>
          <w:szCs w:val="22"/>
        </w:rPr>
        <w:t>, según la Real Academia Española,</w:t>
      </w:r>
      <w:r w:rsidR="00C0160B">
        <w:rPr>
          <w:rFonts w:asciiTheme="majorHAnsi" w:hAnsiTheme="majorHAnsi"/>
          <w:sz w:val="22"/>
          <w:szCs w:val="22"/>
        </w:rPr>
        <w:t xml:space="preserve"> “hacer diligencias o esfuerzos para que suceda algo”, sin obligarse a que efectivamente se logre un determinado resultado</w:t>
      </w:r>
      <w:r>
        <w:rPr>
          <w:rFonts w:asciiTheme="majorHAnsi" w:hAnsiTheme="majorHAnsi"/>
          <w:sz w:val="22"/>
          <w:szCs w:val="22"/>
        </w:rPr>
        <w:t xml:space="preserve"> buscado. Por el contario, si se hubiese utilizado el la voz “deberá” se estaría estableciendo la obligación de materializar concretamente una determinada medida ordenada por la ley.</w:t>
      </w:r>
    </w:p>
    <w:p w:rsidR="00387C60" w:rsidRDefault="00387C60" w:rsidP="00BD3790">
      <w:pPr>
        <w:rPr>
          <w:rFonts w:cs="Arial"/>
        </w:rPr>
      </w:pPr>
    </w:p>
    <w:p w:rsidR="00387C60" w:rsidRDefault="00387C60" w:rsidP="00BD3790">
      <w:pPr>
        <w:rPr>
          <w:rFonts w:cs="Arial"/>
        </w:rPr>
      </w:pPr>
      <w:r w:rsidRPr="00387C60">
        <w:rPr>
          <w:rFonts w:asciiTheme="majorHAnsi" w:hAnsiTheme="majorHAnsi" w:cs="Arial"/>
          <w:b/>
          <w:u w:val="single"/>
        </w:rPr>
        <w:t>Conclusiones</w:t>
      </w:r>
      <w:r>
        <w:rPr>
          <w:rFonts w:cs="Arial"/>
        </w:rPr>
        <w:t>:</w:t>
      </w:r>
    </w:p>
    <w:p w:rsidR="00387C60" w:rsidRDefault="00387C60" w:rsidP="00BD3790">
      <w:pPr>
        <w:rPr>
          <w:rFonts w:cs="Arial"/>
        </w:rPr>
      </w:pPr>
    </w:p>
    <w:p w:rsidR="00B03ACE" w:rsidRPr="00387C60" w:rsidRDefault="00387C60" w:rsidP="00BD3790">
      <w:pPr>
        <w:rPr>
          <w:rFonts w:asciiTheme="majorHAnsi" w:hAnsiTheme="majorHAnsi"/>
          <w:sz w:val="22"/>
          <w:szCs w:val="22"/>
        </w:rPr>
      </w:pPr>
      <w:r w:rsidRPr="00387C60">
        <w:rPr>
          <w:rFonts w:asciiTheme="majorHAnsi" w:hAnsiTheme="majorHAnsi" w:cs="Arial"/>
          <w:sz w:val="22"/>
          <w:szCs w:val="22"/>
        </w:rPr>
        <w:t>Por todo lo anterior,</w:t>
      </w:r>
      <w:r w:rsidR="00A42BC3" w:rsidRPr="00387C60">
        <w:rPr>
          <w:rFonts w:asciiTheme="majorHAnsi" w:hAnsiTheme="majorHAnsi" w:cs="Arial"/>
          <w:sz w:val="22"/>
          <w:szCs w:val="22"/>
        </w:rPr>
        <w:t xml:space="preserve"> </w:t>
      </w:r>
      <w:r w:rsidRPr="00387C60">
        <w:rPr>
          <w:rFonts w:asciiTheme="majorHAnsi" w:hAnsiTheme="majorHAnsi" w:cs="Arial"/>
          <w:sz w:val="22"/>
          <w:szCs w:val="22"/>
        </w:rPr>
        <w:t xml:space="preserve">se aconseja aprobar en general el proyecto de ley, haciendo las prevenciones comentadas anteriormente relativas a la unidad programática que se quiere establecer. </w:t>
      </w:r>
    </w:p>
    <w:sectPr w:rsidR="00B03ACE" w:rsidRPr="00387C60" w:rsidSect="00C16F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0245"/>
    <w:multiLevelType w:val="hybridMultilevel"/>
    <w:tmpl w:val="3536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D3B01"/>
    <w:multiLevelType w:val="hybridMultilevel"/>
    <w:tmpl w:val="68D6541E"/>
    <w:lvl w:ilvl="0" w:tplc="426C9E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0"/>
    <w:rsid w:val="00387C60"/>
    <w:rsid w:val="007D3A1E"/>
    <w:rsid w:val="00A31474"/>
    <w:rsid w:val="00A42BC3"/>
    <w:rsid w:val="00B03ACE"/>
    <w:rsid w:val="00B45B8D"/>
    <w:rsid w:val="00BD3790"/>
    <w:rsid w:val="00C0160B"/>
    <w:rsid w:val="00C16FDB"/>
    <w:rsid w:val="00C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BE5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790"/>
    <w:rPr>
      <w:rFonts w:ascii="Times New Roman" w:eastAsiaTheme="minorHAnsi" w:hAnsi="Times New Roman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"/>
    <w:basedOn w:val="Normal"/>
    <w:rsid w:val="00BD3790"/>
    <w:pPr>
      <w:spacing w:after="160"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BodyText">
    <w:name w:val="Body Text"/>
    <w:basedOn w:val="Normal"/>
    <w:link w:val="BodyTextChar"/>
    <w:rsid w:val="00B03ACE"/>
    <w:pPr>
      <w:tabs>
        <w:tab w:val="left" w:pos="2835"/>
      </w:tabs>
      <w:spacing w:line="360" w:lineRule="auto"/>
      <w:jc w:val="both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B03ACE"/>
    <w:rPr>
      <w:rFonts w:ascii="Arial" w:eastAsia="Times New Roman" w:hAnsi="Arial" w:cs="Times New Roman"/>
      <w:b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03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790"/>
    <w:rPr>
      <w:rFonts w:ascii="Times New Roman" w:eastAsiaTheme="minorHAnsi" w:hAnsi="Times New Roman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"/>
    <w:basedOn w:val="Normal"/>
    <w:rsid w:val="00BD3790"/>
    <w:pPr>
      <w:spacing w:after="160"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BodyText">
    <w:name w:val="Body Text"/>
    <w:basedOn w:val="Normal"/>
    <w:link w:val="BodyTextChar"/>
    <w:rsid w:val="00B03ACE"/>
    <w:pPr>
      <w:tabs>
        <w:tab w:val="left" w:pos="2835"/>
      </w:tabs>
      <w:spacing w:line="360" w:lineRule="auto"/>
      <w:jc w:val="both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B03ACE"/>
    <w:rPr>
      <w:rFonts w:ascii="Arial" w:eastAsia="Times New Roman" w:hAnsi="Arial" w:cs="Times New Roman"/>
      <w:b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0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553</Words>
  <Characters>3156</Characters>
  <Application>Microsoft Macintosh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Gazmuri</dc:creator>
  <cp:keywords/>
  <dc:description/>
  <cp:lastModifiedBy>Juan Carlos Gazmuri</cp:lastModifiedBy>
  <cp:revision>1</cp:revision>
  <dcterms:created xsi:type="dcterms:W3CDTF">2018-10-11T20:39:00Z</dcterms:created>
  <dcterms:modified xsi:type="dcterms:W3CDTF">2018-10-12T15:51:00Z</dcterms:modified>
</cp:coreProperties>
</file>