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4A" w:rsidRPr="00367BDD" w:rsidRDefault="006C574A" w:rsidP="006C574A">
      <w:pPr>
        <w:autoSpaceDE w:val="0"/>
        <w:autoSpaceDN w:val="0"/>
        <w:adjustRightInd w:val="0"/>
        <w:spacing w:line="240" w:lineRule="auto"/>
        <w:jc w:val="center"/>
        <w:rPr>
          <w:rFonts w:cstheme="minorHAnsi"/>
          <w:b/>
          <w:sz w:val="24"/>
          <w:szCs w:val="24"/>
        </w:rPr>
      </w:pPr>
      <w:r w:rsidRPr="00367BDD">
        <w:rPr>
          <w:rFonts w:cstheme="minorHAnsi"/>
          <w:b/>
          <w:sz w:val="24"/>
          <w:szCs w:val="24"/>
        </w:rPr>
        <w:t>MINUTA EMPLEO</w:t>
      </w:r>
    </w:p>
    <w:p w:rsidR="006C574A" w:rsidRDefault="006C574A" w:rsidP="006C574A">
      <w:pPr>
        <w:pStyle w:val="Prrafodelista"/>
        <w:autoSpaceDE w:val="0"/>
        <w:autoSpaceDN w:val="0"/>
        <w:adjustRightInd w:val="0"/>
        <w:spacing w:line="240" w:lineRule="auto"/>
        <w:rPr>
          <w:rFonts w:cstheme="minorHAnsi"/>
          <w:sz w:val="24"/>
          <w:szCs w:val="24"/>
        </w:rPr>
      </w:pPr>
    </w:p>
    <w:p w:rsidR="006C574A" w:rsidRDefault="006C574A" w:rsidP="006C574A">
      <w:pPr>
        <w:pStyle w:val="Prrafodelista"/>
        <w:autoSpaceDE w:val="0"/>
        <w:autoSpaceDN w:val="0"/>
        <w:adjustRightInd w:val="0"/>
        <w:spacing w:line="240" w:lineRule="auto"/>
        <w:rPr>
          <w:rFonts w:cstheme="minorHAnsi"/>
          <w:sz w:val="24"/>
          <w:szCs w:val="24"/>
        </w:rPr>
      </w:pPr>
    </w:p>
    <w:p w:rsidR="00D75041" w:rsidRDefault="00D75041" w:rsidP="00D75041">
      <w:pPr>
        <w:pStyle w:val="Prrafodelista"/>
        <w:numPr>
          <w:ilvl w:val="0"/>
          <w:numId w:val="1"/>
        </w:numPr>
        <w:autoSpaceDE w:val="0"/>
        <w:autoSpaceDN w:val="0"/>
        <w:adjustRightInd w:val="0"/>
        <w:spacing w:line="240" w:lineRule="auto"/>
        <w:rPr>
          <w:rFonts w:cstheme="minorHAnsi"/>
          <w:sz w:val="24"/>
          <w:szCs w:val="24"/>
        </w:rPr>
      </w:pPr>
      <w:r w:rsidRPr="00E02156">
        <w:rPr>
          <w:rFonts w:cstheme="minorHAnsi"/>
          <w:sz w:val="24"/>
          <w:szCs w:val="24"/>
        </w:rPr>
        <w:t>Se observa que la Tasa de Desocupación Nacional, ha registrado un aumento de manera constante los últimos tres trimestres móviles. La cifra recientemente entregada por el INE sorprende a nuestra región al llegar al máximo valor desde que se aplica la actual medición del desempleo, desde el trimestre enero marzo del 2010, es decir la más alta de los últimos ocho años.</w:t>
      </w:r>
    </w:p>
    <w:p w:rsidR="00E02156" w:rsidRPr="00E02156" w:rsidRDefault="00E02156" w:rsidP="00E02156">
      <w:pPr>
        <w:pStyle w:val="Prrafodelista"/>
        <w:autoSpaceDE w:val="0"/>
        <w:autoSpaceDN w:val="0"/>
        <w:adjustRightInd w:val="0"/>
        <w:spacing w:line="240" w:lineRule="auto"/>
        <w:rPr>
          <w:rFonts w:cstheme="minorHAnsi"/>
          <w:sz w:val="24"/>
          <w:szCs w:val="24"/>
        </w:rPr>
      </w:pPr>
    </w:p>
    <w:p w:rsidR="00256F74" w:rsidRPr="00E02156" w:rsidRDefault="00D75041" w:rsidP="00D75041">
      <w:pPr>
        <w:pStyle w:val="Prrafodelista"/>
        <w:numPr>
          <w:ilvl w:val="0"/>
          <w:numId w:val="1"/>
        </w:numPr>
        <w:autoSpaceDE w:val="0"/>
        <w:autoSpaceDN w:val="0"/>
        <w:adjustRightInd w:val="0"/>
        <w:spacing w:line="240" w:lineRule="auto"/>
        <w:rPr>
          <w:rFonts w:cstheme="minorHAnsi"/>
          <w:sz w:val="24"/>
          <w:szCs w:val="24"/>
        </w:rPr>
      </w:pPr>
      <w:r w:rsidRPr="00E02156">
        <w:rPr>
          <w:rFonts w:cstheme="minorHAnsi"/>
          <w:sz w:val="24"/>
          <w:szCs w:val="24"/>
        </w:rPr>
        <w:t>Con las cifras del último trimestre, la Región de Antofagasta es la región con la mayor Tasa de Desocupación del país. En el otro extremo, la región de Magallanes, con 2,7% es la región con la tasa de desocupación más baja del país, según de ve en el siguiente gráfico:</w:t>
      </w:r>
    </w:p>
    <w:p w:rsidR="00E02156" w:rsidRPr="00E02156" w:rsidRDefault="00E02156" w:rsidP="00D75041">
      <w:pPr>
        <w:pStyle w:val="Prrafodelista"/>
        <w:rPr>
          <w:rFonts w:cstheme="minorHAnsi"/>
          <w:sz w:val="24"/>
          <w:szCs w:val="24"/>
        </w:rPr>
      </w:pPr>
      <w:r w:rsidRPr="00E02156">
        <w:rPr>
          <w:rFonts w:cstheme="minorHAnsi"/>
          <w:noProof/>
          <w:sz w:val="24"/>
          <w:szCs w:val="24"/>
          <w:lang w:eastAsia="es-CL"/>
        </w:rPr>
        <w:drawing>
          <wp:inline distT="0" distB="0" distL="0" distR="0">
            <wp:extent cx="4893129" cy="2629072"/>
            <wp:effectExtent l="19050" t="0" r="2721"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40000"/>
                    </a:blip>
                    <a:srcRect t="23027" r="543" b="5692"/>
                    <a:stretch>
                      <a:fillRect/>
                    </a:stretch>
                  </pic:blipFill>
                  <pic:spPr bwMode="auto">
                    <a:xfrm>
                      <a:off x="0" y="0"/>
                      <a:ext cx="4893129" cy="2629072"/>
                    </a:xfrm>
                    <a:prstGeom prst="rect">
                      <a:avLst/>
                    </a:prstGeom>
                    <a:noFill/>
                    <a:ln w="9525">
                      <a:noFill/>
                      <a:miter lim="800000"/>
                      <a:headEnd/>
                      <a:tailEnd/>
                    </a:ln>
                  </pic:spPr>
                </pic:pic>
              </a:graphicData>
            </a:graphic>
          </wp:inline>
        </w:drawing>
      </w:r>
    </w:p>
    <w:p w:rsidR="00D75041" w:rsidRPr="00E02156" w:rsidRDefault="00E02156" w:rsidP="00E02156">
      <w:pPr>
        <w:pStyle w:val="Prrafodelista"/>
        <w:autoSpaceDE w:val="0"/>
        <w:autoSpaceDN w:val="0"/>
        <w:adjustRightInd w:val="0"/>
        <w:spacing w:line="240" w:lineRule="auto"/>
        <w:rPr>
          <w:rFonts w:cstheme="minorHAnsi"/>
          <w:sz w:val="24"/>
          <w:szCs w:val="24"/>
        </w:rPr>
      </w:pPr>
      <w:r w:rsidRPr="00E02156">
        <w:rPr>
          <w:rFonts w:cstheme="minorHAnsi"/>
          <w:sz w:val="24"/>
          <w:szCs w:val="24"/>
        </w:rPr>
        <w:t xml:space="preserve">El análisis de las cifras </w:t>
      </w:r>
      <w:r w:rsidRPr="00E02156">
        <w:rPr>
          <w:rFonts w:cstheme="minorHAnsi"/>
          <w:b/>
          <w:color w:val="FF0000"/>
          <w:sz w:val="24"/>
          <w:szCs w:val="24"/>
        </w:rPr>
        <w:t>de nuestra región</w:t>
      </w:r>
      <w:r w:rsidRPr="00E02156">
        <w:rPr>
          <w:rFonts w:cstheme="minorHAnsi"/>
          <w:sz w:val="24"/>
          <w:szCs w:val="24"/>
        </w:rPr>
        <w:t xml:space="preserve"> indica en esta muestra que, el aumento de la tasa de desocupación se debe a que, respecto del trimestre móvil anterior, cae fuertemente el número de los Ocupados, se perdieron 3.243 puestos de trabajo. En este trimestre el aumento de la Fuerza de Trabajo fue muy leve, de tan sólo 817 personas, por tanto el aumento de la desocupación en este caso se debe principalmente a la disminución de la ocupación.</w:t>
      </w:r>
    </w:p>
    <w:p w:rsidR="00E02156" w:rsidRPr="00E02156" w:rsidRDefault="00E02156" w:rsidP="00E02156">
      <w:pPr>
        <w:pStyle w:val="Prrafodelista"/>
        <w:autoSpaceDE w:val="0"/>
        <w:autoSpaceDN w:val="0"/>
        <w:adjustRightInd w:val="0"/>
        <w:spacing w:line="240" w:lineRule="auto"/>
        <w:rPr>
          <w:rFonts w:cstheme="minorHAnsi"/>
          <w:sz w:val="24"/>
          <w:szCs w:val="24"/>
        </w:rPr>
      </w:pPr>
    </w:p>
    <w:p w:rsidR="00E02156" w:rsidRDefault="00E02156" w:rsidP="00E02156">
      <w:pPr>
        <w:pStyle w:val="Prrafodelista"/>
        <w:numPr>
          <w:ilvl w:val="0"/>
          <w:numId w:val="1"/>
        </w:numPr>
        <w:autoSpaceDE w:val="0"/>
        <w:autoSpaceDN w:val="0"/>
        <w:adjustRightInd w:val="0"/>
        <w:spacing w:line="240" w:lineRule="auto"/>
        <w:rPr>
          <w:rFonts w:cstheme="minorHAnsi"/>
          <w:sz w:val="24"/>
          <w:szCs w:val="24"/>
        </w:rPr>
      </w:pPr>
      <w:r w:rsidRPr="00E02156">
        <w:rPr>
          <w:rFonts w:cstheme="minorHAnsi"/>
          <w:sz w:val="24"/>
          <w:szCs w:val="24"/>
        </w:rPr>
        <w:t>Al analizar el empleo según categorías, es posible apreciar como en los últimos años ha disminuido de manera importante el empleo asalariado, aunque en los últimos meses se ha recuperado manteniéndose en torno al 75% del total del empleo regional. El empleo por cuenta propia, que como ya sabemos se compone en parte de empleos precarios también ha tendido en los últimos meses a estabilizarse en torno a 19%.</w:t>
      </w:r>
    </w:p>
    <w:p w:rsidR="00E02156" w:rsidRDefault="00E02156" w:rsidP="00E02156">
      <w:pPr>
        <w:autoSpaceDE w:val="0"/>
        <w:autoSpaceDN w:val="0"/>
        <w:adjustRightInd w:val="0"/>
        <w:spacing w:line="240" w:lineRule="auto"/>
        <w:rPr>
          <w:rFonts w:cstheme="minorHAnsi"/>
          <w:sz w:val="24"/>
          <w:szCs w:val="24"/>
        </w:rPr>
      </w:pPr>
    </w:p>
    <w:p w:rsidR="00E02156" w:rsidRDefault="00E02156" w:rsidP="00E02156">
      <w:pPr>
        <w:autoSpaceDE w:val="0"/>
        <w:autoSpaceDN w:val="0"/>
        <w:adjustRightInd w:val="0"/>
        <w:spacing w:line="240" w:lineRule="auto"/>
        <w:rPr>
          <w:rFonts w:cstheme="minorHAnsi"/>
          <w:sz w:val="24"/>
          <w:szCs w:val="24"/>
        </w:rPr>
      </w:pPr>
    </w:p>
    <w:p w:rsidR="00E02156" w:rsidRDefault="00E02156" w:rsidP="00E02156">
      <w:pPr>
        <w:autoSpaceDE w:val="0"/>
        <w:autoSpaceDN w:val="0"/>
        <w:adjustRightInd w:val="0"/>
        <w:spacing w:line="240" w:lineRule="auto"/>
        <w:rPr>
          <w:rFonts w:cstheme="minorHAnsi"/>
          <w:sz w:val="24"/>
          <w:szCs w:val="24"/>
        </w:rPr>
      </w:pPr>
    </w:p>
    <w:p w:rsidR="00E02156" w:rsidRPr="00E02156" w:rsidRDefault="00E02156" w:rsidP="00E02156">
      <w:pPr>
        <w:pStyle w:val="Prrafodelista"/>
        <w:autoSpaceDE w:val="0"/>
        <w:autoSpaceDN w:val="0"/>
        <w:adjustRightInd w:val="0"/>
        <w:spacing w:line="240" w:lineRule="auto"/>
        <w:rPr>
          <w:rFonts w:cstheme="minorHAnsi"/>
          <w:sz w:val="24"/>
          <w:szCs w:val="24"/>
        </w:rPr>
      </w:pPr>
    </w:p>
    <w:p w:rsidR="00E02156" w:rsidRPr="00367BDD" w:rsidRDefault="00E02156" w:rsidP="00E02156">
      <w:pPr>
        <w:pStyle w:val="Prrafodelista"/>
        <w:numPr>
          <w:ilvl w:val="0"/>
          <w:numId w:val="1"/>
        </w:numPr>
        <w:autoSpaceDE w:val="0"/>
        <w:autoSpaceDN w:val="0"/>
        <w:adjustRightInd w:val="0"/>
        <w:spacing w:line="240" w:lineRule="auto"/>
        <w:jc w:val="left"/>
        <w:rPr>
          <w:rFonts w:cstheme="minorHAnsi"/>
          <w:b/>
          <w:sz w:val="24"/>
          <w:szCs w:val="24"/>
        </w:rPr>
      </w:pPr>
      <w:r w:rsidRPr="00367BDD">
        <w:rPr>
          <w:rFonts w:cstheme="minorHAnsi"/>
          <w:b/>
          <w:sz w:val="24"/>
          <w:szCs w:val="24"/>
        </w:rPr>
        <w:lastRenderedPageBreak/>
        <w:t>Datos por sector:</w:t>
      </w:r>
    </w:p>
    <w:tbl>
      <w:tblPr>
        <w:tblW w:w="7660" w:type="dxa"/>
        <w:tblInd w:w="61" w:type="dxa"/>
        <w:tblCellMar>
          <w:left w:w="70" w:type="dxa"/>
          <w:right w:w="70" w:type="dxa"/>
        </w:tblCellMar>
        <w:tblLook w:val="04A0"/>
      </w:tblPr>
      <w:tblGrid>
        <w:gridCol w:w="5080"/>
        <w:gridCol w:w="1640"/>
        <w:gridCol w:w="957"/>
      </w:tblGrid>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center"/>
              <w:rPr>
                <w:rFonts w:ascii="Calibri" w:eastAsia="Times New Roman" w:hAnsi="Calibri" w:cs="Calibri"/>
                <w:b/>
                <w:bCs/>
                <w:color w:val="000000"/>
                <w:lang w:eastAsia="es-CL"/>
              </w:rPr>
            </w:pPr>
            <w:r w:rsidRPr="006C574A">
              <w:rPr>
                <w:rFonts w:ascii="Calibri" w:eastAsia="Times New Roman" w:hAnsi="Calibri" w:cs="Calibri"/>
                <w:b/>
                <w:bCs/>
                <w:color w:val="000000"/>
                <w:lang w:eastAsia="es-CL"/>
              </w:rPr>
              <w:t>Sector Ocupados</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center"/>
              <w:rPr>
                <w:rFonts w:ascii="Calibri" w:eastAsia="Times New Roman" w:hAnsi="Calibri" w:cs="Calibri"/>
                <w:b/>
                <w:bCs/>
                <w:color w:val="000000"/>
                <w:lang w:eastAsia="es-CL"/>
              </w:rPr>
            </w:pPr>
            <w:r w:rsidRPr="006C574A">
              <w:rPr>
                <w:rFonts w:ascii="Calibri" w:eastAsia="Times New Roman" w:hAnsi="Calibri" w:cs="Calibri"/>
                <w:b/>
                <w:bCs/>
                <w:color w:val="000000"/>
                <w:lang w:eastAsia="es-CL"/>
              </w:rPr>
              <w:t>Cesantes</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Agricultura y Pesca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8.919</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449</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Minería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51.928</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6.761</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Industrias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17.578</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2.999</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Electricidad, gas y Aire Acondicionado</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2.868</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91</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Agua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1.616</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88</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Construcción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23.036</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2.407</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Comercio</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48.868</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4.794</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Transporte y almacenamiento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22.945</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1.456</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Hoteles y restaurantes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7.768</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1.645</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Información y Comunicaciones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2.848</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1.143</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Intermediación financiera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1.546</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212</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Actividades inmobiliarias</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382</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485</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Actividades profesionales, científicas y técnicas.</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6.143</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1.290</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Actividades de servicios administrativos y de apoyo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4.814</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943</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Administración pública y defensa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12.372</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635</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Enseñanza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23.441</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326</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Servicios sociales y de salud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13.878</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1.299</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 xml:space="preserve">Actividades artísticas, de entretenimiento y recreativas  </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3.455</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514</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Otros servicios</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11.944</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915</w:t>
            </w:r>
          </w:p>
        </w:tc>
      </w:tr>
      <w:tr w:rsidR="006C574A" w:rsidRPr="006C574A" w:rsidTr="002E7F26">
        <w:trPr>
          <w:trHeight w:val="288"/>
        </w:trPr>
        <w:tc>
          <w:tcPr>
            <w:tcW w:w="508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lang w:eastAsia="es-CL"/>
              </w:rPr>
              <w:t>Servicio doméstico</w:t>
            </w:r>
          </w:p>
        </w:tc>
        <w:tc>
          <w:tcPr>
            <w:tcW w:w="16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5.872</w:t>
            </w:r>
          </w:p>
        </w:tc>
        <w:tc>
          <w:tcPr>
            <w:tcW w:w="9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1.094</w:t>
            </w:r>
          </w:p>
        </w:tc>
      </w:tr>
      <w:tr w:rsidR="006C574A" w:rsidRPr="006C574A" w:rsidTr="002E7F26">
        <w:trPr>
          <w:trHeight w:val="288"/>
        </w:trPr>
        <w:tc>
          <w:tcPr>
            <w:tcW w:w="5080" w:type="dxa"/>
            <w:tcBorders>
              <w:top w:val="single" w:sz="12" w:space="0" w:color="auto"/>
              <w:left w:val="nil"/>
              <w:bottom w:val="nil"/>
              <w:right w:val="nil"/>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lang w:eastAsia="es-CL"/>
              </w:rPr>
            </w:pPr>
            <w:r w:rsidRPr="006C574A">
              <w:rPr>
                <w:rFonts w:ascii="Calibri" w:eastAsia="Times New Roman" w:hAnsi="Calibri" w:cs="Calibri"/>
                <w:color w:val="000000"/>
                <w:sz w:val="16"/>
                <w:szCs w:val="16"/>
                <w:lang w:eastAsia="es-CL"/>
              </w:rPr>
              <w:t>Tabla cámara de comercio Antofagasta</w:t>
            </w:r>
          </w:p>
        </w:tc>
        <w:tc>
          <w:tcPr>
            <w:tcW w:w="1640" w:type="dxa"/>
            <w:tcBorders>
              <w:top w:val="single" w:sz="12" w:space="0" w:color="auto"/>
              <w:left w:val="nil"/>
              <w:bottom w:val="nil"/>
              <w:right w:val="nil"/>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272.221</w:t>
            </w:r>
          </w:p>
        </w:tc>
        <w:tc>
          <w:tcPr>
            <w:tcW w:w="940" w:type="dxa"/>
            <w:tcBorders>
              <w:top w:val="single" w:sz="12" w:space="0" w:color="auto"/>
              <w:left w:val="nil"/>
              <w:bottom w:val="nil"/>
              <w:right w:val="nil"/>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r w:rsidRPr="006C574A">
              <w:rPr>
                <w:rFonts w:ascii="Calibri" w:eastAsia="Times New Roman" w:hAnsi="Calibri" w:cs="Calibri"/>
                <w:color w:val="000000"/>
                <w:lang w:eastAsia="es-CL"/>
              </w:rPr>
              <w:t>29.546</w:t>
            </w:r>
          </w:p>
        </w:tc>
      </w:tr>
      <w:tr w:rsidR="006C574A" w:rsidRPr="006C574A" w:rsidTr="006C574A">
        <w:trPr>
          <w:trHeight w:val="288"/>
        </w:trPr>
        <w:tc>
          <w:tcPr>
            <w:tcW w:w="5080" w:type="dxa"/>
            <w:tcBorders>
              <w:top w:val="nil"/>
              <w:left w:val="nil"/>
              <w:bottom w:val="nil"/>
              <w:right w:val="nil"/>
            </w:tcBorders>
            <w:shd w:val="clear" w:color="auto" w:fill="auto"/>
            <w:noWrap/>
            <w:vAlign w:val="bottom"/>
            <w:hideMark/>
          </w:tcPr>
          <w:p w:rsidR="006C574A" w:rsidRPr="006C574A" w:rsidRDefault="006C574A" w:rsidP="006C574A">
            <w:pPr>
              <w:spacing w:line="240" w:lineRule="auto"/>
              <w:jc w:val="left"/>
              <w:rPr>
                <w:rFonts w:ascii="Calibri" w:eastAsia="Times New Roman" w:hAnsi="Calibri" w:cs="Calibri"/>
                <w:color w:val="000000"/>
                <w:sz w:val="16"/>
                <w:szCs w:val="16"/>
                <w:lang w:eastAsia="es-CL"/>
              </w:rPr>
            </w:pPr>
          </w:p>
        </w:tc>
        <w:tc>
          <w:tcPr>
            <w:tcW w:w="1640" w:type="dxa"/>
            <w:tcBorders>
              <w:top w:val="nil"/>
              <w:left w:val="nil"/>
              <w:bottom w:val="nil"/>
              <w:right w:val="nil"/>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p>
        </w:tc>
        <w:tc>
          <w:tcPr>
            <w:tcW w:w="940" w:type="dxa"/>
            <w:tcBorders>
              <w:top w:val="nil"/>
              <w:left w:val="nil"/>
              <w:bottom w:val="nil"/>
              <w:right w:val="nil"/>
            </w:tcBorders>
            <w:shd w:val="clear" w:color="auto" w:fill="auto"/>
            <w:noWrap/>
            <w:vAlign w:val="bottom"/>
            <w:hideMark/>
          </w:tcPr>
          <w:p w:rsidR="006C574A" w:rsidRPr="006C574A" w:rsidRDefault="006C574A" w:rsidP="008B066F">
            <w:pPr>
              <w:spacing w:line="240" w:lineRule="auto"/>
              <w:jc w:val="right"/>
              <w:rPr>
                <w:rFonts w:ascii="Calibri" w:eastAsia="Times New Roman" w:hAnsi="Calibri" w:cs="Calibri"/>
                <w:color w:val="000000"/>
                <w:lang w:eastAsia="es-CL"/>
              </w:rPr>
            </w:pPr>
          </w:p>
        </w:tc>
      </w:tr>
    </w:tbl>
    <w:p w:rsidR="00E02156" w:rsidRDefault="00E02156" w:rsidP="006C574A">
      <w:pPr>
        <w:autoSpaceDE w:val="0"/>
        <w:autoSpaceDN w:val="0"/>
        <w:adjustRightInd w:val="0"/>
        <w:spacing w:line="240" w:lineRule="auto"/>
        <w:jc w:val="left"/>
        <w:rPr>
          <w:rFonts w:cstheme="minorHAnsi"/>
          <w:sz w:val="24"/>
          <w:szCs w:val="24"/>
        </w:rPr>
      </w:pPr>
    </w:p>
    <w:p w:rsidR="006C574A" w:rsidRPr="006C574A" w:rsidRDefault="006C574A" w:rsidP="006C574A">
      <w:pPr>
        <w:autoSpaceDE w:val="0"/>
        <w:autoSpaceDN w:val="0"/>
        <w:adjustRightInd w:val="0"/>
        <w:spacing w:line="240" w:lineRule="auto"/>
        <w:jc w:val="left"/>
        <w:rPr>
          <w:rFonts w:cstheme="minorHAnsi"/>
          <w:sz w:val="24"/>
          <w:szCs w:val="24"/>
        </w:rPr>
      </w:pPr>
    </w:p>
    <w:p w:rsidR="00E02156" w:rsidRDefault="00E02156" w:rsidP="00E02156">
      <w:pPr>
        <w:pStyle w:val="Prrafodelista"/>
        <w:rPr>
          <w:rFonts w:cstheme="minorHAnsi"/>
          <w:sz w:val="24"/>
          <w:szCs w:val="24"/>
        </w:rPr>
      </w:pPr>
    </w:p>
    <w:p w:rsidR="0081288F" w:rsidRDefault="0081288F" w:rsidP="00E02156">
      <w:pPr>
        <w:pStyle w:val="Prrafodelista"/>
        <w:rPr>
          <w:rFonts w:cstheme="minorHAnsi"/>
          <w:sz w:val="24"/>
          <w:szCs w:val="24"/>
        </w:rPr>
      </w:pPr>
    </w:p>
    <w:p w:rsidR="0081288F" w:rsidRDefault="0081288F" w:rsidP="00E02156">
      <w:pPr>
        <w:pStyle w:val="Prrafodelista"/>
        <w:rPr>
          <w:rFonts w:cstheme="minorHAnsi"/>
          <w:sz w:val="24"/>
          <w:szCs w:val="24"/>
        </w:rPr>
      </w:pPr>
    </w:p>
    <w:p w:rsidR="0081288F" w:rsidRDefault="0081288F" w:rsidP="00E02156">
      <w:pPr>
        <w:pStyle w:val="Prrafodelista"/>
        <w:rPr>
          <w:rFonts w:cstheme="minorHAnsi"/>
          <w:sz w:val="24"/>
          <w:szCs w:val="24"/>
        </w:rPr>
      </w:pPr>
    </w:p>
    <w:p w:rsidR="0081288F" w:rsidRDefault="0081288F" w:rsidP="00E02156">
      <w:pPr>
        <w:pStyle w:val="Prrafodelista"/>
        <w:rPr>
          <w:rFonts w:cstheme="minorHAnsi"/>
          <w:sz w:val="24"/>
          <w:szCs w:val="24"/>
        </w:rPr>
      </w:pPr>
    </w:p>
    <w:p w:rsidR="0081288F" w:rsidRDefault="0081288F" w:rsidP="00E02156">
      <w:pPr>
        <w:pStyle w:val="Prrafodelista"/>
        <w:rPr>
          <w:rFonts w:cstheme="minorHAnsi"/>
          <w:sz w:val="24"/>
          <w:szCs w:val="24"/>
        </w:rPr>
      </w:pPr>
    </w:p>
    <w:p w:rsidR="0081288F" w:rsidRDefault="0081288F" w:rsidP="00E02156">
      <w:pPr>
        <w:pStyle w:val="Prrafodelista"/>
        <w:rPr>
          <w:rFonts w:cstheme="minorHAnsi"/>
          <w:sz w:val="24"/>
          <w:szCs w:val="24"/>
        </w:rPr>
      </w:pPr>
    </w:p>
    <w:p w:rsidR="0081288F" w:rsidRDefault="0081288F" w:rsidP="00E02156">
      <w:pPr>
        <w:pStyle w:val="Prrafodelista"/>
        <w:rPr>
          <w:rFonts w:cstheme="minorHAnsi"/>
          <w:sz w:val="24"/>
          <w:szCs w:val="24"/>
        </w:rPr>
      </w:pPr>
    </w:p>
    <w:p w:rsidR="0081288F" w:rsidRDefault="0081288F" w:rsidP="00E02156">
      <w:pPr>
        <w:pStyle w:val="Prrafodelista"/>
        <w:rPr>
          <w:rFonts w:cstheme="minorHAnsi"/>
          <w:sz w:val="24"/>
          <w:szCs w:val="24"/>
        </w:rPr>
      </w:pPr>
    </w:p>
    <w:p w:rsidR="0081288F" w:rsidRDefault="0081288F" w:rsidP="00E02156">
      <w:pPr>
        <w:pStyle w:val="Prrafodelista"/>
        <w:rPr>
          <w:rFonts w:cstheme="minorHAnsi"/>
          <w:sz w:val="24"/>
          <w:szCs w:val="24"/>
        </w:rPr>
      </w:pPr>
    </w:p>
    <w:p w:rsidR="00E02156" w:rsidRPr="0021764A" w:rsidRDefault="0081288F" w:rsidP="0081288F">
      <w:pPr>
        <w:pStyle w:val="Prrafodelista"/>
        <w:autoSpaceDE w:val="0"/>
        <w:autoSpaceDN w:val="0"/>
        <w:adjustRightInd w:val="0"/>
        <w:spacing w:line="240" w:lineRule="auto"/>
        <w:jc w:val="center"/>
        <w:rPr>
          <w:rFonts w:cstheme="minorHAnsi"/>
          <w:b/>
          <w:sz w:val="24"/>
          <w:szCs w:val="24"/>
        </w:rPr>
      </w:pPr>
      <w:r w:rsidRPr="0021764A">
        <w:rPr>
          <w:rFonts w:cstheme="minorHAnsi"/>
          <w:b/>
          <w:sz w:val="24"/>
          <w:szCs w:val="24"/>
        </w:rPr>
        <w:lastRenderedPageBreak/>
        <w:t>SITUACION LABORAL COMMUTADOS</w:t>
      </w:r>
    </w:p>
    <w:p w:rsidR="0081288F" w:rsidRDefault="0081288F" w:rsidP="0081288F">
      <w:pPr>
        <w:pStyle w:val="Prrafodelista"/>
        <w:autoSpaceDE w:val="0"/>
        <w:autoSpaceDN w:val="0"/>
        <w:adjustRightInd w:val="0"/>
        <w:spacing w:line="240" w:lineRule="auto"/>
        <w:rPr>
          <w:rFonts w:cstheme="minorHAnsi"/>
          <w:sz w:val="24"/>
          <w:szCs w:val="24"/>
        </w:rPr>
      </w:pPr>
    </w:p>
    <w:p w:rsidR="0081288F" w:rsidRPr="0081288F" w:rsidRDefault="0081288F" w:rsidP="0081288F">
      <w:pPr>
        <w:pStyle w:val="Prrafodelista"/>
        <w:numPr>
          <w:ilvl w:val="0"/>
          <w:numId w:val="7"/>
        </w:numPr>
        <w:autoSpaceDE w:val="0"/>
        <w:autoSpaceDN w:val="0"/>
        <w:adjustRightInd w:val="0"/>
        <w:spacing w:line="240" w:lineRule="auto"/>
        <w:rPr>
          <w:rFonts w:cstheme="minorHAnsi"/>
          <w:color w:val="545454"/>
          <w:sz w:val="24"/>
          <w:szCs w:val="24"/>
        </w:rPr>
      </w:pPr>
      <w:r w:rsidRPr="0081288F">
        <w:rPr>
          <w:rFonts w:cstheme="minorHAnsi"/>
          <w:color w:val="545454"/>
          <w:sz w:val="24"/>
          <w:szCs w:val="24"/>
        </w:rPr>
        <w:t xml:space="preserve">En el 2017, el total de trabajadores </w:t>
      </w:r>
      <w:proofErr w:type="spellStart"/>
      <w:r w:rsidRPr="0081288F">
        <w:rPr>
          <w:rFonts w:cstheme="minorHAnsi"/>
          <w:color w:val="545454"/>
          <w:sz w:val="24"/>
          <w:szCs w:val="24"/>
        </w:rPr>
        <w:t>conmutantes</w:t>
      </w:r>
      <w:proofErr w:type="spellEnd"/>
      <w:r w:rsidRPr="0081288F">
        <w:rPr>
          <w:rFonts w:cstheme="minorHAnsi"/>
          <w:color w:val="545454"/>
          <w:sz w:val="24"/>
          <w:szCs w:val="24"/>
        </w:rPr>
        <w:t xml:space="preserve"> en Antofagasta ascendió a aproximadamente 47.000 trabajadores, lo que representó cerca del 21% de la fuerza de trabajo de la región. Esta edición analiza la evolución de este fenómeno durante los últimos años, particularmente en el sector de la minería, el cual participó con el 41% de la conmutación de la región en el 2017. Así mismo, se identifican las regiones de donde provienen el mayor número de trabajadores </w:t>
      </w:r>
      <w:proofErr w:type="spellStart"/>
      <w:r w:rsidRPr="0081288F">
        <w:rPr>
          <w:rFonts w:cstheme="minorHAnsi"/>
          <w:color w:val="545454"/>
          <w:sz w:val="24"/>
          <w:szCs w:val="24"/>
        </w:rPr>
        <w:t>conmutantes</w:t>
      </w:r>
      <w:proofErr w:type="spellEnd"/>
      <w:r w:rsidRPr="0081288F">
        <w:rPr>
          <w:rFonts w:cstheme="minorHAnsi"/>
          <w:color w:val="545454"/>
          <w:sz w:val="24"/>
          <w:szCs w:val="24"/>
        </w:rPr>
        <w:t xml:space="preserve"> y las características educacionales de estos trabajadores.</w:t>
      </w:r>
    </w:p>
    <w:p w:rsidR="0081288F" w:rsidRDefault="0081288F" w:rsidP="0081288F">
      <w:pPr>
        <w:pStyle w:val="Prrafodelista"/>
        <w:numPr>
          <w:ilvl w:val="0"/>
          <w:numId w:val="7"/>
        </w:numPr>
        <w:autoSpaceDE w:val="0"/>
        <w:autoSpaceDN w:val="0"/>
        <w:adjustRightInd w:val="0"/>
        <w:spacing w:line="240" w:lineRule="auto"/>
        <w:rPr>
          <w:rFonts w:cstheme="minorHAnsi"/>
          <w:color w:val="545454"/>
          <w:sz w:val="24"/>
          <w:szCs w:val="24"/>
        </w:rPr>
      </w:pPr>
      <w:r w:rsidRPr="0081288F">
        <w:rPr>
          <w:rFonts w:cstheme="minorHAnsi"/>
          <w:color w:val="545454"/>
          <w:sz w:val="24"/>
          <w:szCs w:val="24"/>
        </w:rPr>
        <w:t xml:space="preserve">El número de trabajadores residentes ocupados en Antofagasta ha aumentado desde el año 2010 hasta el año 2017. En el primer trimestre del 2018, esta cifra alcanzó un total de 271.326 Trabajadores residentes en la región. Por otra parte, el número de trabajadores </w:t>
      </w:r>
      <w:proofErr w:type="spellStart"/>
      <w:r w:rsidRPr="0081288F">
        <w:rPr>
          <w:rFonts w:cstheme="minorHAnsi"/>
          <w:color w:val="545454"/>
          <w:sz w:val="24"/>
          <w:szCs w:val="24"/>
        </w:rPr>
        <w:t>conmutantes</w:t>
      </w:r>
      <w:proofErr w:type="spellEnd"/>
      <w:r w:rsidRPr="0081288F">
        <w:rPr>
          <w:rFonts w:cstheme="minorHAnsi"/>
          <w:color w:val="545454"/>
          <w:sz w:val="24"/>
          <w:szCs w:val="24"/>
        </w:rPr>
        <w:t xml:space="preserve"> ocupados aumentó entre el año 2010 hasta la primera mitad del 2014. A partir del segundo semestre del 2014 hasta el año 2017, la tendencia ha sido decreciente. En el primer trimestre del 2018, esta cifra alcanzó un total de 44.296 trabajadores </w:t>
      </w:r>
      <w:proofErr w:type="spellStart"/>
      <w:r w:rsidRPr="0081288F">
        <w:rPr>
          <w:rFonts w:cstheme="minorHAnsi"/>
          <w:color w:val="545454"/>
          <w:sz w:val="24"/>
          <w:szCs w:val="24"/>
        </w:rPr>
        <w:t>conmutantes</w:t>
      </w:r>
      <w:proofErr w:type="spellEnd"/>
      <w:r w:rsidRPr="0081288F">
        <w:rPr>
          <w:rFonts w:cstheme="minorHAnsi"/>
          <w:color w:val="545454"/>
          <w:sz w:val="24"/>
          <w:szCs w:val="24"/>
        </w:rPr>
        <w:t xml:space="preserve"> en la región.</w:t>
      </w:r>
    </w:p>
    <w:p w:rsidR="0021764A" w:rsidRDefault="00722A22" w:rsidP="0021764A">
      <w:pPr>
        <w:autoSpaceDE w:val="0"/>
        <w:autoSpaceDN w:val="0"/>
        <w:adjustRightInd w:val="0"/>
        <w:spacing w:line="240" w:lineRule="auto"/>
        <w:rPr>
          <w:rFonts w:cstheme="minorHAnsi"/>
          <w:color w:val="545454"/>
          <w:sz w:val="24"/>
          <w:szCs w:val="24"/>
        </w:rPr>
      </w:pPr>
      <w:r>
        <w:rPr>
          <w:rFonts w:cstheme="minorHAnsi"/>
          <w:noProof/>
          <w:color w:val="545454"/>
          <w:sz w:val="24"/>
          <w:szCs w:val="24"/>
          <w:lang w:eastAsia="es-CL"/>
        </w:rPr>
        <w:pict>
          <v:group id="_x0000_s1026" style="position:absolute;left:0;text-align:left;margin-left:119.85pt;margin-top:6.8pt;width:409.25pt;height:206.4pt;z-index:251658240;mso-position-horizontal-relative:page" coordorigin="9520,1209" coordsize="8185,4345">
            <v:line id="_x0000_s1027" style="position:absolute" from="9563,1382" to="9563,5379" strokecolor="#1a3585" strokeweight="1.5052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520;top:1208;width:180;height:180">
              <v:imagedata r:id="rId6" o:title=""/>
            </v:shape>
            <v:shape id="_x0000_s1029" type="#_x0000_t75" style="position:absolute;left:9520;top:5373;width:180;height:180">
              <v:imagedata r:id="rId7" o:title=""/>
            </v:shape>
            <v:line id="_x0000_s1030" style="position:absolute" from="9694,1251" to="17531,1251" strokecolor="#1a3585" strokeweight="1.50581mm"/>
            <v:shape id="_x0000_s1031" type="#_x0000_t75" style="position:absolute;left:17525;top:1208;width:180;height:180">
              <v:imagedata r:id="rId8" o:title=""/>
            </v:shape>
            <v:line id="_x0000_s1032" style="position:absolute" from="9694,5510" to="17531,5510" strokecolor="#1a3585" strokeweight="1.50581mm"/>
            <v:line id="_x0000_s1033" style="position:absolute" from="17662,1382" to="17662,5379" strokecolor="#1a3585" strokeweight="1.50522mm"/>
            <v:shape id="_x0000_s1034" type="#_x0000_t75" style="position:absolute;left:17525;top:5373;width:180;height:180">
              <v:imagedata r:id="rId9" o:title=""/>
            </v:shape>
            <v:shape id="_x0000_s1035" type="#_x0000_t75" style="position:absolute;left:9900;top:2773;width:1762;height:450">
              <v:imagedata r:id="rId10" o:title=""/>
            </v:shape>
            <v:shape id="_x0000_s1036" type="#_x0000_t75" style="position:absolute;left:12003;top:1765;width:5457;height:3513">
              <v:imagedata r:id="rId11" o:title=""/>
            </v:shape>
            <v:shapetype id="_x0000_t202" coordsize="21600,21600" o:spt="202" path="m,l,21600r21600,l21600,xe">
              <v:stroke joinstyle="miter"/>
              <v:path gradientshapeok="t" o:connecttype="rect"/>
            </v:shapetype>
            <v:shape id="_x0000_s1037" type="#_x0000_t202" style="position:absolute;left:9820;top:1546;width:1940;height:1010" filled="f" stroked="f">
              <v:textbox inset="0,0,0,0">
                <w:txbxContent>
                  <w:p w:rsidR="0021764A" w:rsidRDefault="0021764A" w:rsidP="0021764A">
                    <w:pPr>
                      <w:spacing w:before="28" w:line="244" w:lineRule="auto"/>
                      <w:ind w:left="-1" w:right="18"/>
                      <w:jc w:val="center"/>
                      <w:rPr>
                        <w:rFonts w:ascii="Arial Black" w:hAnsi="Arial Black"/>
                        <w:sz w:val="23"/>
                      </w:rPr>
                    </w:pPr>
                    <w:r>
                      <w:rPr>
                        <w:rFonts w:ascii="Arial Black" w:hAnsi="Arial Black"/>
                        <w:color w:val="535353"/>
                        <w:w w:val="75"/>
                        <w:sz w:val="23"/>
                      </w:rPr>
                      <w:t>¿De</w:t>
                    </w:r>
                    <w:r>
                      <w:rPr>
                        <w:rFonts w:ascii="Arial Black" w:hAnsi="Arial Black"/>
                        <w:color w:val="535353"/>
                        <w:spacing w:val="-32"/>
                        <w:w w:val="75"/>
                        <w:sz w:val="23"/>
                      </w:rPr>
                      <w:t xml:space="preserve"> </w:t>
                    </w:r>
                    <w:r>
                      <w:rPr>
                        <w:rFonts w:ascii="Arial Black" w:hAnsi="Arial Black"/>
                        <w:color w:val="535353"/>
                        <w:w w:val="75"/>
                        <w:sz w:val="23"/>
                      </w:rPr>
                      <w:t>dónde</w:t>
                    </w:r>
                    <w:r>
                      <w:rPr>
                        <w:rFonts w:ascii="Arial Black" w:hAnsi="Arial Black"/>
                        <w:color w:val="535353"/>
                        <w:spacing w:val="-32"/>
                        <w:w w:val="75"/>
                        <w:sz w:val="23"/>
                      </w:rPr>
                      <w:t xml:space="preserve"> </w:t>
                    </w:r>
                    <w:r>
                      <w:rPr>
                        <w:rFonts w:ascii="Arial Black" w:hAnsi="Arial Black"/>
                        <w:color w:val="535353"/>
                        <w:w w:val="75"/>
                        <w:sz w:val="23"/>
                      </w:rPr>
                      <w:t xml:space="preserve">provienen </w:t>
                    </w:r>
                    <w:r>
                      <w:rPr>
                        <w:rFonts w:ascii="Arial Black" w:hAnsi="Arial Black"/>
                        <w:color w:val="535353"/>
                        <w:w w:val="80"/>
                        <w:sz w:val="23"/>
                      </w:rPr>
                      <w:t xml:space="preserve">los trabajadores </w:t>
                    </w:r>
                    <w:proofErr w:type="spellStart"/>
                    <w:r>
                      <w:rPr>
                        <w:rFonts w:ascii="Arial Black" w:hAnsi="Arial Black"/>
                        <w:color w:val="535353"/>
                        <w:w w:val="85"/>
                        <w:sz w:val="23"/>
                      </w:rPr>
                      <w:t>conmutantes</w:t>
                    </w:r>
                    <w:proofErr w:type="spellEnd"/>
                    <w:r>
                      <w:rPr>
                        <w:rFonts w:ascii="Arial Black" w:hAnsi="Arial Black"/>
                        <w:color w:val="535353"/>
                        <w:w w:val="85"/>
                        <w:sz w:val="23"/>
                      </w:rPr>
                      <w:t>?</w:t>
                    </w:r>
                  </w:p>
                </w:txbxContent>
              </v:textbox>
            </v:shape>
            <v:shape id="_x0000_s1038" type="#_x0000_t202" style="position:absolute;left:12112;top:1348;width:5331;height:280" filled="f" stroked="f">
              <v:textbox inset="0,0,0,0">
                <w:txbxContent>
                  <w:p w:rsidR="0021764A" w:rsidRDefault="0021764A" w:rsidP="0021764A">
                    <w:pPr>
                      <w:spacing w:before="16" w:line="264" w:lineRule="exact"/>
                      <w:rPr>
                        <w:rFonts w:ascii="Arial Black" w:hAnsi="Arial Black"/>
                        <w:sz w:val="19"/>
                      </w:rPr>
                    </w:pPr>
                    <w:r>
                      <w:rPr>
                        <w:rFonts w:ascii="Arial Black" w:hAnsi="Arial Black"/>
                        <w:color w:val="535353"/>
                        <w:w w:val="70"/>
                        <w:sz w:val="19"/>
                      </w:rPr>
                      <w:t>Trabajadores</w:t>
                    </w:r>
                    <w:r>
                      <w:rPr>
                        <w:rFonts w:ascii="Arial Black" w:hAnsi="Arial Black"/>
                        <w:color w:val="535353"/>
                        <w:spacing w:val="-11"/>
                        <w:w w:val="70"/>
                        <w:sz w:val="19"/>
                      </w:rPr>
                      <w:t xml:space="preserve"> </w:t>
                    </w:r>
                    <w:proofErr w:type="spellStart"/>
                    <w:r>
                      <w:rPr>
                        <w:rFonts w:ascii="Arial Black" w:hAnsi="Arial Black"/>
                        <w:color w:val="535353"/>
                        <w:w w:val="70"/>
                        <w:sz w:val="19"/>
                      </w:rPr>
                      <w:t>conmutantes</w:t>
                    </w:r>
                    <w:proofErr w:type="spellEnd"/>
                    <w:r>
                      <w:rPr>
                        <w:rFonts w:ascii="Arial Black" w:hAnsi="Arial Black"/>
                        <w:color w:val="535353"/>
                        <w:spacing w:val="-11"/>
                        <w:w w:val="70"/>
                        <w:sz w:val="19"/>
                      </w:rPr>
                      <w:t xml:space="preserve"> </w:t>
                    </w:r>
                    <w:r>
                      <w:rPr>
                        <w:rFonts w:ascii="Arial Black" w:hAnsi="Arial Black"/>
                        <w:color w:val="535353"/>
                        <w:w w:val="70"/>
                        <w:sz w:val="19"/>
                      </w:rPr>
                      <w:t>de</w:t>
                    </w:r>
                    <w:r>
                      <w:rPr>
                        <w:rFonts w:ascii="Arial Black" w:hAnsi="Arial Black"/>
                        <w:color w:val="535353"/>
                        <w:spacing w:val="-11"/>
                        <w:w w:val="70"/>
                        <w:sz w:val="19"/>
                      </w:rPr>
                      <w:t xml:space="preserve"> </w:t>
                    </w:r>
                    <w:r>
                      <w:rPr>
                        <w:rFonts w:ascii="Arial Black" w:hAnsi="Arial Black"/>
                        <w:color w:val="535353"/>
                        <w:w w:val="70"/>
                        <w:sz w:val="19"/>
                      </w:rPr>
                      <w:t>la</w:t>
                    </w:r>
                    <w:r>
                      <w:rPr>
                        <w:rFonts w:ascii="Arial Black" w:hAnsi="Arial Black"/>
                        <w:color w:val="535353"/>
                        <w:spacing w:val="-11"/>
                        <w:w w:val="70"/>
                        <w:sz w:val="19"/>
                      </w:rPr>
                      <w:t xml:space="preserve"> </w:t>
                    </w:r>
                    <w:r>
                      <w:rPr>
                        <w:rFonts w:ascii="Arial Black" w:hAnsi="Arial Black"/>
                        <w:color w:val="535353"/>
                        <w:w w:val="70"/>
                        <w:sz w:val="19"/>
                      </w:rPr>
                      <w:t>región</w:t>
                    </w:r>
                    <w:r>
                      <w:rPr>
                        <w:rFonts w:ascii="Arial Black" w:hAnsi="Arial Black"/>
                        <w:color w:val="535353"/>
                        <w:spacing w:val="-11"/>
                        <w:w w:val="70"/>
                        <w:sz w:val="19"/>
                      </w:rPr>
                      <w:t xml:space="preserve"> </w:t>
                    </w:r>
                    <w:r>
                      <w:rPr>
                        <w:rFonts w:ascii="Arial Black" w:hAnsi="Arial Black"/>
                        <w:color w:val="535353"/>
                        <w:w w:val="70"/>
                        <w:sz w:val="19"/>
                      </w:rPr>
                      <w:t>por</w:t>
                    </w:r>
                    <w:r>
                      <w:rPr>
                        <w:rFonts w:ascii="Arial Black" w:hAnsi="Arial Black"/>
                        <w:color w:val="535353"/>
                        <w:spacing w:val="-11"/>
                        <w:w w:val="70"/>
                        <w:sz w:val="19"/>
                      </w:rPr>
                      <w:t xml:space="preserve"> </w:t>
                    </w:r>
                    <w:r>
                      <w:rPr>
                        <w:rFonts w:ascii="Arial Black" w:hAnsi="Arial Black"/>
                        <w:color w:val="535353"/>
                        <w:w w:val="70"/>
                        <w:sz w:val="19"/>
                      </w:rPr>
                      <w:t>ubicación</w:t>
                    </w:r>
                    <w:r>
                      <w:rPr>
                        <w:rFonts w:ascii="Arial Black" w:hAnsi="Arial Black"/>
                        <w:color w:val="535353"/>
                        <w:spacing w:val="-11"/>
                        <w:w w:val="70"/>
                        <w:sz w:val="19"/>
                      </w:rPr>
                      <w:t xml:space="preserve"> </w:t>
                    </w:r>
                    <w:r>
                      <w:rPr>
                        <w:rFonts w:ascii="Arial Black" w:hAnsi="Arial Black"/>
                        <w:color w:val="535353"/>
                        <w:w w:val="70"/>
                        <w:sz w:val="19"/>
                      </w:rPr>
                      <w:t>de</w:t>
                    </w:r>
                    <w:r>
                      <w:rPr>
                        <w:rFonts w:ascii="Arial Black" w:hAnsi="Arial Black"/>
                        <w:color w:val="535353"/>
                        <w:spacing w:val="-10"/>
                        <w:w w:val="70"/>
                        <w:sz w:val="19"/>
                      </w:rPr>
                      <w:t xml:space="preserve"> </w:t>
                    </w:r>
                    <w:r>
                      <w:rPr>
                        <w:rFonts w:ascii="Arial Black" w:hAnsi="Arial Black"/>
                        <w:color w:val="535353"/>
                        <w:w w:val="70"/>
                        <w:sz w:val="19"/>
                      </w:rPr>
                      <w:t>residencia,</w:t>
                    </w:r>
                    <w:r>
                      <w:rPr>
                        <w:rFonts w:ascii="Arial Black" w:hAnsi="Arial Black"/>
                        <w:color w:val="535353"/>
                        <w:spacing w:val="-11"/>
                        <w:w w:val="70"/>
                        <w:sz w:val="19"/>
                      </w:rPr>
                      <w:t xml:space="preserve"> </w:t>
                    </w:r>
                    <w:r>
                      <w:rPr>
                        <w:rFonts w:ascii="Arial Black" w:hAnsi="Arial Black"/>
                        <w:color w:val="535353"/>
                        <w:w w:val="70"/>
                        <w:sz w:val="19"/>
                      </w:rPr>
                      <w:t>2017</w:t>
                    </w:r>
                  </w:p>
                </w:txbxContent>
              </v:textbox>
            </v:shape>
            <v:shape id="_x0000_s1039" type="#_x0000_t202" style="position:absolute;left:9711;top:3457;width:2220;height:1231" filled="f" stroked="f">
              <v:textbox inset="0,0,0,0">
                <w:txbxContent>
                  <w:p w:rsidR="0021764A" w:rsidRDefault="0021764A" w:rsidP="0021764A">
                    <w:pPr>
                      <w:spacing w:line="211" w:lineRule="exact"/>
                      <w:ind w:left="251"/>
                      <w:rPr>
                        <w:b/>
                        <w:sz w:val="19"/>
                      </w:rPr>
                    </w:pPr>
                    <w:r>
                      <w:rPr>
                        <w:b/>
                        <w:color w:val="535353"/>
                        <w:sz w:val="19"/>
                      </w:rPr>
                      <w:t>Aproximadamente</w:t>
                    </w:r>
                  </w:p>
                  <w:p w:rsidR="0021764A" w:rsidRDefault="0021764A" w:rsidP="0021764A">
                    <w:pPr>
                      <w:spacing w:before="5" w:line="250" w:lineRule="atLeast"/>
                      <w:ind w:right="18"/>
                      <w:jc w:val="center"/>
                      <w:rPr>
                        <w:b/>
                        <w:sz w:val="19"/>
                      </w:rPr>
                    </w:pPr>
                    <w:r>
                      <w:rPr>
                        <w:b/>
                        <w:color w:val="535353"/>
                        <w:sz w:val="19"/>
                      </w:rPr>
                      <w:t>2 de cada 5</w:t>
                    </w:r>
                    <w:r>
                      <w:rPr>
                        <w:b/>
                        <w:color w:val="535353"/>
                        <w:spacing w:val="-34"/>
                        <w:sz w:val="19"/>
                      </w:rPr>
                      <w:t xml:space="preserve">     </w:t>
                    </w:r>
                    <w:r>
                      <w:rPr>
                        <w:b/>
                        <w:color w:val="535353"/>
                        <w:sz w:val="19"/>
                      </w:rPr>
                      <w:t xml:space="preserve">trabajadores </w:t>
                    </w:r>
                    <w:proofErr w:type="spellStart"/>
                    <w:r>
                      <w:rPr>
                        <w:b/>
                        <w:color w:val="535353"/>
                        <w:sz w:val="19"/>
                      </w:rPr>
                      <w:t>conmutantes</w:t>
                    </w:r>
                    <w:proofErr w:type="spellEnd"/>
                    <w:r>
                      <w:rPr>
                        <w:b/>
                        <w:color w:val="535353"/>
                        <w:sz w:val="19"/>
                      </w:rPr>
                      <w:t xml:space="preserve"> proviene de la región de Coquimbo.</w:t>
                    </w:r>
                  </w:p>
                </w:txbxContent>
              </v:textbox>
            </v:shape>
            <v:shape id="_x0000_s1040" type="#_x0000_t202" style="position:absolute;left:10434;top:5210;width:704;height:159" filled="f" stroked="f">
              <v:textbox inset="0,0,0,0">
                <w:txbxContent>
                  <w:p w:rsidR="0021764A" w:rsidRPr="006C6AF2" w:rsidRDefault="0021764A" w:rsidP="0021764A">
                    <w:pPr>
                      <w:spacing w:line="158" w:lineRule="exact"/>
                      <w:rPr>
                        <w:b/>
                        <w:sz w:val="14"/>
                      </w:rPr>
                    </w:pPr>
                    <w:r w:rsidRPr="006C6AF2">
                      <w:rPr>
                        <w:b/>
                        <w:color w:val="535353"/>
                        <w:sz w:val="14"/>
                      </w:rPr>
                      <w:t>ENE, 2017</w:t>
                    </w:r>
                  </w:p>
                </w:txbxContent>
              </v:textbox>
            </v:shape>
            <v:shape id="_x0000_s1041" type="#_x0000_t202" style="position:absolute;left:12090;top:5135;width:5528;height:354" filled="f" stroked="f">
              <v:textbox inset="0,0,0,0">
                <w:txbxContent>
                  <w:p w:rsidR="0021764A" w:rsidRPr="006C6AF2" w:rsidRDefault="0021764A" w:rsidP="0021764A">
                    <w:pPr>
                      <w:spacing w:line="158" w:lineRule="exact"/>
                      <w:rPr>
                        <w:b/>
                        <w:sz w:val="14"/>
                      </w:rPr>
                    </w:pPr>
                    <w:r w:rsidRPr="006C6AF2">
                      <w:rPr>
                        <w:b/>
                        <w:color w:val="535353"/>
                        <w:sz w:val="14"/>
                      </w:rPr>
                      <w:t>Fuente: Elaboración propia, ENE 2017. Solo se incluyen las regiones con coeficiente de</w:t>
                    </w:r>
                  </w:p>
                  <w:p w:rsidR="0021764A" w:rsidRPr="006C6AF2" w:rsidRDefault="0021764A" w:rsidP="0021764A">
                    <w:pPr>
                      <w:spacing w:before="34"/>
                      <w:rPr>
                        <w:b/>
                        <w:sz w:val="14"/>
                      </w:rPr>
                    </w:pPr>
                    <w:r w:rsidRPr="006C6AF2">
                      <w:rPr>
                        <w:b/>
                        <w:color w:val="535353"/>
                        <w:sz w:val="14"/>
                      </w:rPr>
                      <w:t>Variación menor a 25%.</w:t>
                    </w:r>
                  </w:p>
                </w:txbxContent>
              </v:textbox>
            </v:shape>
            <w10:wrap anchorx="page"/>
          </v:group>
        </w:pict>
      </w: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Pr="0021764A" w:rsidRDefault="00722A22" w:rsidP="0021764A">
      <w:pPr>
        <w:spacing w:before="80"/>
        <w:ind w:left="981"/>
        <w:rPr>
          <w:color w:val="535353"/>
          <w:sz w:val="24"/>
          <w:szCs w:val="24"/>
        </w:rPr>
      </w:pPr>
      <w:r w:rsidRPr="00722A22">
        <w:rPr>
          <w:sz w:val="24"/>
          <w:szCs w:val="24"/>
          <w:lang w:val="en-US"/>
        </w:rPr>
        <w:pict>
          <v:group id="_x0000_s1054" style="position:absolute;left:0;text-align:left;margin-left:278.2pt;margin-top:18.35pt;width:254.15pt;height:150.6pt;z-index:251661312;mso-position-horizontal-relative:page" coordorigin="3744,549" coordsize="4872,3012">
            <v:line id="_x0000_s1055" style="position:absolute" from="3772,663" to="3772,3446" strokecolor="#1a3585" strokeweight=".98603mm"/>
            <v:shape id="_x0000_s1056" type="#_x0000_t75" style="position:absolute;left:3744;top:548;width:118;height:118">
              <v:imagedata r:id="rId12" o:title=""/>
            </v:shape>
            <v:shape id="_x0000_s1057" type="#_x0000_t75" style="position:absolute;left:3744;top:3442;width:118;height:118">
              <v:imagedata r:id="rId13" o:title=""/>
            </v:shape>
            <v:line id="_x0000_s1058" style="position:absolute" from="3858,577" to="8502,577" strokecolor="#1a3585" strokeweight=".98739mm"/>
            <v:shape id="_x0000_s1059" type="#_x0000_t75" style="position:absolute;left:8498;top:548;width:118;height:118">
              <v:imagedata r:id="rId14" o:title=""/>
            </v:shape>
            <v:line id="_x0000_s1060" style="position:absolute" from="3858,3532" to="8502,3532" strokecolor="#1a3585" strokeweight=".98739mm"/>
            <v:line id="_x0000_s1061" style="position:absolute" from="8588,663" to="8588,3446" strokecolor="#1a3585" strokeweight=".98603mm"/>
            <v:shape id="_x0000_s1062" type="#_x0000_t75" style="position:absolute;left:8498;top:3442;width:118;height:118">
              <v:imagedata r:id="rId15" o:title=""/>
            </v:shape>
            <v:shape id="_x0000_s1063" type="#_x0000_t75" style="position:absolute;left:6072;top:2354;width:396;height:600">
              <v:imagedata r:id="rId16" o:title=""/>
            </v:shape>
            <v:shape id="_x0000_s1064" type="#_x0000_t202" style="position:absolute;left:3744;top:548;width:4872;height:3012" filled="f" stroked="f">
              <v:textbox inset="0,0,0,0">
                <w:txbxContent>
                  <w:p w:rsidR="0021764A" w:rsidRDefault="0021764A" w:rsidP="0021764A">
                    <w:pPr>
                      <w:spacing w:before="6"/>
                      <w:rPr>
                        <w:b/>
                        <w:sz w:val="25"/>
                      </w:rPr>
                    </w:pPr>
                  </w:p>
                  <w:p w:rsidR="0021764A" w:rsidRDefault="0021764A" w:rsidP="0021764A">
                    <w:pPr>
                      <w:tabs>
                        <w:tab w:val="left" w:pos="2908"/>
                        <w:tab w:val="left" w:pos="3008"/>
                      </w:tabs>
                      <w:spacing w:line="230" w:lineRule="auto"/>
                      <w:ind w:left="479" w:right="176" w:hanging="328"/>
                      <w:rPr>
                        <w:rFonts w:ascii="Arial Black" w:hAnsi="Arial Black"/>
                        <w:sz w:val="21"/>
                      </w:rPr>
                    </w:pPr>
                    <w:r>
                      <w:rPr>
                        <w:rFonts w:ascii="Arial Black" w:hAnsi="Arial Black"/>
                        <w:color w:val="535353"/>
                        <w:w w:val="75"/>
                        <w:sz w:val="21"/>
                      </w:rPr>
                      <w:t>Para</w:t>
                    </w:r>
                    <w:r>
                      <w:rPr>
                        <w:rFonts w:ascii="Arial Black" w:hAnsi="Arial Black"/>
                        <w:color w:val="535353"/>
                        <w:spacing w:val="-20"/>
                        <w:w w:val="75"/>
                        <w:sz w:val="21"/>
                      </w:rPr>
                      <w:t xml:space="preserve"> </w:t>
                    </w:r>
                    <w:r>
                      <w:rPr>
                        <w:rFonts w:ascii="Arial Black" w:hAnsi="Arial Black"/>
                        <w:color w:val="535353"/>
                        <w:w w:val="75"/>
                        <w:sz w:val="21"/>
                      </w:rPr>
                      <w:t>el</w:t>
                    </w:r>
                    <w:r>
                      <w:rPr>
                        <w:rFonts w:ascii="Arial Black" w:hAnsi="Arial Black"/>
                        <w:color w:val="535353"/>
                        <w:spacing w:val="-20"/>
                        <w:w w:val="75"/>
                        <w:sz w:val="21"/>
                      </w:rPr>
                      <w:t xml:space="preserve"> </w:t>
                    </w:r>
                    <w:r>
                      <w:rPr>
                        <w:rFonts w:ascii="Arial Black" w:hAnsi="Arial Black"/>
                        <w:color w:val="535353"/>
                        <w:w w:val="75"/>
                        <w:sz w:val="21"/>
                      </w:rPr>
                      <w:t>primer</w:t>
                    </w:r>
                    <w:r>
                      <w:rPr>
                        <w:rFonts w:ascii="Arial Black" w:hAnsi="Arial Black"/>
                        <w:color w:val="535353"/>
                        <w:spacing w:val="-20"/>
                        <w:w w:val="75"/>
                        <w:sz w:val="21"/>
                      </w:rPr>
                      <w:t xml:space="preserve"> </w:t>
                    </w:r>
                    <w:r>
                      <w:rPr>
                        <w:rFonts w:ascii="Arial Black" w:hAnsi="Arial Black"/>
                        <w:color w:val="535353"/>
                        <w:w w:val="75"/>
                        <w:sz w:val="21"/>
                      </w:rPr>
                      <w:t>trimestre</w:t>
                    </w:r>
                    <w:r>
                      <w:rPr>
                        <w:rFonts w:ascii="Arial Black" w:hAnsi="Arial Black"/>
                        <w:color w:val="535353"/>
                        <w:spacing w:val="-19"/>
                        <w:w w:val="75"/>
                        <w:sz w:val="21"/>
                      </w:rPr>
                      <w:t xml:space="preserve"> </w:t>
                    </w:r>
                    <w:r>
                      <w:rPr>
                        <w:rFonts w:ascii="Arial Black" w:hAnsi="Arial Black"/>
                        <w:color w:val="535353"/>
                        <w:w w:val="75"/>
                        <w:sz w:val="21"/>
                      </w:rPr>
                      <w:t>del</w:t>
                    </w:r>
                    <w:r>
                      <w:rPr>
                        <w:rFonts w:ascii="Arial Black" w:hAnsi="Arial Black"/>
                        <w:color w:val="535353"/>
                        <w:w w:val="75"/>
                        <w:sz w:val="21"/>
                      </w:rPr>
                      <w:tab/>
                    </w:r>
                    <w:r>
                      <w:rPr>
                        <w:rFonts w:ascii="Arial Black" w:hAnsi="Arial Black"/>
                        <w:color w:val="535353"/>
                        <w:w w:val="75"/>
                        <w:sz w:val="21"/>
                      </w:rPr>
                      <w:tab/>
                      <w:t>Durante ese mismo 2018*,</w:t>
                    </w:r>
                    <w:r>
                      <w:rPr>
                        <w:rFonts w:ascii="Arial Black" w:hAnsi="Arial Black"/>
                        <w:color w:val="535353"/>
                        <w:spacing w:val="-23"/>
                        <w:w w:val="75"/>
                        <w:sz w:val="21"/>
                      </w:rPr>
                      <w:t xml:space="preserve"> </w:t>
                    </w:r>
                    <w:r>
                      <w:rPr>
                        <w:rFonts w:ascii="Arial Black" w:hAnsi="Arial Black"/>
                        <w:color w:val="535353"/>
                        <w:w w:val="75"/>
                        <w:sz w:val="21"/>
                      </w:rPr>
                      <w:t>el</w:t>
                    </w:r>
                    <w:r>
                      <w:rPr>
                        <w:rFonts w:ascii="Arial Black" w:hAnsi="Arial Black"/>
                        <w:color w:val="535353"/>
                        <w:spacing w:val="-23"/>
                        <w:w w:val="75"/>
                        <w:sz w:val="21"/>
                      </w:rPr>
                      <w:t xml:space="preserve"> </w:t>
                    </w:r>
                    <w:r>
                      <w:rPr>
                        <w:rFonts w:ascii="Arial Black" w:hAnsi="Arial Black"/>
                        <w:color w:val="535353"/>
                        <w:w w:val="75"/>
                        <w:sz w:val="21"/>
                      </w:rPr>
                      <w:t>número</w:t>
                    </w:r>
                    <w:r>
                      <w:rPr>
                        <w:rFonts w:ascii="Arial Black" w:hAnsi="Arial Black"/>
                        <w:color w:val="535353"/>
                        <w:spacing w:val="-23"/>
                        <w:w w:val="75"/>
                        <w:sz w:val="21"/>
                      </w:rPr>
                      <w:t xml:space="preserve"> </w:t>
                    </w:r>
                    <w:r>
                      <w:rPr>
                        <w:rFonts w:ascii="Arial Black" w:hAnsi="Arial Black"/>
                        <w:color w:val="535353"/>
                        <w:w w:val="75"/>
                        <w:sz w:val="21"/>
                      </w:rPr>
                      <w:t>de</w:t>
                    </w:r>
                    <w:r>
                      <w:rPr>
                        <w:rFonts w:ascii="Arial Black" w:hAnsi="Arial Black"/>
                        <w:color w:val="535353"/>
                        <w:w w:val="75"/>
                        <w:sz w:val="21"/>
                      </w:rPr>
                      <w:tab/>
                      <w:t>periodo,</w:t>
                    </w:r>
                    <w:r>
                      <w:rPr>
                        <w:rFonts w:ascii="Arial Black" w:hAnsi="Arial Black"/>
                        <w:color w:val="535353"/>
                        <w:spacing w:val="-31"/>
                        <w:w w:val="75"/>
                        <w:sz w:val="21"/>
                      </w:rPr>
                      <w:t xml:space="preserve"> </w:t>
                    </w:r>
                    <w:r>
                      <w:rPr>
                        <w:rFonts w:ascii="Arial Black" w:hAnsi="Arial Black"/>
                        <w:color w:val="535353"/>
                        <w:w w:val="75"/>
                        <w:sz w:val="21"/>
                      </w:rPr>
                      <w:t>el</w:t>
                    </w:r>
                    <w:r>
                      <w:rPr>
                        <w:rFonts w:ascii="Arial Black" w:hAnsi="Arial Black"/>
                        <w:color w:val="535353"/>
                        <w:spacing w:val="-31"/>
                        <w:w w:val="75"/>
                        <w:sz w:val="21"/>
                      </w:rPr>
                      <w:t xml:space="preserve"> </w:t>
                    </w:r>
                    <w:r>
                      <w:rPr>
                        <w:rFonts w:ascii="Arial Black" w:hAnsi="Arial Black"/>
                        <w:color w:val="535353"/>
                        <w:w w:val="75"/>
                        <w:sz w:val="21"/>
                      </w:rPr>
                      <w:t>número</w:t>
                    </w:r>
                    <w:r>
                      <w:rPr>
                        <w:rFonts w:ascii="Arial Black" w:hAnsi="Arial Black"/>
                        <w:color w:val="535353"/>
                        <w:spacing w:val="-31"/>
                        <w:w w:val="75"/>
                        <w:sz w:val="21"/>
                      </w:rPr>
                      <w:t xml:space="preserve"> </w:t>
                    </w:r>
                    <w:r>
                      <w:rPr>
                        <w:rFonts w:ascii="Arial Black" w:hAnsi="Arial Black"/>
                        <w:color w:val="535353"/>
                        <w:w w:val="75"/>
                        <w:sz w:val="21"/>
                      </w:rPr>
                      <w:t>de</w:t>
                    </w:r>
                  </w:p>
                  <w:p w:rsidR="0021764A" w:rsidRDefault="006C6AF2" w:rsidP="0021764A">
                    <w:pPr>
                      <w:tabs>
                        <w:tab w:val="left" w:pos="2805"/>
                        <w:tab w:val="left" w:pos="2873"/>
                        <w:tab w:val="left" w:pos="3391"/>
                      </w:tabs>
                      <w:spacing w:before="1" w:line="230" w:lineRule="auto"/>
                      <w:ind w:left="359" w:right="73" w:hanging="160"/>
                      <w:rPr>
                        <w:rFonts w:ascii="Arial Black" w:hAnsi="Arial Black"/>
                        <w:sz w:val="21"/>
                      </w:rPr>
                    </w:pPr>
                    <w:r>
                      <w:rPr>
                        <w:rFonts w:ascii="Arial Black" w:hAnsi="Arial Black"/>
                        <w:color w:val="535353"/>
                        <w:w w:val="75"/>
                        <w:sz w:val="21"/>
                      </w:rPr>
                      <w:t>Trabajadores</w:t>
                    </w:r>
                    <w:r w:rsidR="0021764A">
                      <w:rPr>
                        <w:rFonts w:ascii="Arial Black" w:hAnsi="Arial Black"/>
                        <w:color w:val="535353"/>
                        <w:spacing w:val="-31"/>
                        <w:w w:val="75"/>
                        <w:sz w:val="21"/>
                      </w:rPr>
                      <w:t xml:space="preserve"> </w:t>
                    </w:r>
                    <w:proofErr w:type="spellStart"/>
                    <w:r w:rsidR="0021764A">
                      <w:rPr>
                        <w:rFonts w:ascii="Arial Black" w:hAnsi="Arial Black"/>
                        <w:color w:val="535353"/>
                        <w:w w:val="75"/>
                        <w:sz w:val="21"/>
                      </w:rPr>
                      <w:t>conmutantes</w:t>
                    </w:r>
                    <w:proofErr w:type="spellEnd"/>
                    <w:r w:rsidR="0021764A">
                      <w:rPr>
                        <w:rFonts w:ascii="Arial Black" w:hAnsi="Arial Black"/>
                        <w:color w:val="535353"/>
                        <w:w w:val="75"/>
                        <w:sz w:val="21"/>
                      </w:rPr>
                      <w:tab/>
                    </w:r>
                    <w:r w:rsidR="0021764A">
                      <w:rPr>
                        <w:rFonts w:ascii="Arial Black" w:hAnsi="Arial Black"/>
                        <w:color w:val="535353"/>
                        <w:w w:val="70"/>
                        <w:sz w:val="21"/>
                      </w:rPr>
                      <w:t xml:space="preserve">trabajadores residentes </w:t>
                    </w:r>
                    <w:r w:rsidR="0021764A">
                      <w:rPr>
                        <w:rFonts w:ascii="Arial Black" w:hAnsi="Arial Black"/>
                        <w:color w:val="535353"/>
                        <w:w w:val="80"/>
                        <w:sz w:val="21"/>
                      </w:rPr>
                      <w:t>del</w:t>
                    </w:r>
                    <w:r w:rsidR="0021764A">
                      <w:rPr>
                        <w:rFonts w:ascii="Arial Black" w:hAnsi="Arial Black"/>
                        <w:color w:val="535353"/>
                        <w:spacing w:val="-42"/>
                        <w:w w:val="80"/>
                        <w:sz w:val="21"/>
                      </w:rPr>
                      <w:t xml:space="preserve"> </w:t>
                    </w:r>
                    <w:r w:rsidR="0021764A">
                      <w:rPr>
                        <w:rFonts w:ascii="Arial Black" w:hAnsi="Arial Black"/>
                        <w:color w:val="535353"/>
                        <w:w w:val="80"/>
                        <w:sz w:val="21"/>
                      </w:rPr>
                      <w:t>sector</w:t>
                    </w:r>
                    <w:r w:rsidR="0021764A">
                      <w:rPr>
                        <w:rFonts w:ascii="Arial Black" w:hAnsi="Arial Black"/>
                        <w:color w:val="535353"/>
                        <w:spacing w:val="-41"/>
                        <w:w w:val="80"/>
                        <w:sz w:val="21"/>
                      </w:rPr>
                      <w:t xml:space="preserve"> </w:t>
                    </w:r>
                    <w:r w:rsidR="0021764A">
                      <w:rPr>
                        <w:rFonts w:ascii="Arial Black" w:hAnsi="Arial Black"/>
                        <w:color w:val="535353"/>
                        <w:w w:val="80"/>
                        <w:sz w:val="21"/>
                      </w:rPr>
                      <w:t>minero</w:t>
                    </w:r>
                    <w:r w:rsidR="0021764A">
                      <w:rPr>
                        <w:rFonts w:ascii="Arial Black" w:hAnsi="Arial Black"/>
                        <w:color w:val="535353"/>
                        <w:spacing w:val="-41"/>
                        <w:w w:val="80"/>
                        <w:sz w:val="21"/>
                      </w:rPr>
                      <w:t xml:space="preserve"> </w:t>
                    </w:r>
                    <w:r w:rsidR="0021764A">
                      <w:rPr>
                        <w:rFonts w:ascii="Arial Black" w:hAnsi="Arial Black"/>
                        <w:color w:val="535353"/>
                        <w:w w:val="80"/>
                        <w:sz w:val="21"/>
                      </w:rPr>
                      <w:t>en</w:t>
                    </w:r>
                    <w:r w:rsidR="0021764A">
                      <w:rPr>
                        <w:rFonts w:ascii="Arial Black" w:hAnsi="Arial Black"/>
                        <w:color w:val="535353"/>
                        <w:spacing w:val="-41"/>
                        <w:w w:val="80"/>
                        <w:sz w:val="21"/>
                      </w:rPr>
                      <w:t xml:space="preserve"> </w:t>
                    </w:r>
                    <w:r w:rsidR="0021764A">
                      <w:rPr>
                        <w:rFonts w:ascii="Arial Black" w:hAnsi="Arial Black"/>
                        <w:color w:val="535353"/>
                        <w:w w:val="80"/>
                        <w:sz w:val="21"/>
                      </w:rPr>
                      <w:t>la</w:t>
                    </w:r>
                    <w:r w:rsidR="0021764A">
                      <w:rPr>
                        <w:rFonts w:ascii="Arial Black" w:hAnsi="Arial Black"/>
                        <w:color w:val="535353"/>
                        <w:w w:val="80"/>
                        <w:sz w:val="21"/>
                      </w:rPr>
                      <w:tab/>
                    </w:r>
                    <w:r w:rsidR="0021764A">
                      <w:rPr>
                        <w:rFonts w:ascii="Arial Black" w:hAnsi="Arial Black"/>
                        <w:color w:val="535353"/>
                        <w:w w:val="80"/>
                        <w:sz w:val="21"/>
                      </w:rPr>
                      <w:tab/>
                      <w:t xml:space="preserve">del sector </w:t>
                    </w:r>
                    <w:r w:rsidR="0021764A">
                      <w:rPr>
                        <w:rFonts w:ascii="Arial Black" w:hAnsi="Arial Black"/>
                        <w:color w:val="535353"/>
                        <w:w w:val="75"/>
                        <w:sz w:val="21"/>
                      </w:rPr>
                      <w:t>región,</w:t>
                    </w:r>
                    <w:r w:rsidR="0021764A">
                      <w:rPr>
                        <w:rFonts w:ascii="Arial Black" w:hAnsi="Arial Black"/>
                        <w:color w:val="535353"/>
                        <w:spacing w:val="-24"/>
                        <w:w w:val="75"/>
                        <w:sz w:val="21"/>
                      </w:rPr>
                      <w:t xml:space="preserve"> </w:t>
                    </w:r>
                    <w:r>
                      <w:rPr>
                        <w:rFonts w:ascii="Arial Black" w:hAnsi="Arial Black"/>
                        <w:color w:val="CC0000"/>
                        <w:w w:val="75"/>
                        <w:sz w:val="21"/>
                      </w:rPr>
                      <w:t>disminuyó</w:t>
                    </w:r>
                    <w:r w:rsidR="0021764A">
                      <w:rPr>
                        <w:rFonts w:ascii="Arial Black" w:hAnsi="Arial Black"/>
                        <w:color w:val="CC0000"/>
                        <w:spacing w:val="-23"/>
                        <w:w w:val="75"/>
                        <w:sz w:val="21"/>
                      </w:rPr>
                      <w:t xml:space="preserve"> </w:t>
                    </w:r>
                    <w:r w:rsidR="0021764A">
                      <w:rPr>
                        <w:rFonts w:ascii="Arial Black" w:hAnsi="Arial Black"/>
                        <w:color w:val="535353"/>
                        <w:w w:val="75"/>
                        <w:sz w:val="21"/>
                      </w:rPr>
                      <w:t>en</w:t>
                    </w:r>
                    <w:r w:rsidR="0021764A">
                      <w:rPr>
                        <w:rFonts w:ascii="Arial Black" w:hAnsi="Arial Black"/>
                        <w:color w:val="535353"/>
                        <w:w w:val="75"/>
                        <w:sz w:val="21"/>
                      </w:rPr>
                      <w:tab/>
                    </w:r>
                    <w:r w:rsidR="0021764A">
                      <w:rPr>
                        <w:rFonts w:ascii="Arial Black" w:hAnsi="Arial Black"/>
                        <w:color w:val="535353"/>
                        <w:w w:val="75"/>
                        <w:sz w:val="21"/>
                      </w:rPr>
                      <w:tab/>
                    </w:r>
                    <w:r w:rsidR="0021764A">
                      <w:rPr>
                        <w:rFonts w:ascii="Arial Black" w:hAnsi="Arial Black"/>
                        <w:color w:val="535353"/>
                        <w:w w:val="80"/>
                        <w:sz w:val="21"/>
                      </w:rPr>
                      <w:t>minero</w:t>
                    </w:r>
                    <w:r w:rsidR="0021764A">
                      <w:rPr>
                        <w:rFonts w:ascii="Arial Black" w:hAnsi="Arial Black"/>
                        <w:color w:val="535353"/>
                        <w:spacing w:val="-31"/>
                        <w:w w:val="80"/>
                        <w:sz w:val="21"/>
                      </w:rPr>
                      <w:t xml:space="preserve"> </w:t>
                    </w:r>
                    <w:r w:rsidR="0021764A">
                      <w:rPr>
                        <w:rFonts w:ascii="Arial Black" w:hAnsi="Arial Black"/>
                        <w:color w:val="CC0000"/>
                        <w:w w:val="80"/>
                        <w:sz w:val="21"/>
                      </w:rPr>
                      <w:t>aumentó</w:t>
                    </w:r>
                    <w:r w:rsidR="0021764A">
                      <w:rPr>
                        <w:rFonts w:ascii="Arial Black" w:hAnsi="Arial Black"/>
                        <w:color w:val="CC0000"/>
                        <w:spacing w:val="-30"/>
                        <w:w w:val="80"/>
                        <w:sz w:val="21"/>
                      </w:rPr>
                      <w:t xml:space="preserve"> </w:t>
                    </w:r>
                    <w:r w:rsidR="0021764A">
                      <w:rPr>
                        <w:rFonts w:ascii="Arial Black" w:hAnsi="Arial Black"/>
                        <w:color w:val="535353"/>
                        <w:w w:val="80"/>
                        <w:sz w:val="21"/>
                      </w:rPr>
                      <w:t>en</w:t>
                    </w:r>
                  </w:p>
                  <w:p w:rsidR="0021764A" w:rsidRDefault="0021764A" w:rsidP="0021764A">
                    <w:pPr>
                      <w:tabs>
                        <w:tab w:val="left" w:pos="3368"/>
                      </w:tabs>
                      <w:spacing w:before="35"/>
                      <w:ind w:left="794"/>
                      <w:rPr>
                        <w:rFonts w:ascii="Arial Black"/>
                        <w:sz w:val="49"/>
                      </w:rPr>
                    </w:pPr>
                    <w:r>
                      <w:rPr>
                        <w:rFonts w:ascii="Arial Black"/>
                        <w:color w:val="535353"/>
                        <w:spacing w:val="-1"/>
                        <w:w w:val="47"/>
                        <w:position w:val="1"/>
                        <w:sz w:val="49"/>
                      </w:rPr>
                      <w:t>1</w:t>
                    </w:r>
                    <w:r>
                      <w:rPr>
                        <w:rFonts w:ascii="Arial Black"/>
                        <w:color w:val="535353"/>
                        <w:spacing w:val="-1"/>
                        <w:w w:val="75"/>
                        <w:position w:val="1"/>
                        <w:sz w:val="49"/>
                      </w:rPr>
                      <w:t>3</w:t>
                    </w:r>
                    <w:r>
                      <w:rPr>
                        <w:rFonts w:ascii="Arial Black"/>
                        <w:color w:val="535353"/>
                        <w:w w:val="98"/>
                        <w:position w:val="1"/>
                        <w:sz w:val="49"/>
                      </w:rPr>
                      <w:t>%</w:t>
                    </w:r>
                    <w:r>
                      <w:rPr>
                        <w:rFonts w:ascii="Arial Black"/>
                        <w:color w:val="535353"/>
                        <w:position w:val="1"/>
                        <w:sz w:val="49"/>
                      </w:rPr>
                      <w:tab/>
                    </w:r>
                    <w:r>
                      <w:rPr>
                        <w:rFonts w:ascii="Arial Black"/>
                        <w:color w:val="535353"/>
                        <w:spacing w:val="-1"/>
                        <w:w w:val="47"/>
                        <w:sz w:val="49"/>
                      </w:rPr>
                      <w:t>1</w:t>
                    </w:r>
                    <w:r>
                      <w:rPr>
                        <w:rFonts w:ascii="Arial Black"/>
                        <w:color w:val="535353"/>
                        <w:spacing w:val="-1"/>
                        <w:w w:val="80"/>
                        <w:sz w:val="49"/>
                      </w:rPr>
                      <w:t>9</w:t>
                    </w:r>
                    <w:r>
                      <w:rPr>
                        <w:rFonts w:ascii="Arial Black"/>
                        <w:color w:val="535353"/>
                        <w:w w:val="98"/>
                        <w:sz w:val="49"/>
                      </w:rPr>
                      <w:t>%</w:t>
                    </w:r>
                  </w:p>
                  <w:p w:rsidR="0021764A" w:rsidRDefault="0021764A" w:rsidP="0021764A">
                    <w:pPr>
                      <w:spacing w:before="107" w:line="290" w:lineRule="auto"/>
                      <w:ind w:left="258" w:right="1219" w:hanging="79"/>
                      <w:rPr>
                        <w:sz w:val="14"/>
                      </w:rPr>
                    </w:pPr>
                    <w:r>
                      <w:rPr>
                        <w:color w:val="535353"/>
                        <w:sz w:val="14"/>
                      </w:rPr>
                      <w:t>*Comparativa con el primer trimestre del año 2017. ENE, 2017-2018</w:t>
                    </w:r>
                  </w:p>
                </w:txbxContent>
              </v:textbox>
            </v:shape>
            <w10:wrap anchorx="page"/>
          </v:group>
        </w:pict>
      </w:r>
      <w:r w:rsidRPr="00722A22">
        <w:rPr>
          <w:sz w:val="24"/>
          <w:szCs w:val="24"/>
          <w:lang w:val="en-US"/>
        </w:rPr>
        <w:pict>
          <v:group id="_x0000_s1042" style="position:absolute;left:0;text-align:left;margin-left:110.4pt;margin-top:19.75pt;width:157.35pt;height:150.6pt;z-index:251660288;mso-position-horizontal-relative:page" coordorigin="467,541" coordsize="3147,3012">
            <v:line id="_x0000_s1043" style="position:absolute" from="495,655" to="495,3440" strokecolor="#c00" strokeweight=".98361mm"/>
            <v:shape id="_x0000_s1044" type="#_x0000_t75" style="position:absolute;left:466;top:541;width:118;height:117">
              <v:imagedata r:id="rId17" o:title=""/>
            </v:shape>
            <v:shape id="_x0000_s1045" type="#_x0000_t75" style="position:absolute;left:466;top:3435;width:118;height:117">
              <v:imagedata r:id="rId18" o:title=""/>
            </v:shape>
            <v:line id="_x0000_s1046" style="position:absolute" from="580,569" to="3500,569" strokecolor="#c00" strokeweight=".98142mm"/>
            <v:shape id="_x0000_s1047" type="#_x0000_t75" style="position:absolute;left:3496;top:541;width:118;height:117">
              <v:imagedata r:id="rId19" o:title=""/>
            </v:shape>
            <v:line id="_x0000_s1048" style="position:absolute" from="580,3525" to="3500,3525" strokecolor="#c00" strokeweight=".98142mm"/>
            <v:line id="_x0000_s1049" style="position:absolute" from="3585,655" to="3585,3440" strokecolor="#c00" strokeweight=".98361mm"/>
            <v:shape id="_x0000_s1050" type="#_x0000_t75" style="position:absolute;left:3496;top:3435;width:118;height:117">
              <v:imagedata r:id="rId20" o:title=""/>
            </v:shape>
            <v:shape id="_x0000_s1051" type="#_x0000_t75" style="position:absolute;left:832;top:742;width:795;height:750">
              <v:imagedata r:id="rId21" o:title=""/>
            </v:shape>
            <v:shape id="_x0000_s1052" style="position:absolute;left:2204;top:809;width:676;height:585" coordorigin="2204,810" coordsize="676,585" o:spt="100" adj="0,,0" path="m2872,1123r-659,l2209,1119r-5,-8l2205,1104,2333,923r,-107l2340,810r63,l2410,816r,53l2719,869r4,2l2876,1078r4,5l2880,1115r-8,8xm2863,1395r-650,l2207,1388r,-7l2208,1380r,-1l2211,1366r8,-10l2229,1348r10,-6l2239,1123r615,l2854,1145r-478,l2371,1150r,107l2376,1262r268,l2644,1335r5,5l2854,1340r,5l2859,1347r14,15l2869,1379r,2l2869,1389r-6,6xm2458,1262r-26,l2437,1257r,-107l2432,1145r26,l2453,1150r,107l2458,1262xm2644,1262r-130,l2519,1257r,-107l2514,1145r340,l2854,1150r-162,l2674,1153r-16,11l2648,1179r-4,18l2644,1262xm2696,1150r-1,l2693,1150r5,l2697,1150r-1,xm2854,1340r-112,l2747,1335r,-138l2743,1179r-10,-15l2718,1153r-19,-3l2854,1150r,190xm2698,1340r-5,l2696,1339r2,1xe" fillcolor="#ff7400" stroked="f">
              <v:stroke joinstyle="round"/>
              <v:formulas/>
              <v:path arrowok="t" o:connecttype="segments"/>
            </v:shape>
            <v:shape id="_x0000_s1053" type="#_x0000_t202" style="position:absolute;left:466;top:541;width:3147;height:3012" filled="f" stroked="f">
              <v:textbox inset="0,0,0,0">
                <w:txbxContent>
                  <w:p w:rsidR="0021764A" w:rsidRDefault="0021764A" w:rsidP="0021764A">
                    <w:pPr>
                      <w:rPr>
                        <w:b/>
                        <w:sz w:val="30"/>
                      </w:rPr>
                    </w:pPr>
                  </w:p>
                  <w:p w:rsidR="0021764A" w:rsidRDefault="0021764A" w:rsidP="0021764A">
                    <w:pPr>
                      <w:rPr>
                        <w:b/>
                        <w:sz w:val="30"/>
                      </w:rPr>
                    </w:pPr>
                  </w:p>
                  <w:p w:rsidR="0021764A" w:rsidRDefault="0021764A" w:rsidP="0021764A">
                    <w:pPr>
                      <w:spacing w:line="230" w:lineRule="auto"/>
                      <w:ind w:right="387"/>
                      <w:jc w:val="center"/>
                      <w:rPr>
                        <w:rFonts w:ascii="Arial Black" w:hAnsi="Arial Black"/>
                        <w:sz w:val="21"/>
                      </w:rPr>
                    </w:pPr>
                    <w:r>
                      <w:rPr>
                        <w:rFonts w:ascii="Arial Black" w:hAnsi="Arial Black"/>
                        <w:color w:val="535353"/>
                        <w:w w:val="75"/>
                        <w:sz w:val="21"/>
                      </w:rPr>
                      <w:t xml:space="preserve">       Los sectores de la Minería y C</w:t>
                    </w:r>
                    <w:r>
                      <w:rPr>
                        <w:rFonts w:ascii="Arial Black" w:hAnsi="Arial Black"/>
                        <w:color w:val="535353"/>
                        <w:w w:val="70"/>
                        <w:sz w:val="21"/>
                      </w:rPr>
                      <w:t xml:space="preserve">onstrucción concentran más </w:t>
                    </w:r>
                    <w:r>
                      <w:rPr>
                        <w:rFonts w:ascii="Arial Black" w:hAnsi="Arial Black"/>
                        <w:color w:val="535353"/>
                        <w:w w:val="80"/>
                        <w:sz w:val="21"/>
                      </w:rPr>
                      <w:t xml:space="preserve">del 60% del total </w:t>
                    </w:r>
                    <w:r>
                      <w:rPr>
                        <w:rFonts w:ascii="Arial Black" w:hAnsi="Arial Black"/>
                        <w:color w:val="535353"/>
                        <w:w w:val="70"/>
                        <w:sz w:val="21"/>
                      </w:rPr>
                      <w:t xml:space="preserve">de trabajadores </w:t>
                    </w:r>
                    <w:proofErr w:type="spellStart"/>
                    <w:r>
                      <w:rPr>
                        <w:rFonts w:ascii="Arial Black" w:hAnsi="Arial Black"/>
                        <w:color w:val="535353"/>
                        <w:w w:val="70"/>
                        <w:sz w:val="21"/>
                      </w:rPr>
                      <w:t>conmutantes</w:t>
                    </w:r>
                    <w:proofErr w:type="spellEnd"/>
                    <w:r>
                      <w:rPr>
                        <w:rFonts w:ascii="Arial Black" w:hAnsi="Arial Black"/>
                        <w:color w:val="535353"/>
                        <w:w w:val="70"/>
                        <w:sz w:val="21"/>
                      </w:rPr>
                      <w:t xml:space="preserve"> en </w:t>
                    </w:r>
                    <w:r>
                      <w:rPr>
                        <w:rFonts w:ascii="Arial Black" w:hAnsi="Arial Black"/>
                        <w:color w:val="535353"/>
                        <w:w w:val="80"/>
                        <w:sz w:val="21"/>
                      </w:rPr>
                      <w:t>la Región de Antofagasta</w:t>
                    </w:r>
                  </w:p>
                  <w:p w:rsidR="0021764A" w:rsidRDefault="0021764A" w:rsidP="0021764A">
                    <w:pPr>
                      <w:spacing w:before="7"/>
                      <w:rPr>
                        <w:b/>
                        <w:sz w:val="23"/>
                      </w:rPr>
                    </w:pPr>
                  </w:p>
                  <w:p w:rsidR="0021764A" w:rsidRDefault="0021764A" w:rsidP="0021764A">
                    <w:pPr>
                      <w:spacing w:before="1"/>
                      <w:ind w:left="177" w:right="283"/>
                      <w:jc w:val="center"/>
                      <w:rPr>
                        <w:sz w:val="14"/>
                      </w:rPr>
                    </w:pPr>
                    <w:r>
                      <w:rPr>
                        <w:color w:val="535353"/>
                        <w:sz w:val="14"/>
                      </w:rPr>
                      <w:t>ENE, 2017</w:t>
                    </w:r>
                  </w:p>
                </w:txbxContent>
              </v:textbox>
            </v:shape>
            <w10:wrap anchorx="page"/>
          </v:group>
        </w:pict>
      </w:r>
      <w:r w:rsidR="0021764A" w:rsidRPr="0021764A">
        <w:rPr>
          <w:color w:val="535353"/>
          <w:sz w:val="24"/>
          <w:szCs w:val="24"/>
        </w:rPr>
        <w:t>LA</w:t>
      </w:r>
      <w:r w:rsidR="0021764A" w:rsidRPr="0021764A">
        <w:rPr>
          <w:color w:val="535353"/>
          <w:spacing w:val="-26"/>
          <w:sz w:val="24"/>
          <w:szCs w:val="24"/>
        </w:rPr>
        <w:t xml:space="preserve"> </w:t>
      </w:r>
      <w:r w:rsidR="0021764A" w:rsidRPr="0021764A">
        <w:rPr>
          <w:color w:val="535353"/>
          <w:sz w:val="24"/>
          <w:szCs w:val="24"/>
        </w:rPr>
        <w:t>CONMUTACIÓN</w:t>
      </w:r>
      <w:r w:rsidR="0021764A" w:rsidRPr="0021764A">
        <w:rPr>
          <w:color w:val="535353"/>
          <w:spacing w:val="-26"/>
          <w:sz w:val="24"/>
          <w:szCs w:val="24"/>
        </w:rPr>
        <w:t xml:space="preserve"> </w:t>
      </w:r>
      <w:r w:rsidR="0021764A" w:rsidRPr="0021764A">
        <w:rPr>
          <w:color w:val="535353"/>
          <w:sz w:val="24"/>
          <w:szCs w:val="24"/>
        </w:rPr>
        <w:t>Y</w:t>
      </w:r>
      <w:r w:rsidR="0021764A" w:rsidRPr="0021764A">
        <w:rPr>
          <w:color w:val="535353"/>
          <w:spacing w:val="-26"/>
          <w:sz w:val="24"/>
          <w:szCs w:val="24"/>
        </w:rPr>
        <w:t xml:space="preserve"> </w:t>
      </w:r>
      <w:r w:rsidR="0021764A" w:rsidRPr="0021764A">
        <w:rPr>
          <w:color w:val="535353"/>
          <w:sz w:val="24"/>
          <w:szCs w:val="24"/>
        </w:rPr>
        <w:t>EL</w:t>
      </w:r>
      <w:r w:rsidR="0021764A" w:rsidRPr="0021764A">
        <w:rPr>
          <w:color w:val="535353"/>
          <w:spacing w:val="-26"/>
          <w:sz w:val="24"/>
          <w:szCs w:val="24"/>
        </w:rPr>
        <w:t xml:space="preserve"> </w:t>
      </w:r>
      <w:r w:rsidR="0021764A" w:rsidRPr="0021764A">
        <w:rPr>
          <w:color w:val="535353"/>
          <w:sz w:val="24"/>
          <w:szCs w:val="24"/>
        </w:rPr>
        <w:t>SECTOR</w:t>
      </w:r>
      <w:r w:rsidR="0021764A" w:rsidRPr="0021764A">
        <w:rPr>
          <w:color w:val="535353"/>
          <w:spacing w:val="-25"/>
          <w:sz w:val="24"/>
          <w:szCs w:val="24"/>
        </w:rPr>
        <w:t xml:space="preserve"> </w:t>
      </w:r>
      <w:r w:rsidR="0021764A" w:rsidRPr="0021764A">
        <w:rPr>
          <w:color w:val="535353"/>
          <w:sz w:val="24"/>
          <w:szCs w:val="24"/>
        </w:rPr>
        <w:t>MINERO</w:t>
      </w:r>
    </w:p>
    <w:p w:rsidR="0021764A" w:rsidRDefault="0021764A" w:rsidP="0021764A">
      <w:pPr>
        <w:spacing w:before="80"/>
        <w:ind w:left="981"/>
        <w:rPr>
          <w:sz w:val="33"/>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Pr="0021764A" w:rsidRDefault="0021764A" w:rsidP="0021764A">
      <w:pPr>
        <w:autoSpaceDE w:val="0"/>
        <w:autoSpaceDN w:val="0"/>
        <w:adjustRightInd w:val="0"/>
        <w:spacing w:line="240" w:lineRule="auto"/>
        <w:rPr>
          <w:rFonts w:cstheme="minorHAnsi"/>
          <w:color w:val="545454"/>
          <w:sz w:val="24"/>
          <w:szCs w:val="24"/>
        </w:rPr>
      </w:pPr>
    </w:p>
    <w:p w:rsidR="0021764A" w:rsidRDefault="0021764A" w:rsidP="0021764A">
      <w:pPr>
        <w:autoSpaceDE w:val="0"/>
        <w:autoSpaceDN w:val="0"/>
        <w:adjustRightInd w:val="0"/>
        <w:spacing w:line="240" w:lineRule="auto"/>
        <w:rPr>
          <w:rFonts w:cstheme="minorHAnsi"/>
          <w:color w:val="545454"/>
          <w:sz w:val="24"/>
          <w:szCs w:val="24"/>
        </w:rPr>
      </w:pPr>
    </w:p>
    <w:p w:rsidR="0021764A" w:rsidRPr="0021764A" w:rsidRDefault="0021764A" w:rsidP="0021764A">
      <w:pPr>
        <w:autoSpaceDE w:val="0"/>
        <w:autoSpaceDN w:val="0"/>
        <w:adjustRightInd w:val="0"/>
        <w:spacing w:line="240" w:lineRule="auto"/>
        <w:ind w:left="360"/>
        <w:rPr>
          <w:rFonts w:cstheme="minorHAnsi"/>
          <w:color w:val="545454"/>
          <w:sz w:val="24"/>
          <w:szCs w:val="24"/>
        </w:rPr>
      </w:pPr>
    </w:p>
    <w:p w:rsidR="0081288F" w:rsidRPr="0081288F" w:rsidRDefault="0081288F" w:rsidP="0081288F">
      <w:pPr>
        <w:autoSpaceDE w:val="0"/>
        <w:autoSpaceDN w:val="0"/>
        <w:adjustRightInd w:val="0"/>
        <w:spacing w:line="240" w:lineRule="auto"/>
        <w:rPr>
          <w:rFonts w:cstheme="minorHAnsi"/>
          <w:color w:val="545454"/>
          <w:sz w:val="24"/>
          <w:szCs w:val="24"/>
        </w:rPr>
      </w:pPr>
    </w:p>
    <w:p w:rsidR="0081288F" w:rsidRDefault="0081288F" w:rsidP="0081288F">
      <w:pPr>
        <w:autoSpaceDE w:val="0"/>
        <w:autoSpaceDN w:val="0"/>
        <w:adjustRightInd w:val="0"/>
        <w:spacing w:line="240" w:lineRule="auto"/>
        <w:rPr>
          <w:rFonts w:ascii="Arimo" w:hAnsi="Arimo" w:cs="Arimo"/>
          <w:color w:val="545454"/>
          <w:sz w:val="19"/>
          <w:szCs w:val="19"/>
        </w:rPr>
      </w:pPr>
    </w:p>
    <w:p w:rsidR="0081288F" w:rsidRDefault="00B90800" w:rsidP="00B90800">
      <w:pPr>
        <w:autoSpaceDE w:val="0"/>
        <w:autoSpaceDN w:val="0"/>
        <w:adjustRightInd w:val="0"/>
        <w:spacing w:line="240" w:lineRule="auto"/>
        <w:jc w:val="center"/>
        <w:rPr>
          <w:rFonts w:ascii="Arimo" w:hAnsi="Arimo" w:cs="Arimo"/>
          <w:b/>
          <w:color w:val="545454"/>
          <w:sz w:val="24"/>
          <w:szCs w:val="24"/>
        </w:rPr>
      </w:pPr>
      <w:r w:rsidRPr="00B90800">
        <w:rPr>
          <w:rFonts w:ascii="Arimo" w:hAnsi="Arimo" w:cs="Arimo"/>
          <w:b/>
          <w:color w:val="545454"/>
          <w:sz w:val="24"/>
          <w:szCs w:val="24"/>
        </w:rPr>
        <w:t>ACTIVIDAD ECONOMICA REGIONAL</w:t>
      </w:r>
    </w:p>
    <w:p w:rsidR="00B90800" w:rsidRDefault="00B90800" w:rsidP="00B90800">
      <w:pPr>
        <w:pStyle w:val="Default"/>
        <w:jc w:val="both"/>
      </w:pPr>
    </w:p>
    <w:p w:rsidR="00B90800" w:rsidRPr="006C6AF2" w:rsidRDefault="00B90800" w:rsidP="00B90800">
      <w:pPr>
        <w:pStyle w:val="Default"/>
        <w:numPr>
          <w:ilvl w:val="0"/>
          <w:numId w:val="10"/>
        </w:numPr>
        <w:jc w:val="both"/>
      </w:pPr>
      <w:r w:rsidRPr="006C6AF2">
        <w:t>Antofagasta, Magallanes y O´Higgins lideraron el crecimiento económico en el primer trimestre de 2018.</w:t>
      </w:r>
    </w:p>
    <w:p w:rsidR="00B90800" w:rsidRPr="006C6AF2" w:rsidRDefault="00B90800" w:rsidP="00B90800">
      <w:pPr>
        <w:pStyle w:val="Default"/>
        <w:numPr>
          <w:ilvl w:val="0"/>
          <w:numId w:val="10"/>
        </w:numPr>
        <w:jc w:val="both"/>
      </w:pPr>
      <w:r w:rsidRPr="006C6AF2">
        <w:t xml:space="preserve">En el primer trimestre de 2018, la economía regional presentó una variación de </w:t>
      </w:r>
      <w:r w:rsidRPr="006C6AF2">
        <w:rPr>
          <w:b/>
          <w:bCs/>
        </w:rPr>
        <w:t>13,1%</w:t>
      </w:r>
      <w:r w:rsidRPr="006C6AF2">
        <w:t xml:space="preserve">, incidido, principalmente, por Minería. </w:t>
      </w:r>
      <w:r w:rsidR="00792697">
        <w:t>(base 2014)</w:t>
      </w:r>
    </w:p>
    <w:p w:rsidR="00B90800" w:rsidRDefault="00B90800" w:rsidP="00B90800">
      <w:pPr>
        <w:pStyle w:val="Default"/>
      </w:pPr>
    </w:p>
    <w:p w:rsidR="00B90800" w:rsidRPr="00B90800" w:rsidRDefault="00B90800" w:rsidP="00B90800">
      <w:pPr>
        <w:pStyle w:val="Default"/>
        <w:jc w:val="both"/>
      </w:pPr>
      <w:r w:rsidRPr="00B90800">
        <w:rPr>
          <w:b/>
          <w:bCs/>
        </w:rPr>
        <w:t xml:space="preserve">ANÁLISIS REGIÓN DE ANTOFAGASTA </w:t>
      </w:r>
    </w:p>
    <w:p w:rsidR="00B90800" w:rsidRPr="00B90800" w:rsidRDefault="00B90800" w:rsidP="00B90800">
      <w:pPr>
        <w:pStyle w:val="Default"/>
        <w:jc w:val="both"/>
      </w:pPr>
      <w:r w:rsidRPr="00B90800">
        <w:t xml:space="preserve">El INACER de la región de Antofagasta presentó un crecimiento de </w:t>
      </w:r>
      <w:r w:rsidRPr="00B90800">
        <w:rPr>
          <w:b/>
          <w:bCs/>
        </w:rPr>
        <w:t>13,1%</w:t>
      </w:r>
      <w:r w:rsidRPr="00B90800">
        <w:t xml:space="preserve">, respecto del mismo trimestre del año anterior, sien-do la expansión más acentuada en la serie base 2014. </w:t>
      </w:r>
    </w:p>
    <w:p w:rsidR="00B90800" w:rsidRPr="00B90800" w:rsidRDefault="00B90800" w:rsidP="00B90800">
      <w:pPr>
        <w:pStyle w:val="Default"/>
        <w:jc w:val="both"/>
      </w:pPr>
      <w:r w:rsidRPr="00B90800">
        <w:t xml:space="preserve">El resultado se explicó debido a que tres sectores aumentaron su actividad durante el primer período del presente año, mientras que cinco sectores presentaron decrecimiento y los dos sectores restantes mostraron variación nula. El sector que anotó la mayor incidencia positiva en el resultado anual del indicador </w:t>
      </w:r>
      <w:r w:rsidRPr="006C6AF2">
        <w:rPr>
          <w:color w:val="FF0000"/>
        </w:rPr>
        <w:t>fue Minería</w:t>
      </w:r>
      <w:r w:rsidRPr="00B90800">
        <w:t xml:space="preserve">, explicado, principalmente, por la </w:t>
      </w:r>
      <w:r w:rsidRPr="006C6AF2">
        <w:rPr>
          <w:color w:val="FF0000"/>
        </w:rPr>
        <w:t>Minería metálica</w:t>
      </w:r>
      <w:r w:rsidRPr="00B90800">
        <w:t xml:space="preserve"> siendo el cobre el producto más incidente. Otros sectores que influyeron en el crecimiento anual del INACER fueron: Electricidad, Gas y Agua; y Comercio, Restaurantes y Hoteles, en el primero, se debió al impulso del subsector Electricidad, mientras que para el segundo, la mayor incidencia se registró en el subsector Comer-cio. </w:t>
      </w:r>
    </w:p>
    <w:p w:rsidR="00B90800" w:rsidRPr="006C6AF2" w:rsidRDefault="00B90800" w:rsidP="00B90800">
      <w:pPr>
        <w:autoSpaceDE w:val="0"/>
        <w:autoSpaceDN w:val="0"/>
        <w:adjustRightInd w:val="0"/>
        <w:spacing w:line="240" w:lineRule="auto"/>
        <w:rPr>
          <w:sz w:val="20"/>
          <w:szCs w:val="20"/>
        </w:rPr>
      </w:pPr>
      <w:r w:rsidRPr="00B90800">
        <w:rPr>
          <w:sz w:val="24"/>
          <w:szCs w:val="24"/>
        </w:rPr>
        <w:t xml:space="preserve">Por el contrario, los tres sectores que presentaron incidencias negativas más altas en la actividad económica fueron: Servicios Financieros y Empresariales; Pesca e Industria Manufacturera. </w:t>
      </w:r>
      <w:r w:rsidR="006C6AF2">
        <w:rPr>
          <w:sz w:val="24"/>
          <w:szCs w:val="24"/>
        </w:rPr>
        <w:t>(</w:t>
      </w:r>
      <w:r w:rsidR="006C6AF2" w:rsidRPr="006C6AF2">
        <w:rPr>
          <w:sz w:val="20"/>
          <w:szCs w:val="20"/>
        </w:rPr>
        <w:t>Para el primer caso, S</w:t>
      </w:r>
      <w:r w:rsidRPr="006C6AF2">
        <w:rPr>
          <w:sz w:val="20"/>
          <w:szCs w:val="20"/>
        </w:rPr>
        <w:t>ervicios empresariales presentó la mayor incidencia negativa, seguido de Seguros, mientras que, para Pesca, tres de los cuatro subsectores presentaron incidencia negativa, siendo el subsector Industrial donde se anotó la mayor incidencia a la baja. Para el caso de Industria Manufacturera, los dos subsectores con mayor incidencia negativa fueron: Industria pes-quera; y Fabricación de cemento, cal y yeso.</w:t>
      </w:r>
      <w:r w:rsidR="006C6AF2">
        <w:rPr>
          <w:sz w:val="20"/>
          <w:szCs w:val="20"/>
        </w:rPr>
        <w:t>)</w:t>
      </w:r>
    </w:p>
    <w:p w:rsidR="00B90800" w:rsidRDefault="00B90800" w:rsidP="00B90800">
      <w:pPr>
        <w:autoSpaceDE w:val="0"/>
        <w:autoSpaceDN w:val="0"/>
        <w:adjustRightInd w:val="0"/>
        <w:spacing w:line="240" w:lineRule="auto"/>
        <w:rPr>
          <w:sz w:val="24"/>
          <w:szCs w:val="24"/>
        </w:rPr>
      </w:pPr>
    </w:p>
    <w:p w:rsidR="00B90800" w:rsidRPr="00B90800" w:rsidRDefault="00B90800" w:rsidP="00B90800">
      <w:pPr>
        <w:autoSpaceDE w:val="0"/>
        <w:autoSpaceDN w:val="0"/>
        <w:adjustRightInd w:val="0"/>
        <w:spacing w:line="240" w:lineRule="auto"/>
        <w:rPr>
          <w:sz w:val="24"/>
          <w:szCs w:val="24"/>
        </w:rPr>
      </w:pPr>
      <w:r w:rsidRPr="00B90800">
        <w:rPr>
          <w:sz w:val="24"/>
          <w:szCs w:val="24"/>
        </w:rPr>
        <w:t>POR SECTOR</w:t>
      </w:r>
    </w:p>
    <w:p w:rsidR="00B90800" w:rsidRPr="00B90800" w:rsidRDefault="00B90800" w:rsidP="00B90800">
      <w:pPr>
        <w:pStyle w:val="Default"/>
        <w:jc w:val="both"/>
      </w:pPr>
    </w:p>
    <w:p w:rsidR="00B90800" w:rsidRPr="00B90800" w:rsidRDefault="00B90800" w:rsidP="00B90800">
      <w:pPr>
        <w:autoSpaceDE w:val="0"/>
        <w:autoSpaceDN w:val="0"/>
        <w:adjustRightInd w:val="0"/>
        <w:spacing w:line="240" w:lineRule="auto"/>
        <w:rPr>
          <w:sz w:val="24"/>
          <w:szCs w:val="24"/>
        </w:rPr>
      </w:pPr>
      <w:r w:rsidRPr="00B90800">
        <w:rPr>
          <w:b/>
          <w:bCs/>
          <w:sz w:val="24"/>
          <w:szCs w:val="24"/>
        </w:rPr>
        <w:t xml:space="preserve">Minería </w:t>
      </w:r>
      <w:r w:rsidRPr="00B90800">
        <w:rPr>
          <w:sz w:val="24"/>
          <w:szCs w:val="24"/>
        </w:rPr>
        <w:t xml:space="preserve">registró la mayor incidencia positiva para la presente coyuntura, </w:t>
      </w:r>
      <w:r w:rsidR="00644694" w:rsidRPr="00B90800">
        <w:rPr>
          <w:sz w:val="24"/>
          <w:szCs w:val="24"/>
        </w:rPr>
        <w:t>explicada</w:t>
      </w:r>
      <w:r w:rsidRPr="00B90800">
        <w:rPr>
          <w:sz w:val="24"/>
          <w:szCs w:val="24"/>
        </w:rPr>
        <w:t>, principalmente, por la Minería metálica, especialmente por la sub</w:t>
      </w:r>
      <w:r w:rsidR="00185B83">
        <w:rPr>
          <w:sz w:val="24"/>
          <w:szCs w:val="24"/>
        </w:rPr>
        <w:t>-</w:t>
      </w:r>
      <w:r w:rsidRPr="00B90800">
        <w:rPr>
          <w:sz w:val="24"/>
          <w:szCs w:val="24"/>
        </w:rPr>
        <w:t xml:space="preserve">actividad </w:t>
      </w:r>
      <w:r w:rsidR="00185B83">
        <w:rPr>
          <w:sz w:val="24"/>
          <w:szCs w:val="24"/>
        </w:rPr>
        <w:t xml:space="preserve">de </w:t>
      </w:r>
      <w:r w:rsidRPr="00B90800">
        <w:rPr>
          <w:sz w:val="24"/>
          <w:szCs w:val="24"/>
        </w:rPr>
        <w:t>extracción y procesamiento de cobre, en el cual destaca principalmente la mayor producción de cobre. El metal rojo presentó el tercer trimestre consecutivo con niveles de producción crecientes, y para este último período, se explica debido a una baja base de comparación, a raíz de una importante huelga ocurrida entre febrero y marzo de 2017. En la misma sub</w:t>
      </w:r>
      <w:r w:rsidR="00185B83">
        <w:rPr>
          <w:sz w:val="24"/>
          <w:szCs w:val="24"/>
        </w:rPr>
        <w:t>-</w:t>
      </w:r>
      <w:r w:rsidRPr="00B90800">
        <w:rPr>
          <w:sz w:val="24"/>
          <w:szCs w:val="24"/>
        </w:rPr>
        <w:t xml:space="preserve">actividad, la producción de oro, plata y ácido sulfúrico también pre-sentaron crecimientos, mientras que molibdeno fue el único producto que presentó contracción en la </w:t>
      </w:r>
      <w:proofErr w:type="spellStart"/>
      <w:r w:rsidRPr="00B90800">
        <w:rPr>
          <w:sz w:val="24"/>
          <w:szCs w:val="24"/>
        </w:rPr>
        <w:t>subactividad</w:t>
      </w:r>
      <w:proofErr w:type="spellEnd"/>
      <w:r w:rsidRPr="00B90800">
        <w:rPr>
          <w:sz w:val="24"/>
          <w:szCs w:val="24"/>
        </w:rPr>
        <w:t xml:space="preserve">. El subsector Minería no metálica también exhibió un crecimiento respecto a igual trimestre del año anterior, al igual que los dos trimestres anteriores. El alza en este trimestre se debió a la mayor producción de carbonato de litio, caliche y caliza, mientras que la producción de </w:t>
      </w:r>
      <w:proofErr w:type="spellStart"/>
      <w:r w:rsidRPr="00B90800">
        <w:rPr>
          <w:sz w:val="24"/>
          <w:szCs w:val="24"/>
        </w:rPr>
        <w:t>ulexita</w:t>
      </w:r>
      <w:proofErr w:type="spellEnd"/>
      <w:r w:rsidRPr="00B90800">
        <w:rPr>
          <w:sz w:val="24"/>
          <w:szCs w:val="24"/>
        </w:rPr>
        <w:t xml:space="preserve"> y </w:t>
      </w:r>
      <w:proofErr w:type="spellStart"/>
      <w:r w:rsidRPr="00B90800">
        <w:rPr>
          <w:sz w:val="24"/>
          <w:szCs w:val="24"/>
        </w:rPr>
        <w:t>pumicita</w:t>
      </w:r>
      <w:proofErr w:type="spellEnd"/>
      <w:r w:rsidRPr="00B90800">
        <w:rPr>
          <w:sz w:val="24"/>
          <w:szCs w:val="24"/>
        </w:rPr>
        <w:t xml:space="preserve"> consignaron disminución sin revertir el resultado final del subsector.</w:t>
      </w:r>
    </w:p>
    <w:p w:rsidR="00B90800" w:rsidRPr="00B90800" w:rsidRDefault="00B90800" w:rsidP="00B90800">
      <w:pPr>
        <w:autoSpaceDE w:val="0"/>
        <w:autoSpaceDN w:val="0"/>
        <w:adjustRightInd w:val="0"/>
        <w:spacing w:line="240" w:lineRule="auto"/>
        <w:rPr>
          <w:sz w:val="24"/>
          <w:szCs w:val="24"/>
        </w:rPr>
      </w:pPr>
    </w:p>
    <w:p w:rsidR="00B90800" w:rsidRPr="00B90800" w:rsidRDefault="00B90800" w:rsidP="00B90800">
      <w:pPr>
        <w:pStyle w:val="Default"/>
        <w:jc w:val="both"/>
      </w:pPr>
    </w:p>
    <w:p w:rsidR="00B90800" w:rsidRPr="00B90800" w:rsidRDefault="00B90800" w:rsidP="00B90800">
      <w:pPr>
        <w:pStyle w:val="Default"/>
        <w:jc w:val="both"/>
      </w:pPr>
      <w:r w:rsidRPr="00B90800">
        <w:t xml:space="preserve">El sector </w:t>
      </w:r>
      <w:r w:rsidRPr="00B90800">
        <w:rPr>
          <w:b/>
          <w:bCs/>
        </w:rPr>
        <w:t xml:space="preserve">Electricidad, Gas y Agua </w:t>
      </w:r>
      <w:r w:rsidRPr="00B90800">
        <w:t xml:space="preserve">iniciaron el año con un crecimiento en su actividad, al igual que lo estimado en las dos coyunturas precedentes, posicionándose como el segundo sector con mayor incidencia positiva. En el primer período del año, los subsectores que incidieron positivamente fueron Electricidad y Gas. Para el primer caso, se debió a la mayor generación eléctrica, mientras que la distribución eléctrica presentó contracción en su actividad. En el subsector Gas, el crecimiento se explicó principalmente, por una mayor regasificación de gas natural licuado. Por otro lado, el subsector Agua disminuyó respecto al mismo período del año anterior, debido al desempeño negativo de la distribución de agua potable, al comparar con el mismo trimestre del año anterior. </w:t>
      </w:r>
    </w:p>
    <w:p w:rsidR="00B90800" w:rsidRPr="00B90800" w:rsidRDefault="00B90800" w:rsidP="00B90800">
      <w:pPr>
        <w:pStyle w:val="Default"/>
        <w:jc w:val="both"/>
      </w:pPr>
    </w:p>
    <w:p w:rsidR="00B90800" w:rsidRPr="00B90800" w:rsidRDefault="00B90800" w:rsidP="00B90800">
      <w:pPr>
        <w:pStyle w:val="Default"/>
        <w:jc w:val="both"/>
        <w:rPr>
          <w:color w:val="auto"/>
        </w:rPr>
      </w:pPr>
      <w:r w:rsidRPr="00B90800">
        <w:t xml:space="preserve">El sector </w:t>
      </w:r>
      <w:r w:rsidRPr="00B90800">
        <w:rPr>
          <w:b/>
          <w:bCs/>
        </w:rPr>
        <w:t xml:space="preserve">Comercio, Restaurantes </w:t>
      </w:r>
      <w:r w:rsidRPr="00B90800">
        <w:t xml:space="preserve">y </w:t>
      </w:r>
      <w:r w:rsidRPr="00B90800">
        <w:rPr>
          <w:b/>
          <w:bCs/>
        </w:rPr>
        <w:t xml:space="preserve">Hoteles </w:t>
      </w:r>
      <w:r w:rsidRPr="00B90800">
        <w:t>registró la tercera mayor incidencia positiva en el INACER. Los dos subsectores que lo componen anotaron crecimientos en su actividad económica, siendo el más incidente el subsector Comercio, el cual comenzó el año con variación positiva, acumulando cinco períodos con crecimiento. Para el período de análisis, el crecimiento es explicado por el comportamiento favorable de los tres sub</w:t>
      </w:r>
      <w:r w:rsidR="00185B83">
        <w:t>-</w:t>
      </w:r>
      <w:r w:rsidRPr="00B90800">
        <w:t>actividades, siendo el comercio mayorista donde se presentó la mayor incidencia positiva. Por otra parte, el subsector Restaurantes y hoteles empezaron el año con un alza en su actividad económica, después de cuatro trimestres consecutivos con variaciones negativas, ex</w:t>
      </w:r>
      <w:r w:rsidRPr="00B90800">
        <w:rPr>
          <w:color w:val="auto"/>
        </w:rPr>
        <w:t xml:space="preserve">plicado por el mayor dinamismo en restaurantes, mientras que los ingresos operacionales en hoteles registraron una baja. </w:t>
      </w:r>
    </w:p>
    <w:p w:rsidR="00B90800" w:rsidRPr="00B90800" w:rsidRDefault="00B90800" w:rsidP="00B90800">
      <w:pPr>
        <w:pStyle w:val="Default"/>
        <w:jc w:val="both"/>
        <w:rPr>
          <w:color w:val="auto"/>
        </w:rPr>
      </w:pPr>
    </w:p>
    <w:p w:rsidR="00B90800" w:rsidRPr="00B90800" w:rsidRDefault="00B90800" w:rsidP="00B90800">
      <w:pPr>
        <w:pStyle w:val="Default"/>
        <w:jc w:val="both"/>
        <w:rPr>
          <w:color w:val="auto"/>
        </w:rPr>
      </w:pPr>
      <w:r w:rsidRPr="00B90800">
        <w:rPr>
          <w:color w:val="auto"/>
        </w:rPr>
        <w:t xml:space="preserve">El sector </w:t>
      </w:r>
      <w:r w:rsidRPr="00B90800">
        <w:rPr>
          <w:b/>
          <w:bCs/>
          <w:color w:val="auto"/>
        </w:rPr>
        <w:t>Servicios de Vivienda</w:t>
      </w:r>
      <w:r w:rsidRPr="00B90800">
        <w:rPr>
          <w:color w:val="auto"/>
        </w:rPr>
        <w:t xml:space="preserve">, registró una baja expansión, producto del leve aumento en el stock de viviendas terminadas. </w:t>
      </w:r>
    </w:p>
    <w:p w:rsidR="00B90800" w:rsidRPr="00B90800" w:rsidRDefault="00B90800" w:rsidP="00B90800">
      <w:pPr>
        <w:pStyle w:val="Default"/>
        <w:jc w:val="both"/>
        <w:rPr>
          <w:color w:val="auto"/>
        </w:rPr>
      </w:pPr>
      <w:r w:rsidRPr="00B90800">
        <w:rPr>
          <w:color w:val="auto"/>
        </w:rPr>
        <w:t xml:space="preserve">Por otro lado, los sectores que incidieron negativa-mente en el INACER fueron: Servicios Financieros y Empresariales; Pesca; Industria Manufacturera; Construcción; Servicios Sociales, Personales y Comunales y Transporte, Información y Comunicaciones, ordena-dos de mayor a menor incidencia negativa. </w:t>
      </w:r>
    </w:p>
    <w:p w:rsidR="00B90800" w:rsidRPr="00B90800" w:rsidRDefault="00B90800" w:rsidP="00B90800">
      <w:pPr>
        <w:pStyle w:val="Default"/>
        <w:jc w:val="both"/>
        <w:rPr>
          <w:color w:val="auto"/>
        </w:rPr>
      </w:pPr>
    </w:p>
    <w:p w:rsidR="00B90800" w:rsidRPr="00B90800" w:rsidRDefault="00B90800" w:rsidP="00B90800">
      <w:pPr>
        <w:pStyle w:val="Default"/>
        <w:jc w:val="both"/>
        <w:rPr>
          <w:color w:val="auto"/>
        </w:rPr>
      </w:pPr>
      <w:r w:rsidRPr="00B90800">
        <w:rPr>
          <w:b/>
          <w:bCs/>
          <w:color w:val="auto"/>
        </w:rPr>
        <w:t xml:space="preserve">Servicios Financieros </w:t>
      </w:r>
      <w:r w:rsidRPr="00B90800">
        <w:rPr>
          <w:color w:val="auto"/>
        </w:rPr>
        <w:t xml:space="preserve">y </w:t>
      </w:r>
      <w:r w:rsidRPr="00B90800">
        <w:rPr>
          <w:b/>
          <w:bCs/>
          <w:color w:val="auto"/>
        </w:rPr>
        <w:t xml:space="preserve">Empresariales </w:t>
      </w:r>
      <w:r w:rsidRPr="00B90800">
        <w:rPr>
          <w:color w:val="auto"/>
        </w:rPr>
        <w:t xml:space="preserve">experimentó la mayor incidencia negativa al INACER, anotando un decrecimiento con respecto al mismo trimestre año anterior, debido al aporte negativo de los subsectores Servicios empresariales y Seguros. Por el contrario, los subsectores Servicios inmobiliarios, Intermediación financiera y Actividades auxiliares financieras tuvieron un dinamismo positivo en el resultado. </w:t>
      </w:r>
    </w:p>
    <w:p w:rsidR="00B90800" w:rsidRPr="00B90800" w:rsidRDefault="00B90800" w:rsidP="00B90800">
      <w:pPr>
        <w:pStyle w:val="Default"/>
        <w:jc w:val="both"/>
        <w:rPr>
          <w:color w:val="auto"/>
        </w:rPr>
      </w:pPr>
      <w:r w:rsidRPr="00B90800">
        <w:rPr>
          <w:color w:val="auto"/>
        </w:rPr>
        <w:t xml:space="preserve">El sector </w:t>
      </w:r>
      <w:r w:rsidRPr="00B90800">
        <w:rPr>
          <w:b/>
          <w:bCs/>
          <w:color w:val="auto"/>
        </w:rPr>
        <w:t xml:space="preserve">Pesca </w:t>
      </w:r>
      <w:r w:rsidRPr="00B90800">
        <w:rPr>
          <w:color w:val="auto"/>
        </w:rPr>
        <w:t xml:space="preserve">anotó la segunda mayor incidencia negativa en el INACER. El subsector Industrial registró un decrecimiento debido, principalmente, a la menor captura de las especies caballa y jurel. Los subsectores Artesanal y Algas también presentaron incidencia negativa, influenciado, principalmente, por la menor captura de anchoveta y pulpo en el artesanal y por la baja recolección de las especies huiro negro, huiro palo y huiro en el subsector de Algas. </w:t>
      </w:r>
    </w:p>
    <w:p w:rsidR="00B90800" w:rsidRDefault="00B90800" w:rsidP="00B90800">
      <w:pPr>
        <w:pStyle w:val="Default"/>
        <w:jc w:val="both"/>
        <w:rPr>
          <w:color w:val="auto"/>
        </w:rPr>
      </w:pPr>
    </w:p>
    <w:p w:rsidR="00185B83" w:rsidRDefault="00185B83" w:rsidP="00B90800">
      <w:pPr>
        <w:pStyle w:val="Default"/>
        <w:jc w:val="both"/>
        <w:rPr>
          <w:color w:val="auto"/>
        </w:rPr>
      </w:pPr>
    </w:p>
    <w:p w:rsidR="00185B83" w:rsidRPr="00B90800" w:rsidRDefault="00185B83" w:rsidP="00B90800">
      <w:pPr>
        <w:pStyle w:val="Default"/>
        <w:jc w:val="both"/>
        <w:rPr>
          <w:color w:val="auto"/>
        </w:rPr>
      </w:pPr>
    </w:p>
    <w:p w:rsidR="00B90800" w:rsidRPr="00B90800" w:rsidRDefault="00B90800" w:rsidP="00B90800">
      <w:pPr>
        <w:pStyle w:val="Default"/>
        <w:jc w:val="both"/>
        <w:rPr>
          <w:color w:val="auto"/>
        </w:rPr>
      </w:pPr>
      <w:r w:rsidRPr="00B90800">
        <w:rPr>
          <w:color w:val="auto"/>
        </w:rPr>
        <w:lastRenderedPageBreak/>
        <w:t xml:space="preserve">El sector </w:t>
      </w:r>
      <w:r w:rsidRPr="00B90800">
        <w:rPr>
          <w:b/>
          <w:bCs/>
          <w:color w:val="auto"/>
        </w:rPr>
        <w:t xml:space="preserve">Industria Manufacturera </w:t>
      </w:r>
      <w:r w:rsidRPr="00B90800">
        <w:rPr>
          <w:color w:val="auto"/>
        </w:rPr>
        <w:t xml:space="preserve">empezó el año 2018 registrando la tercera mayor incidencia negativa en el INACER, al igual que lo anotado en los nueve períodos precedentes. Para la actual coyuntura, los principales subsectores que incidieron en el decrecimiento del sector fueron: Industria pesquera; Fabricación de cemento, cal y yeso; y Fabricación de otros productos minerales no metálicos </w:t>
      </w:r>
      <w:proofErr w:type="spellStart"/>
      <w:r w:rsidRPr="00B90800">
        <w:rPr>
          <w:color w:val="auto"/>
        </w:rPr>
        <w:t>n.c.p.</w:t>
      </w:r>
      <w:proofErr w:type="spellEnd"/>
      <w:r w:rsidRPr="00B90800">
        <w:rPr>
          <w:color w:val="auto"/>
        </w:rPr>
        <w:t xml:space="preserve"> Por otro lado, los principales subsectores que incidieron en forma positiva fueron: Fabricación de vehículos automotores; Fundición de metales no ferrosos; y Fabricación de maquinaria para la explotación de minas y canteras y para obras de construcción. </w:t>
      </w:r>
    </w:p>
    <w:p w:rsidR="00B90800" w:rsidRDefault="00B90800" w:rsidP="00B90800">
      <w:pPr>
        <w:pStyle w:val="Default"/>
        <w:rPr>
          <w:color w:val="auto"/>
        </w:rPr>
      </w:pPr>
    </w:p>
    <w:p w:rsidR="002D6F2B" w:rsidRDefault="002D6F2B" w:rsidP="00B90800">
      <w:pPr>
        <w:pStyle w:val="Default"/>
        <w:rPr>
          <w:color w:val="auto"/>
        </w:rPr>
      </w:pPr>
    </w:p>
    <w:p w:rsidR="002D6F2B" w:rsidRDefault="002D6F2B" w:rsidP="00B90800">
      <w:pPr>
        <w:pStyle w:val="Default"/>
        <w:rPr>
          <w:color w:val="auto"/>
        </w:rPr>
      </w:pPr>
    </w:p>
    <w:p w:rsidR="002D6F2B" w:rsidRDefault="002D6F2B" w:rsidP="00B90800">
      <w:pPr>
        <w:pStyle w:val="Default"/>
        <w:rPr>
          <w:color w:val="auto"/>
        </w:rPr>
      </w:pPr>
      <w:r>
        <w:rPr>
          <w:color w:val="auto"/>
        </w:rPr>
        <w:t>DATOS PRENSA</w:t>
      </w:r>
    </w:p>
    <w:p w:rsidR="002D6F2B" w:rsidRDefault="002D6F2B" w:rsidP="00B90800">
      <w:pPr>
        <w:pStyle w:val="Default"/>
        <w:rPr>
          <w:color w:val="auto"/>
        </w:rPr>
      </w:pPr>
    </w:p>
    <w:p w:rsidR="002D6F2B" w:rsidRDefault="002D6F2B" w:rsidP="003C1A68">
      <w:pPr>
        <w:pStyle w:val="Default"/>
        <w:numPr>
          <w:ilvl w:val="0"/>
          <w:numId w:val="11"/>
        </w:numPr>
        <w:jc w:val="both"/>
        <w:rPr>
          <w:color w:val="auto"/>
        </w:rPr>
      </w:pPr>
      <w:proofErr w:type="spellStart"/>
      <w:r w:rsidRPr="002D6F2B">
        <w:rPr>
          <w:color w:val="000099"/>
        </w:rPr>
        <w:t>Chadwick</w:t>
      </w:r>
      <w:proofErr w:type="spellEnd"/>
      <w:r w:rsidRPr="002D6F2B">
        <w:rPr>
          <w:color w:val="000099"/>
        </w:rPr>
        <w:t xml:space="preserve"> en Antofagasta: Reactivaremos el pleno empleo como lo hicimos en el primer gobierno.</w:t>
      </w:r>
      <w:r>
        <w:rPr>
          <w:color w:val="auto"/>
        </w:rPr>
        <w:t xml:space="preserve"> </w:t>
      </w:r>
      <w:hyperlink r:id="rId22" w:history="1">
        <w:r w:rsidRPr="00D8784D">
          <w:rPr>
            <w:rStyle w:val="Hipervnculo"/>
          </w:rPr>
          <w:t>https://www.cooperativa.cl/noticias/pais/trabajo/chadwick-en-antofagasta-reactivaremos-el-pleno-empleo-como-lo-hicimos/2018-06-07/164939.html</w:t>
        </w:r>
      </w:hyperlink>
    </w:p>
    <w:p w:rsidR="002D6F2B" w:rsidRDefault="00722A22" w:rsidP="003C1A68">
      <w:pPr>
        <w:pStyle w:val="Default"/>
        <w:numPr>
          <w:ilvl w:val="0"/>
          <w:numId w:val="11"/>
        </w:numPr>
        <w:jc w:val="both"/>
        <w:rPr>
          <w:color w:val="auto"/>
        </w:rPr>
      </w:pPr>
      <w:hyperlink r:id="rId23" w:history="1">
        <w:r w:rsidR="002D6F2B" w:rsidRPr="00D8784D">
          <w:rPr>
            <w:rStyle w:val="Hipervnculo"/>
          </w:rPr>
          <w:t>http://www.elmostrador.cl/mercados/2017/12/07/los-600-mil-empleos-de-sebastian-pinera-algo-no-calza/</w:t>
        </w:r>
      </w:hyperlink>
    </w:p>
    <w:p w:rsidR="002D6F2B" w:rsidRDefault="00722A22" w:rsidP="003C1A68">
      <w:pPr>
        <w:pStyle w:val="Default"/>
        <w:numPr>
          <w:ilvl w:val="0"/>
          <w:numId w:val="11"/>
        </w:numPr>
        <w:jc w:val="both"/>
        <w:rPr>
          <w:color w:val="auto"/>
        </w:rPr>
      </w:pPr>
      <w:hyperlink r:id="rId24" w:history="1">
        <w:r w:rsidR="002D6F2B" w:rsidRPr="00D8784D">
          <w:rPr>
            <w:rStyle w:val="Hipervnculo"/>
          </w:rPr>
          <w:t>https://www.redimin.cl/presidente-pinera-antofagasta-es-un-candidato-muy-fuerte-para-tener-el-centro-tecnologico-del-litio/</w:t>
        </w:r>
      </w:hyperlink>
    </w:p>
    <w:p w:rsidR="002D6F2B" w:rsidRDefault="00722A22" w:rsidP="003C1A68">
      <w:pPr>
        <w:pStyle w:val="Default"/>
        <w:numPr>
          <w:ilvl w:val="0"/>
          <w:numId w:val="11"/>
        </w:numPr>
        <w:jc w:val="both"/>
        <w:rPr>
          <w:color w:val="auto"/>
        </w:rPr>
      </w:pPr>
      <w:hyperlink r:id="rId25" w:history="1">
        <w:r w:rsidR="002D6F2B" w:rsidRPr="00D8784D">
          <w:rPr>
            <w:rStyle w:val="Hipervnculo"/>
          </w:rPr>
          <w:t>http://www.timeline.cl/2018/04/subsecretario-arab-y-una-politica-sin-agenda-laboral-en-antofagasta/</w:t>
        </w:r>
      </w:hyperlink>
    </w:p>
    <w:p w:rsidR="002D6F2B" w:rsidRDefault="002D6F2B" w:rsidP="002D6F2B">
      <w:pPr>
        <w:pStyle w:val="Default"/>
        <w:rPr>
          <w:color w:val="auto"/>
        </w:rPr>
      </w:pPr>
    </w:p>
    <w:p w:rsidR="002D6F2B" w:rsidRDefault="002D6F2B" w:rsidP="002D6F2B">
      <w:pPr>
        <w:pStyle w:val="Default"/>
        <w:rPr>
          <w:color w:val="auto"/>
        </w:rPr>
      </w:pPr>
      <w:r>
        <w:rPr>
          <w:color w:val="auto"/>
        </w:rPr>
        <w:t>CONCLUSIONES</w:t>
      </w:r>
    </w:p>
    <w:p w:rsidR="002D6F2B" w:rsidRDefault="002D6F2B" w:rsidP="002D6F2B">
      <w:pPr>
        <w:pStyle w:val="Default"/>
        <w:rPr>
          <w:color w:val="auto"/>
        </w:rPr>
      </w:pPr>
    </w:p>
    <w:p w:rsidR="002D6F2B" w:rsidRDefault="002D6F2B" w:rsidP="002D6F2B">
      <w:pPr>
        <w:pStyle w:val="Default"/>
        <w:numPr>
          <w:ilvl w:val="0"/>
          <w:numId w:val="12"/>
        </w:numPr>
        <w:jc w:val="both"/>
        <w:rPr>
          <w:color w:val="auto"/>
        </w:rPr>
      </w:pPr>
      <w:r>
        <w:rPr>
          <w:color w:val="auto"/>
        </w:rPr>
        <w:t>El gobierno regional no tiene un plan informado sobre situación de desempleo regional.</w:t>
      </w:r>
    </w:p>
    <w:p w:rsidR="002D6F2B" w:rsidRDefault="002D6F2B" w:rsidP="002D6F2B">
      <w:pPr>
        <w:pStyle w:val="Default"/>
        <w:numPr>
          <w:ilvl w:val="0"/>
          <w:numId w:val="12"/>
        </w:numPr>
        <w:jc w:val="both"/>
        <w:rPr>
          <w:color w:val="auto"/>
        </w:rPr>
      </w:pPr>
      <w:r>
        <w:rPr>
          <w:color w:val="auto"/>
        </w:rPr>
        <w:t>El gobierno central (</w:t>
      </w:r>
      <w:proofErr w:type="spellStart"/>
      <w:r>
        <w:rPr>
          <w:color w:val="auto"/>
        </w:rPr>
        <w:t>Piñera</w:t>
      </w:r>
      <w:proofErr w:type="spellEnd"/>
      <w:r>
        <w:rPr>
          <w:color w:val="auto"/>
        </w:rPr>
        <w:t>), no ha establecido lineamiento, ni acciones sobre situación de desempleo regional.</w:t>
      </w:r>
    </w:p>
    <w:p w:rsidR="002D6F2B" w:rsidRPr="00B90800" w:rsidRDefault="002D6F2B" w:rsidP="00B90800">
      <w:pPr>
        <w:pStyle w:val="Default"/>
        <w:rPr>
          <w:color w:val="auto"/>
        </w:rPr>
      </w:pPr>
    </w:p>
    <w:sectPr w:rsidR="002D6F2B" w:rsidRPr="00B90800" w:rsidSect="00256F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E1654"/>
    <w:multiLevelType w:val="hybridMultilevel"/>
    <w:tmpl w:val="7A3CDE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9F6063C"/>
    <w:multiLevelType w:val="hybridMultilevel"/>
    <w:tmpl w:val="B66CF7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E5824CC"/>
    <w:multiLevelType w:val="hybridMultilevel"/>
    <w:tmpl w:val="D146E9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0270476"/>
    <w:multiLevelType w:val="hybridMultilevel"/>
    <w:tmpl w:val="C3E832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78C2EFE"/>
    <w:multiLevelType w:val="hybridMultilevel"/>
    <w:tmpl w:val="530A059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2F149AB"/>
    <w:multiLevelType w:val="hybridMultilevel"/>
    <w:tmpl w:val="B66CF7D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43491144"/>
    <w:multiLevelType w:val="hybridMultilevel"/>
    <w:tmpl w:val="7C0690A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4A1D008B"/>
    <w:multiLevelType w:val="hybridMultilevel"/>
    <w:tmpl w:val="2AAC6642"/>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nsid w:val="6CFC406B"/>
    <w:multiLevelType w:val="hybridMultilevel"/>
    <w:tmpl w:val="2C28621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6E929E2"/>
    <w:multiLevelType w:val="hybridMultilevel"/>
    <w:tmpl w:val="1D9EB8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7A94FE7"/>
    <w:multiLevelType w:val="hybridMultilevel"/>
    <w:tmpl w:val="3EF24C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A805E16"/>
    <w:multiLevelType w:val="hybridMultilevel"/>
    <w:tmpl w:val="68C4B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4"/>
  </w:num>
  <w:num w:numId="6">
    <w:abstractNumId w:val="11"/>
  </w:num>
  <w:num w:numId="7">
    <w:abstractNumId w:val="5"/>
  </w:num>
  <w:num w:numId="8">
    <w:abstractNumId w:val="1"/>
  </w:num>
  <w:num w:numId="9">
    <w:abstractNumId w:val="9"/>
  </w:num>
  <w:num w:numId="10">
    <w:abstractNumId w:val="10"/>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75041"/>
    <w:rsid w:val="00185B83"/>
    <w:rsid w:val="0021764A"/>
    <w:rsid w:val="00256F74"/>
    <w:rsid w:val="002D6F2B"/>
    <w:rsid w:val="002E7F26"/>
    <w:rsid w:val="00367BDD"/>
    <w:rsid w:val="003C1A68"/>
    <w:rsid w:val="00644694"/>
    <w:rsid w:val="006C574A"/>
    <w:rsid w:val="006C6AF2"/>
    <w:rsid w:val="006D53A0"/>
    <w:rsid w:val="006F658C"/>
    <w:rsid w:val="00722A22"/>
    <w:rsid w:val="00792697"/>
    <w:rsid w:val="0081288F"/>
    <w:rsid w:val="008B066F"/>
    <w:rsid w:val="00986CC0"/>
    <w:rsid w:val="009E4651"/>
    <w:rsid w:val="00A0310C"/>
    <w:rsid w:val="00B90800"/>
    <w:rsid w:val="00BA7F87"/>
    <w:rsid w:val="00C6493A"/>
    <w:rsid w:val="00D75041"/>
    <w:rsid w:val="00E02156"/>
    <w:rsid w:val="00E97423"/>
    <w:rsid w:val="00FF2DB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041"/>
    <w:pPr>
      <w:ind w:left="720"/>
      <w:contextualSpacing/>
    </w:pPr>
  </w:style>
  <w:style w:type="paragraph" w:styleId="Textodeglobo">
    <w:name w:val="Balloon Text"/>
    <w:basedOn w:val="Normal"/>
    <w:link w:val="TextodegloboCar"/>
    <w:uiPriority w:val="99"/>
    <w:semiHidden/>
    <w:unhideWhenUsed/>
    <w:rsid w:val="00D7504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041"/>
    <w:rPr>
      <w:rFonts w:ascii="Tahoma" w:hAnsi="Tahoma" w:cs="Tahoma"/>
      <w:sz w:val="16"/>
      <w:szCs w:val="16"/>
    </w:rPr>
  </w:style>
  <w:style w:type="paragraph" w:customStyle="1" w:styleId="Default">
    <w:name w:val="Default"/>
    <w:rsid w:val="00B90800"/>
    <w:pPr>
      <w:autoSpaceDE w:val="0"/>
      <w:autoSpaceDN w:val="0"/>
      <w:adjustRightInd w:val="0"/>
      <w:spacing w:line="240" w:lineRule="auto"/>
      <w:jc w:val="left"/>
    </w:pPr>
    <w:rPr>
      <w:rFonts w:ascii="Calibri" w:hAnsi="Calibri" w:cs="Calibri"/>
      <w:color w:val="000000"/>
      <w:sz w:val="24"/>
      <w:szCs w:val="24"/>
    </w:rPr>
  </w:style>
  <w:style w:type="character" w:styleId="Hipervnculo">
    <w:name w:val="Hyperlink"/>
    <w:basedOn w:val="Fuentedeprrafopredeter"/>
    <w:uiPriority w:val="99"/>
    <w:unhideWhenUsed/>
    <w:rsid w:val="002D6F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2018895">
      <w:bodyDiv w:val="1"/>
      <w:marLeft w:val="0"/>
      <w:marRight w:val="0"/>
      <w:marTop w:val="0"/>
      <w:marBottom w:val="0"/>
      <w:divBdr>
        <w:top w:val="none" w:sz="0" w:space="0" w:color="auto"/>
        <w:left w:val="none" w:sz="0" w:space="0" w:color="auto"/>
        <w:bottom w:val="none" w:sz="0" w:space="0" w:color="auto"/>
        <w:right w:val="none" w:sz="0" w:space="0" w:color="auto"/>
      </w:divBdr>
    </w:div>
    <w:div w:id="10735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timeline.cl/2018/04/subsecretario-arab-y-una-politica-sin-agenda-laboral-en-antofagasta/"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redimin.cl/presidente-pinera-antofagasta-es-un-candidato-muy-fuerte-para-tener-el-centro-tecnologico-del-litio/" TargetMode="External"/><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hyperlink" Target="http://www.elmostrador.cl/mercados/2017/12/07/los-600-mil-empleos-de-sebastian-pinera-algo-no-calza/" TargetMode="Externa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cooperativa.cl/noticias/pais/trabajo/chadwick-en-antofagasta-reactivaremos-el-pleno-empleo-como-lo-hicimos/2018-06-07/164939.htm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1748</Words>
  <Characters>9617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Cerda</dc:creator>
  <cp:lastModifiedBy>Luis Cerda</cp:lastModifiedBy>
  <cp:revision>14</cp:revision>
  <dcterms:created xsi:type="dcterms:W3CDTF">2018-06-25T13:57:00Z</dcterms:created>
  <dcterms:modified xsi:type="dcterms:W3CDTF">2018-06-25T16:55:00Z</dcterms:modified>
</cp:coreProperties>
</file>