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8D9" w:rsidRDefault="00F93C7B" w:rsidP="00DB295A">
      <w:pPr>
        <w:pStyle w:val="Ttulo1"/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t>Minuta Federación Red Apícola Nacional F.G.</w:t>
      </w:r>
    </w:p>
    <w:p w:rsidR="001A7F7D" w:rsidRDefault="001A7F7D" w:rsidP="001A7F7D">
      <w:pPr>
        <w:spacing w:after="0"/>
        <w:jc w:val="center"/>
        <w:rPr>
          <w:lang w:val="es-ES"/>
        </w:rPr>
      </w:pPr>
      <w:r>
        <w:rPr>
          <w:lang w:val="es-ES"/>
        </w:rPr>
        <w:t>Comisión de agricultura del Senado</w:t>
      </w:r>
    </w:p>
    <w:p w:rsidR="00DB295A" w:rsidRPr="00DB295A" w:rsidRDefault="00DB295A" w:rsidP="001A7F7D">
      <w:pPr>
        <w:spacing w:after="0"/>
        <w:jc w:val="center"/>
        <w:rPr>
          <w:lang w:val="es-ES"/>
        </w:rPr>
      </w:pPr>
      <w:r>
        <w:rPr>
          <w:lang w:val="es-ES"/>
        </w:rPr>
        <w:t>Santiago, 18 de marzo de 2019</w:t>
      </w:r>
    </w:p>
    <w:p w:rsidR="00DB295A" w:rsidRPr="00DB295A" w:rsidRDefault="00DB295A" w:rsidP="00DB295A">
      <w:pPr>
        <w:rPr>
          <w:lang w:val="es-ES"/>
        </w:rPr>
      </w:pPr>
    </w:p>
    <w:p w:rsidR="00DB295A" w:rsidRDefault="00DB295A" w:rsidP="00DB295A">
      <w:pPr>
        <w:pStyle w:val="Ttulo2"/>
        <w:rPr>
          <w:lang w:val="es-ES"/>
        </w:rPr>
      </w:pPr>
      <w:r>
        <w:rPr>
          <w:lang w:val="es-ES"/>
        </w:rPr>
        <w:t xml:space="preserve">Aspectos Generales </w:t>
      </w:r>
    </w:p>
    <w:p w:rsidR="00F93C7B" w:rsidRDefault="00320834" w:rsidP="00C75F1D">
      <w:pPr>
        <w:jc w:val="both"/>
      </w:pPr>
      <w:r>
        <w:rPr>
          <w:lang w:val="es-ES"/>
        </w:rPr>
        <w:t xml:space="preserve">Como Federación </w:t>
      </w:r>
      <w:r w:rsidR="007563EA">
        <w:rPr>
          <w:lang w:val="es-ES"/>
        </w:rPr>
        <w:t xml:space="preserve">evaluamos positivamente </w:t>
      </w:r>
      <w:r w:rsidR="00B722F9">
        <w:rPr>
          <w:lang w:val="es-ES"/>
        </w:rPr>
        <w:t xml:space="preserve">que se retome </w:t>
      </w:r>
      <w:r w:rsidR="007563EA">
        <w:rPr>
          <w:lang w:val="es-ES"/>
        </w:rPr>
        <w:t xml:space="preserve">la iniciativa de legislar </w:t>
      </w:r>
      <w:r w:rsidR="00B722F9">
        <w:rPr>
          <w:lang w:val="es-ES"/>
        </w:rPr>
        <w:t xml:space="preserve">y </w:t>
      </w:r>
      <w:r>
        <w:t xml:space="preserve">nos manifestamos disponibles para participar del debate </w:t>
      </w:r>
      <w:r w:rsidR="00C75F1D">
        <w:t>en el proceso de construcción de una ley que regule el desarrollo</w:t>
      </w:r>
      <w:r>
        <w:t xml:space="preserve"> del rubro apícola</w:t>
      </w:r>
      <w:r w:rsidR="00C75F1D">
        <w:t xml:space="preserve"> en el país</w:t>
      </w:r>
      <w:r>
        <w:t xml:space="preserve">, tal como lo hemos planteado en oportunidades anteriores, nos interesa una ley que fortalezca el </w:t>
      </w:r>
      <w:r w:rsidRPr="009A1D7A">
        <w:rPr>
          <w:i/>
        </w:rPr>
        <w:t>fomento y la sustentabilidad</w:t>
      </w:r>
      <w:r>
        <w:t xml:space="preserve"> </w:t>
      </w:r>
      <w:r w:rsidR="00C75F1D">
        <w:t>de la actividad apícola</w:t>
      </w:r>
      <w:r>
        <w:t xml:space="preserve"> y que por sobre todo tenga una mirada de futuro. Legislemos pensando en los próximos treinta o cincuenta años, recojamos los aprendizajes históricos y proyectémonos a futuro</w:t>
      </w:r>
      <w:r w:rsidR="00C75F1D">
        <w:t xml:space="preserve"> en los nuevos contextos de estándares regulatorios internacionales. </w:t>
      </w:r>
    </w:p>
    <w:p w:rsidR="005C1FEA" w:rsidRDefault="005C1FEA" w:rsidP="00C75F1D">
      <w:pPr>
        <w:jc w:val="both"/>
      </w:pPr>
      <w:r>
        <w:t>Saludamos también la iniciativa de votar en relación a considerar el robo de colmenas como abigeato</w:t>
      </w:r>
      <w:r w:rsidR="00FE321D">
        <w:t xml:space="preserve"> y someterla a regulación bajo esa norma. </w:t>
      </w:r>
    </w:p>
    <w:p w:rsidR="00C75F1D" w:rsidRDefault="00B722F9" w:rsidP="00C75F1D">
      <w:pPr>
        <w:jc w:val="both"/>
        <w:rPr>
          <w:lang w:val="es-ES"/>
        </w:rPr>
      </w:pPr>
      <w:r>
        <w:rPr>
          <w:lang w:val="es-ES"/>
        </w:rPr>
        <w:t xml:space="preserve">En términos generales y sin que tengan un orden de prioridad, esperamos ver reflejado en la futura ley al menos los siguientes componentes: </w:t>
      </w:r>
    </w:p>
    <w:p w:rsidR="00B722F9" w:rsidRDefault="00C75F1D" w:rsidP="00B722F9">
      <w:pPr>
        <w:pStyle w:val="Prrafodelista"/>
        <w:numPr>
          <w:ilvl w:val="0"/>
          <w:numId w:val="1"/>
        </w:numPr>
        <w:jc w:val="both"/>
      </w:pPr>
      <w:r w:rsidRPr="00B722F9">
        <w:rPr>
          <w:i/>
          <w:u w:val="single"/>
        </w:rPr>
        <w:t>Espíritu de Fomento</w:t>
      </w:r>
      <w:r>
        <w:t xml:space="preserve">: </w:t>
      </w:r>
      <w:r w:rsidR="00B722F9">
        <w:t>D</w:t>
      </w:r>
      <w:r>
        <w:t xml:space="preserve">eclarar la apicultura como un rubro de </w:t>
      </w:r>
      <w:r w:rsidRPr="00B722F9">
        <w:rPr>
          <w:b/>
        </w:rPr>
        <w:t>interés estratégico para el estado</w:t>
      </w:r>
      <w:r>
        <w:t>,</w:t>
      </w:r>
      <w:r w:rsidR="00B722F9">
        <w:t xml:space="preserve"> dado el rol que cumplen las abejas como el principal polinizador que contribuye a la producción de alimentos y enriquecimiento de la biodiversidad. </w:t>
      </w:r>
    </w:p>
    <w:p w:rsidR="00B722F9" w:rsidRDefault="00B722F9" w:rsidP="00B722F9">
      <w:pPr>
        <w:pStyle w:val="Prrafodelista"/>
        <w:numPr>
          <w:ilvl w:val="0"/>
          <w:numId w:val="1"/>
        </w:numPr>
        <w:jc w:val="both"/>
      </w:pPr>
      <w:r w:rsidRPr="00B73819">
        <w:rPr>
          <w:i/>
          <w:u w:val="single"/>
        </w:rPr>
        <w:t xml:space="preserve">Sustentabilidad ambiental y </w:t>
      </w:r>
      <w:proofErr w:type="spellStart"/>
      <w:r w:rsidRPr="00B73819">
        <w:rPr>
          <w:i/>
          <w:u w:val="single"/>
        </w:rPr>
        <w:t>apibotánica</w:t>
      </w:r>
      <w:proofErr w:type="spellEnd"/>
      <w:r>
        <w:t xml:space="preserve">: promover el cuidado, manejo y enriquecimiento de sistemas forestales con aptitud apícola, desde praderas, matorrales y bosques.  </w:t>
      </w:r>
    </w:p>
    <w:p w:rsidR="00B722F9" w:rsidRDefault="00B722F9" w:rsidP="00B722F9">
      <w:pPr>
        <w:pStyle w:val="Prrafodelista"/>
        <w:numPr>
          <w:ilvl w:val="0"/>
          <w:numId w:val="1"/>
        </w:numPr>
        <w:jc w:val="both"/>
      </w:pPr>
      <w:r w:rsidRPr="00BA2AD1">
        <w:rPr>
          <w:i/>
          <w:u w:val="single"/>
        </w:rPr>
        <w:t>Regulación y Protección en áreas de riesgos por uso de pesticidas</w:t>
      </w:r>
      <w:r>
        <w:t>: incorporar articulados que ajuste regulaciones en el procedimiento y uso de pesticidas teniendo en consideración la actividad apícola</w:t>
      </w:r>
      <w:r w:rsidR="00DB295A">
        <w:t>,</w:t>
      </w:r>
      <w:r>
        <w:t xml:space="preserve"> abejas y </w:t>
      </w:r>
      <w:r w:rsidR="00DB295A">
        <w:t xml:space="preserve">otros </w:t>
      </w:r>
      <w:r>
        <w:t xml:space="preserve">polinizadores, basarse en legislación europea.  </w:t>
      </w:r>
    </w:p>
    <w:p w:rsidR="00B722F9" w:rsidRDefault="00B722F9" w:rsidP="00B722F9">
      <w:pPr>
        <w:pStyle w:val="Prrafodelista"/>
        <w:numPr>
          <w:ilvl w:val="0"/>
          <w:numId w:val="1"/>
        </w:numPr>
        <w:jc w:val="both"/>
      </w:pPr>
      <w:r w:rsidRPr="00B73819">
        <w:rPr>
          <w:i/>
          <w:u w:val="single"/>
        </w:rPr>
        <w:t>Salud de las abejas</w:t>
      </w:r>
      <w:r>
        <w:t xml:space="preserve">: disponer de planes nacionales de gestión sanitaria con acceso a subsidio en el uso de productos de control de parásitos y enfermedades, ampliar la gama de principios activos autorizados para el control sanitario. </w:t>
      </w:r>
    </w:p>
    <w:p w:rsidR="00B722F9" w:rsidRDefault="00B722F9" w:rsidP="00B722F9">
      <w:pPr>
        <w:pStyle w:val="Prrafodelista"/>
        <w:numPr>
          <w:ilvl w:val="0"/>
          <w:numId w:val="1"/>
        </w:numPr>
        <w:jc w:val="both"/>
      </w:pPr>
      <w:r w:rsidRPr="00BA2AD1">
        <w:rPr>
          <w:i/>
          <w:u w:val="single"/>
        </w:rPr>
        <w:t>Trashumancia y uso del territorio</w:t>
      </w:r>
      <w:r>
        <w:t xml:space="preserve">: tener en consideración la orientación productiva de los territorios y los apicultores, la capacidad de carga apícola y la preexistencia de apicultores locales. </w:t>
      </w:r>
    </w:p>
    <w:p w:rsidR="00DB295A" w:rsidRDefault="00DB295A" w:rsidP="00C75F1D">
      <w:pPr>
        <w:pStyle w:val="Prrafodelista"/>
        <w:numPr>
          <w:ilvl w:val="0"/>
          <w:numId w:val="1"/>
        </w:numPr>
        <w:jc w:val="both"/>
      </w:pPr>
      <w:r w:rsidRPr="00DB295A">
        <w:rPr>
          <w:i/>
          <w:u w:val="single"/>
        </w:rPr>
        <w:t>Acceso a presupuesto que permita implementar normativa</w:t>
      </w:r>
      <w:r>
        <w:t xml:space="preserve">: que la institucionalidad de fomento y regulación disponga de recursos orientados a apoyar la inversión requerida con nuevos estándares, el acceso a mercados, la investigación, los procesos de capacitación y profesionalización. </w:t>
      </w:r>
    </w:p>
    <w:p w:rsidR="00A10754" w:rsidRDefault="00A10754" w:rsidP="00C75F1D">
      <w:pPr>
        <w:pStyle w:val="Prrafodelista"/>
        <w:numPr>
          <w:ilvl w:val="0"/>
          <w:numId w:val="1"/>
        </w:numPr>
        <w:jc w:val="both"/>
      </w:pPr>
      <w:r>
        <w:rPr>
          <w:i/>
          <w:u w:val="single"/>
        </w:rPr>
        <w:t>Reacción frente a catástrofe</w:t>
      </w:r>
      <w:r w:rsidRPr="00A10754">
        <w:t>:</w:t>
      </w:r>
      <w:r>
        <w:t xml:space="preserve"> contemplar mecanismo de reacción y ayuda en tiempo de catástrofe que permita recuperar y desarrollar la actividad apícola </w:t>
      </w:r>
    </w:p>
    <w:p w:rsidR="00C75F1D" w:rsidRDefault="00C75F1D" w:rsidP="00C75F1D">
      <w:pPr>
        <w:pStyle w:val="Prrafodelista"/>
        <w:numPr>
          <w:ilvl w:val="0"/>
          <w:numId w:val="1"/>
        </w:numPr>
        <w:jc w:val="both"/>
      </w:pPr>
      <w:r w:rsidRPr="0024305A">
        <w:rPr>
          <w:i/>
          <w:u w:val="single"/>
        </w:rPr>
        <w:t>Gestión y autonomía de la comisión nacional apícola</w:t>
      </w:r>
      <w:r>
        <w:t xml:space="preserve">: que la comisión nacional disponga de presupuesto y una secretaría técnica que promueva el fomento, la resolución de </w:t>
      </w:r>
      <w:r w:rsidR="00DB295A">
        <w:t>conflictos y</w:t>
      </w:r>
      <w:r>
        <w:t xml:space="preserve"> los estudios necesarios para el desarrollo del rubro. </w:t>
      </w:r>
    </w:p>
    <w:p w:rsidR="005C1FEA" w:rsidRDefault="005C1FE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lastRenderedPageBreak/>
        <w:br w:type="page"/>
      </w:r>
    </w:p>
    <w:p w:rsidR="00DB295A" w:rsidRDefault="00DB295A" w:rsidP="00DB295A">
      <w:pPr>
        <w:pStyle w:val="Ttulo2"/>
      </w:pPr>
      <w:r>
        <w:lastRenderedPageBreak/>
        <w:t xml:space="preserve">Opinión de Boletines </w:t>
      </w:r>
    </w:p>
    <w:p w:rsidR="005C1FEA" w:rsidRDefault="005C1FEA" w:rsidP="005C1FEA"/>
    <w:p w:rsidR="00FC45DA" w:rsidRDefault="00FC45DA" w:rsidP="005C1FEA">
      <w:r>
        <w:t xml:space="preserve">Sin perjuicio de manifestarnos disponibles para hacer aportes en los distintos artículos manifestamos en términos generales lo siguiente: </w:t>
      </w:r>
    </w:p>
    <w:p w:rsidR="00C75F1D" w:rsidRPr="007B1A05" w:rsidRDefault="003D30A2" w:rsidP="00C75F1D">
      <w:pPr>
        <w:jc w:val="both"/>
        <w:rPr>
          <w:b/>
        </w:rPr>
      </w:pPr>
      <w:r w:rsidRPr="007B1A05">
        <w:rPr>
          <w:b/>
        </w:rPr>
        <w:t xml:space="preserve">Boletín 9.961-01: </w:t>
      </w:r>
    </w:p>
    <w:p w:rsidR="00FE321D" w:rsidRPr="00FC45DA" w:rsidRDefault="004E549B" w:rsidP="00C75F1D">
      <w:pPr>
        <w:jc w:val="both"/>
      </w:pPr>
      <w:r w:rsidRPr="00FC45DA">
        <w:t xml:space="preserve">Desde nuestra visión no hay claridad en los mecanismos de fomento a la actividad, como existen en otro tipo de actividades agrícolas. </w:t>
      </w:r>
      <w:r w:rsidR="007B1A05">
        <w:t xml:space="preserve">Se ve un acento </w:t>
      </w:r>
      <w:proofErr w:type="spellStart"/>
      <w:r w:rsidR="008D7E6C">
        <w:t>mas</w:t>
      </w:r>
      <w:proofErr w:type="spellEnd"/>
      <w:r w:rsidR="008D7E6C">
        <w:t xml:space="preserve"> </w:t>
      </w:r>
      <w:r w:rsidR="007B1A05">
        <w:t xml:space="preserve">en la sanción </w:t>
      </w:r>
      <w:r w:rsidR="008D7E6C">
        <w:t>que en los</w:t>
      </w:r>
      <w:r w:rsidRPr="00FC45DA">
        <w:t xml:space="preserve"> derechos</w:t>
      </w:r>
    </w:p>
    <w:p w:rsidR="004E549B" w:rsidRPr="00FC45DA" w:rsidRDefault="004E549B" w:rsidP="00C75F1D">
      <w:pPr>
        <w:jc w:val="both"/>
      </w:pPr>
      <w:r w:rsidRPr="00FC45DA">
        <w:t xml:space="preserve">Estimamos que falta mayor rigurosidad en las definiciones y que estas dialoguen con normas internacionales </w:t>
      </w:r>
    </w:p>
    <w:p w:rsidR="004E549B" w:rsidRPr="00FC45DA" w:rsidRDefault="006517E7" w:rsidP="00C75F1D">
      <w:pPr>
        <w:jc w:val="both"/>
      </w:pPr>
      <w:r w:rsidRPr="00FC45DA">
        <w:t xml:space="preserve">No </w:t>
      </w:r>
      <w:r w:rsidR="00A10754">
        <w:t>quedan claras las normas de tra</w:t>
      </w:r>
      <w:r w:rsidRPr="00FC45DA">
        <w:t>shumancia y surgen varias interrogantes respecto de cómo normar este proceso</w:t>
      </w:r>
    </w:p>
    <w:p w:rsidR="006517E7" w:rsidRPr="00FC45DA" w:rsidRDefault="007B1A05" w:rsidP="00C75F1D">
      <w:pPr>
        <w:jc w:val="both"/>
      </w:pPr>
      <w:r w:rsidRPr="00FC45DA">
        <w:t>Vemos confusión</w:t>
      </w:r>
      <w:r w:rsidR="006517E7" w:rsidRPr="00FC45DA">
        <w:t xml:space="preserve"> entre trazabilidad de apiarios y trazabilidad de colonias de abeja</w:t>
      </w:r>
      <w:r>
        <w:t xml:space="preserve">, no dialoga con el SIPEC que maneja el SAG. </w:t>
      </w:r>
    </w:p>
    <w:p w:rsidR="00FE321D" w:rsidRPr="009A1D7A" w:rsidRDefault="007B1A05" w:rsidP="00C75F1D">
      <w:pPr>
        <w:jc w:val="both"/>
        <w:rPr>
          <w:b/>
        </w:rPr>
      </w:pPr>
      <w:r w:rsidRPr="009A1D7A">
        <w:rPr>
          <w:b/>
        </w:rPr>
        <w:t xml:space="preserve">Boletín 9.479-01 y 10.144-01 refundidos </w:t>
      </w:r>
    </w:p>
    <w:p w:rsidR="009A1D7A" w:rsidRDefault="009A1D7A" w:rsidP="00C75F1D">
      <w:pPr>
        <w:jc w:val="both"/>
      </w:pPr>
      <w:r>
        <w:t xml:space="preserve">Falta la definición de miel homologable al Codex </w:t>
      </w:r>
      <w:proofErr w:type="spellStart"/>
      <w:r>
        <w:t>Alimentarius</w:t>
      </w:r>
      <w:proofErr w:type="spellEnd"/>
      <w:r>
        <w:t>, que permita hacer frente a la circulación de mieles falsas</w:t>
      </w:r>
    </w:p>
    <w:p w:rsidR="009A1D7A" w:rsidRDefault="009A1D7A" w:rsidP="00C75F1D">
      <w:pPr>
        <w:jc w:val="both"/>
      </w:pPr>
      <w:r>
        <w:t>Establecer distancias mínimas de aviso a los apicultores cuando se aplican pesticidas, considerando el radio económico de vuelo de las abejas.</w:t>
      </w:r>
    </w:p>
    <w:p w:rsidR="00CD4E37" w:rsidRDefault="009A1D7A" w:rsidP="009A1D7A">
      <w:pPr>
        <w:jc w:val="both"/>
      </w:pPr>
      <w:r>
        <w:t xml:space="preserve">Se requiere mayor claridad respectos de la tipificación de mieles y ceras falsificadas. </w:t>
      </w:r>
    </w:p>
    <w:p w:rsidR="008D7E6C" w:rsidRDefault="008D7E6C" w:rsidP="009A1D7A">
      <w:pPr>
        <w:jc w:val="both"/>
      </w:pPr>
    </w:p>
    <w:p w:rsidR="008D7E6C" w:rsidRDefault="008D7E6C" w:rsidP="008D7E6C">
      <w:pPr>
        <w:spacing w:after="0"/>
        <w:jc w:val="both"/>
      </w:pPr>
      <w:r>
        <w:t xml:space="preserve">Federación Red Apícola Nacional F.G. </w:t>
      </w:r>
    </w:p>
    <w:p w:rsidR="008D7E6C" w:rsidRDefault="00985432" w:rsidP="008D7E6C">
      <w:pPr>
        <w:spacing w:after="0"/>
        <w:jc w:val="both"/>
      </w:pPr>
      <w:hyperlink r:id="rId5" w:history="1">
        <w:r w:rsidR="008D7E6C" w:rsidRPr="002240B2">
          <w:rPr>
            <w:rStyle w:val="Hipervnculo"/>
          </w:rPr>
          <w:t>www.redapicolachile.cl</w:t>
        </w:r>
      </w:hyperlink>
      <w:r w:rsidR="008D7E6C">
        <w:t xml:space="preserve"> </w:t>
      </w:r>
    </w:p>
    <w:sectPr w:rsidR="008D7E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00FE1"/>
    <w:multiLevelType w:val="hybridMultilevel"/>
    <w:tmpl w:val="A9767F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7B"/>
    <w:rsid w:val="001A7F7D"/>
    <w:rsid w:val="00320834"/>
    <w:rsid w:val="003D30A2"/>
    <w:rsid w:val="00435DF2"/>
    <w:rsid w:val="004E549B"/>
    <w:rsid w:val="005C1FEA"/>
    <w:rsid w:val="006517E7"/>
    <w:rsid w:val="007563EA"/>
    <w:rsid w:val="007B1A05"/>
    <w:rsid w:val="008228D9"/>
    <w:rsid w:val="008D7E6C"/>
    <w:rsid w:val="00985432"/>
    <w:rsid w:val="009A1D7A"/>
    <w:rsid w:val="00A10754"/>
    <w:rsid w:val="00B722F9"/>
    <w:rsid w:val="00C75F1D"/>
    <w:rsid w:val="00CD4E37"/>
    <w:rsid w:val="00DB295A"/>
    <w:rsid w:val="00ED6D37"/>
    <w:rsid w:val="00F93C7B"/>
    <w:rsid w:val="00FC45DA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E9B159-922A-49D8-BA21-D008A37F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DB2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29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F1D"/>
    <w:pPr>
      <w:spacing w:after="200" w:line="276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B29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DB2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/>
    </w:rPr>
  </w:style>
  <w:style w:type="character" w:styleId="Hipervnculo">
    <w:name w:val="Hyperlink"/>
    <w:basedOn w:val="Fuentedeprrafopredeter"/>
    <w:uiPriority w:val="99"/>
    <w:unhideWhenUsed/>
    <w:rsid w:val="008D7E6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7E6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DF2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dapicolachile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Misael</dc:creator>
  <cp:keywords/>
  <dc:description/>
  <cp:lastModifiedBy>BGALLEGUILLOS</cp:lastModifiedBy>
  <cp:revision>2</cp:revision>
  <cp:lastPrinted>2019-03-18T14:17:00Z</cp:lastPrinted>
  <dcterms:created xsi:type="dcterms:W3CDTF">2019-03-28T20:02:00Z</dcterms:created>
  <dcterms:modified xsi:type="dcterms:W3CDTF">2019-03-28T20:02:00Z</dcterms:modified>
</cp:coreProperties>
</file>