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64AB" w:rsidRPr="0094468F" w:rsidRDefault="002C64AB" w:rsidP="00EF2134">
      <w:pPr>
        <w:spacing w:after="0" w:line="276" w:lineRule="auto"/>
        <w:jc w:val="both"/>
        <w:rPr>
          <w:rFonts w:ascii="Garamond" w:hAnsi="Garamond"/>
        </w:rPr>
      </w:pPr>
    </w:p>
    <w:p w:rsidR="002C64AB" w:rsidRPr="0094468F" w:rsidRDefault="002C64AB" w:rsidP="00EF2134">
      <w:pPr>
        <w:spacing w:line="276" w:lineRule="auto"/>
        <w:jc w:val="center"/>
        <w:rPr>
          <w:rFonts w:ascii="Garamond" w:hAnsi="Garamond"/>
        </w:rPr>
      </w:pPr>
      <w:r w:rsidRPr="0094468F">
        <w:rPr>
          <w:rFonts w:ascii="Garamond" w:hAnsi="Garamond"/>
          <w:lang w:val="es-CL"/>
        </w:rPr>
        <w:t xml:space="preserve">COMENTARIOS AL PROYECTO DE LEY SOBRE EL DERECHO DE LAS MUJERES A UNA VIDA LIBRE DE VIOLENCIA  (Boletín </w:t>
      </w:r>
      <w:proofErr w:type="spellStart"/>
      <w:r w:rsidRPr="0094468F">
        <w:rPr>
          <w:rFonts w:ascii="Garamond" w:hAnsi="Garamond"/>
          <w:lang w:val="es-CL"/>
        </w:rPr>
        <w:t>Nº</w:t>
      </w:r>
      <w:proofErr w:type="spellEnd"/>
      <w:r w:rsidRPr="0094468F">
        <w:rPr>
          <w:rFonts w:ascii="Garamond" w:hAnsi="Garamond"/>
          <w:lang w:val="es-CL"/>
        </w:rPr>
        <w:t xml:space="preserve"> </w:t>
      </w:r>
      <w:r w:rsidRPr="0094468F">
        <w:rPr>
          <w:rFonts w:ascii="Garamond" w:hAnsi="Garamond"/>
        </w:rPr>
        <w:t>11</w:t>
      </w:r>
      <w:r w:rsidR="00E31BB5">
        <w:rPr>
          <w:rFonts w:ascii="Garamond" w:hAnsi="Garamond"/>
        </w:rPr>
        <w:t>.</w:t>
      </w:r>
      <w:r w:rsidRPr="0094468F">
        <w:rPr>
          <w:rFonts w:ascii="Garamond" w:hAnsi="Garamond"/>
        </w:rPr>
        <w:t>077-07)</w:t>
      </w:r>
    </w:p>
    <w:p w:rsidR="007447CC" w:rsidRPr="0094468F" w:rsidRDefault="004624A8" w:rsidP="002F50E3">
      <w:pPr>
        <w:spacing w:line="276" w:lineRule="auto"/>
        <w:jc w:val="both"/>
        <w:rPr>
          <w:rFonts w:ascii="Garamond" w:hAnsi="Garamond"/>
          <w:i/>
        </w:rPr>
      </w:pPr>
      <w:r w:rsidRPr="0094468F">
        <w:rPr>
          <w:rFonts w:ascii="Garamond" w:hAnsi="Garamond"/>
          <w:i/>
        </w:rPr>
        <w:t xml:space="preserve">Por </w:t>
      </w:r>
      <w:r w:rsidR="000A0981" w:rsidRPr="0094468F">
        <w:rPr>
          <w:rFonts w:ascii="Garamond" w:hAnsi="Garamond"/>
          <w:i/>
        </w:rPr>
        <w:t>Myrna Villegas Díaz</w:t>
      </w:r>
      <w:r w:rsidR="00FD6BDA" w:rsidRPr="0094468F">
        <w:rPr>
          <w:rStyle w:val="Refdenotaalpie"/>
          <w:rFonts w:ascii="Garamond" w:hAnsi="Garamond"/>
          <w:i/>
        </w:rPr>
        <w:footnoteReference w:customMarkFollows="1" w:id="1"/>
        <w:sym w:font="Symbol" w:char="F02A"/>
      </w:r>
    </w:p>
    <w:p w:rsidR="002F50E3" w:rsidRPr="0094468F" w:rsidRDefault="00AC60AB" w:rsidP="002F50E3">
      <w:pPr>
        <w:spacing w:line="276" w:lineRule="auto"/>
        <w:jc w:val="right"/>
        <w:rPr>
          <w:rFonts w:ascii="Garamond" w:hAnsi="Garamond"/>
        </w:rPr>
      </w:pPr>
      <w:r>
        <w:rPr>
          <w:rFonts w:ascii="Garamond" w:hAnsi="Garamond"/>
        </w:rPr>
        <w:t>Valparaíso, 03 de abril de 2019</w:t>
      </w:r>
      <w:r w:rsidR="002F50E3" w:rsidRPr="0094468F">
        <w:rPr>
          <w:rFonts w:ascii="Garamond" w:hAnsi="Garamond"/>
        </w:rPr>
        <w:t>.</w:t>
      </w:r>
    </w:p>
    <w:p w:rsidR="002C64AB" w:rsidRPr="0094468F" w:rsidRDefault="002C64AB" w:rsidP="00EF2134">
      <w:pPr>
        <w:spacing w:line="276" w:lineRule="auto"/>
        <w:jc w:val="both"/>
        <w:rPr>
          <w:rFonts w:ascii="Garamond" w:hAnsi="Garamond"/>
        </w:rPr>
      </w:pPr>
      <w:r w:rsidRPr="0094468F">
        <w:rPr>
          <w:rFonts w:ascii="Garamond" w:hAnsi="Garamond"/>
        </w:rPr>
        <w:t xml:space="preserve">Honorables miembros de la </w:t>
      </w:r>
      <w:r w:rsidR="00AC60AB">
        <w:rPr>
          <w:rFonts w:ascii="Garamond" w:hAnsi="Garamond"/>
        </w:rPr>
        <w:t>Comisión de la Mujer y la igualdad de género del Senado</w:t>
      </w:r>
      <w:r w:rsidRPr="0094468F">
        <w:rPr>
          <w:rFonts w:ascii="Garamond" w:hAnsi="Garamond"/>
        </w:rPr>
        <w:t>:</w:t>
      </w:r>
    </w:p>
    <w:p w:rsidR="00C95BCC" w:rsidRDefault="002C64AB" w:rsidP="00E31BB5">
      <w:pPr>
        <w:spacing w:line="276" w:lineRule="auto"/>
        <w:jc w:val="both"/>
        <w:rPr>
          <w:rFonts w:ascii="Garamond" w:hAnsi="Garamond"/>
        </w:rPr>
      </w:pPr>
      <w:r w:rsidRPr="0094468F">
        <w:rPr>
          <w:rFonts w:ascii="Garamond" w:hAnsi="Garamond"/>
        </w:rPr>
        <w:t xml:space="preserve">A </w:t>
      </w:r>
      <w:r w:rsidR="004624A8" w:rsidRPr="0094468F">
        <w:rPr>
          <w:rFonts w:ascii="Garamond" w:hAnsi="Garamond"/>
        </w:rPr>
        <w:t xml:space="preserve">nombre del </w:t>
      </w:r>
      <w:r w:rsidR="00AC60AB">
        <w:rPr>
          <w:rFonts w:ascii="Garamond" w:hAnsi="Garamond"/>
        </w:rPr>
        <w:t xml:space="preserve">Departamento de Ciencias Penales </w:t>
      </w:r>
      <w:r w:rsidRPr="0094468F">
        <w:rPr>
          <w:rFonts w:ascii="Garamond" w:hAnsi="Garamond"/>
        </w:rPr>
        <w:t>de la Facultad de Derecho de la Universidad de Chile quiero agradec</w:t>
      </w:r>
      <w:r w:rsidR="00C95BCC">
        <w:rPr>
          <w:rFonts w:ascii="Garamond" w:hAnsi="Garamond"/>
        </w:rPr>
        <w:t>er la invitación que se me ha formulado</w:t>
      </w:r>
      <w:r w:rsidRPr="0094468F">
        <w:rPr>
          <w:rFonts w:ascii="Garamond" w:hAnsi="Garamond"/>
        </w:rPr>
        <w:t xml:space="preserve"> para comentar e</w:t>
      </w:r>
      <w:r w:rsidR="00E31BB5">
        <w:rPr>
          <w:rFonts w:ascii="Garamond" w:hAnsi="Garamond"/>
        </w:rPr>
        <w:t>l</w:t>
      </w:r>
      <w:r w:rsidRPr="0094468F">
        <w:rPr>
          <w:rFonts w:ascii="Garamond" w:hAnsi="Garamond"/>
        </w:rPr>
        <w:t xml:space="preserve"> proyecto de ley </w:t>
      </w:r>
      <w:r w:rsidR="00E31BB5">
        <w:rPr>
          <w:rFonts w:ascii="Garamond" w:hAnsi="Garamond"/>
        </w:rPr>
        <w:t xml:space="preserve">sobre el derecho de las mujeres a una vida libre de violencia, cuyo aspecto más destacable es </w:t>
      </w:r>
      <w:r w:rsidR="000A0981" w:rsidRPr="0094468F">
        <w:rPr>
          <w:rFonts w:ascii="Garamond" w:hAnsi="Garamond"/>
        </w:rPr>
        <w:t>la riqueza en la fundamentación teórica que lo avala y el especial énfasis en los estándares internacionales de derechos humanos</w:t>
      </w:r>
      <w:r w:rsidR="004624A8" w:rsidRPr="0094468F">
        <w:rPr>
          <w:rFonts w:ascii="Garamond" w:hAnsi="Garamond"/>
        </w:rPr>
        <w:t xml:space="preserve">. </w:t>
      </w:r>
    </w:p>
    <w:p w:rsidR="001947FD" w:rsidRDefault="00B9086D" w:rsidP="00E31BB5">
      <w:pPr>
        <w:spacing w:line="276" w:lineRule="auto"/>
        <w:jc w:val="both"/>
        <w:rPr>
          <w:rFonts w:ascii="Garamond" w:hAnsi="Garamond"/>
        </w:rPr>
      </w:pPr>
      <w:r w:rsidRPr="0094468F">
        <w:rPr>
          <w:rFonts w:ascii="Garamond" w:hAnsi="Garamond"/>
        </w:rPr>
        <w:t>En</w:t>
      </w:r>
      <w:r w:rsidR="00AC60AB">
        <w:rPr>
          <w:rFonts w:ascii="Garamond" w:hAnsi="Garamond"/>
        </w:rPr>
        <w:t xml:space="preserve"> términos generales, </w:t>
      </w:r>
      <w:r w:rsidR="004624A8" w:rsidRPr="0094468F">
        <w:rPr>
          <w:rFonts w:ascii="Garamond" w:hAnsi="Garamond"/>
        </w:rPr>
        <w:t>valor</w:t>
      </w:r>
      <w:r w:rsidR="00C95BCC">
        <w:rPr>
          <w:rFonts w:ascii="Garamond" w:hAnsi="Garamond"/>
        </w:rPr>
        <w:t>o en forma</w:t>
      </w:r>
      <w:r w:rsidR="004624A8" w:rsidRPr="0094468F">
        <w:rPr>
          <w:rFonts w:ascii="Garamond" w:hAnsi="Garamond"/>
        </w:rPr>
        <w:t xml:space="preserve"> p</w:t>
      </w:r>
      <w:r w:rsidRPr="0094468F">
        <w:rPr>
          <w:rFonts w:ascii="Garamond" w:hAnsi="Garamond"/>
        </w:rPr>
        <w:t xml:space="preserve">ositiva </w:t>
      </w:r>
      <w:r w:rsidR="004624A8" w:rsidRPr="0094468F">
        <w:rPr>
          <w:rFonts w:ascii="Garamond" w:hAnsi="Garamond"/>
        </w:rPr>
        <w:t xml:space="preserve">el </w:t>
      </w:r>
      <w:r w:rsidRPr="0094468F">
        <w:rPr>
          <w:rFonts w:ascii="Garamond" w:hAnsi="Garamond"/>
        </w:rPr>
        <w:t>proyecto de ley</w:t>
      </w:r>
      <w:r w:rsidR="00C95BCC">
        <w:rPr>
          <w:rFonts w:ascii="Garamond" w:hAnsi="Garamond"/>
        </w:rPr>
        <w:t xml:space="preserve">, sin perjuicio de algunos comentarios que se efectuarán, pues ella acoge una de las cuestiones </w:t>
      </w:r>
      <w:proofErr w:type="spellStart"/>
      <w:r w:rsidR="00C95BCC">
        <w:rPr>
          <w:rFonts w:ascii="Garamond" w:hAnsi="Garamond"/>
        </w:rPr>
        <w:t>mas</w:t>
      </w:r>
      <w:proofErr w:type="spellEnd"/>
      <w:r w:rsidR="00C95BCC">
        <w:rPr>
          <w:rFonts w:ascii="Garamond" w:hAnsi="Garamond"/>
        </w:rPr>
        <w:t xml:space="preserve"> criticadas a la actual ley de VIF (N°20.066) cual es confundir la violencia intrafamiliar con la violencia de género. En este sentido, el proyecto, pretende terminar con esta confusión consagrando una </w:t>
      </w:r>
      <w:r w:rsidR="001947FD" w:rsidRPr="0094468F">
        <w:rPr>
          <w:rFonts w:ascii="Garamond" w:hAnsi="Garamond"/>
        </w:rPr>
        <w:t>legislación diferenciada para ambos tipos de violencia</w:t>
      </w:r>
      <w:r w:rsidR="00C95BCC">
        <w:rPr>
          <w:rFonts w:ascii="Garamond" w:hAnsi="Garamond"/>
        </w:rPr>
        <w:t>, como demandan los estándares internacionales de derechos humanos, sin perjuicio de los comentarios que aquí se vierten.</w:t>
      </w:r>
      <w:r w:rsidR="002F50E3" w:rsidRPr="0094468F">
        <w:rPr>
          <w:rFonts w:ascii="Garamond" w:hAnsi="Garamond"/>
        </w:rPr>
        <w:t xml:space="preserve"> </w:t>
      </w:r>
    </w:p>
    <w:p w:rsidR="00CD4AFF" w:rsidRDefault="00CD4AFF" w:rsidP="00E31BB5">
      <w:pPr>
        <w:spacing w:line="276" w:lineRule="auto"/>
        <w:jc w:val="both"/>
        <w:rPr>
          <w:rFonts w:ascii="Garamond" w:hAnsi="Garamond"/>
        </w:rPr>
      </w:pPr>
    </w:p>
    <w:p w:rsidR="00CD4AFF" w:rsidRDefault="00CD4AFF" w:rsidP="00CD4AFF">
      <w:pPr>
        <w:pStyle w:val="Prrafodelista"/>
        <w:numPr>
          <w:ilvl w:val="0"/>
          <w:numId w:val="12"/>
        </w:numPr>
        <w:spacing w:line="276" w:lineRule="auto"/>
        <w:jc w:val="both"/>
        <w:rPr>
          <w:rFonts w:ascii="Garamond" w:hAnsi="Garamond"/>
        </w:rPr>
      </w:pPr>
      <w:r>
        <w:rPr>
          <w:rFonts w:ascii="Garamond" w:hAnsi="Garamond"/>
        </w:rPr>
        <w:t>Marco conceptual y ámbito de aplicación</w:t>
      </w:r>
    </w:p>
    <w:p w:rsidR="00CD4AFF" w:rsidRPr="00CD4AFF" w:rsidRDefault="00CD4AFF" w:rsidP="00CD4AFF">
      <w:pPr>
        <w:pStyle w:val="Prrafodelista"/>
        <w:spacing w:line="276" w:lineRule="auto"/>
        <w:jc w:val="both"/>
        <w:rPr>
          <w:rFonts w:ascii="Garamond" w:hAnsi="Garamond"/>
        </w:rPr>
      </w:pPr>
    </w:p>
    <w:p w:rsidR="00B9086D" w:rsidRPr="0094468F" w:rsidRDefault="001947FD" w:rsidP="00EF2134">
      <w:pPr>
        <w:spacing w:line="276" w:lineRule="auto"/>
        <w:jc w:val="both"/>
        <w:rPr>
          <w:rFonts w:ascii="Garamond" w:hAnsi="Garamond"/>
        </w:rPr>
      </w:pPr>
      <w:r w:rsidRPr="0094468F">
        <w:rPr>
          <w:rFonts w:ascii="Garamond" w:hAnsi="Garamond"/>
        </w:rPr>
        <w:t>En relación a</w:t>
      </w:r>
      <w:r w:rsidR="00C95BCC">
        <w:rPr>
          <w:rFonts w:ascii="Garamond" w:hAnsi="Garamond"/>
        </w:rPr>
        <w:t>l</w:t>
      </w:r>
      <w:r w:rsidRPr="0094468F">
        <w:rPr>
          <w:rFonts w:ascii="Garamond" w:hAnsi="Garamond"/>
          <w:lang w:val="es-CL"/>
        </w:rPr>
        <w:t xml:space="preserve"> marco conceptual o definitorio</w:t>
      </w:r>
      <w:r w:rsidR="00C95BCC">
        <w:rPr>
          <w:rFonts w:ascii="Garamond" w:hAnsi="Garamond"/>
          <w:lang w:val="es-CL"/>
        </w:rPr>
        <w:t xml:space="preserve"> que se emplea en el proyecto de ley</w:t>
      </w:r>
      <w:r w:rsidRPr="0094468F">
        <w:rPr>
          <w:rFonts w:ascii="Garamond" w:hAnsi="Garamond"/>
          <w:lang w:val="es-CL"/>
        </w:rPr>
        <w:t>, comparado con lo prescrito por el tratado específico sobre la mate</w:t>
      </w:r>
      <w:r w:rsidR="002F50E3" w:rsidRPr="0094468F">
        <w:rPr>
          <w:rFonts w:ascii="Garamond" w:hAnsi="Garamond"/>
          <w:lang w:val="es-CL"/>
        </w:rPr>
        <w:t>ria, la Convención de Belem do P</w:t>
      </w:r>
      <w:r w:rsidRPr="0094468F">
        <w:rPr>
          <w:rFonts w:ascii="Garamond" w:hAnsi="Garamond"/>
          <w:lang w:val="es-CL"/>
        </w:rPr>
        <w:t xml:space="preserve">ará, </w:t>
      </w:r>
      <w:r w:rsidR="00B9086D" w:rsidRPr="0094468F">
        <w:rPr>
          <w:rFonts w:ascii="Garamond" w:hAnsi="Garamond"/>
        </w:rPr>
        <w:t xml:space="preserve">la definición que proporciona </w:t>
      </w:r>
      <w:r w:rsidRPr="0094468F">
        <w:rPr>
          <w:rFonts w:ascii="Garamond" w:hAnsi="Garamond"/>
        </w:rPr>
        <w:t>el proyecto de ley sobre v</w:t>
      </w:r>
      <w:r w:rsidR="00B9086D" w:rsidRPr="0094468F">
        <w:rPr>
          <w:rFonts w:ascii="Garamond" w:hAnsi="Garamond"/>
        </w:rPr>
        <w:t>iolencia contra la</w:t>
      </w:r>
      <w:r w:rsidRPr="0094468F">
        <w:rPr>
          <w:rFonts w:ascii="Garamond" w:hAnsi="Garamond"/>
        </w:rPr>
        <w:t xml:space="preserve"> mujer (art. 2) </w:t>
      </w:r>
      <w:r w:rsidR="00B9086D" w:rsidRPr="0094468F">
        <w:rPr>
          <w:rFonts w:ascii="Garamond" w:hAnsi="Garamond"/>
        </w:rPr>
        <w:t xml:space="preserve">no hace sino reproducir </w:t>
      </w:r>
      <w:r w:rsidR="00D53801" w:rsidRPr="0094468F">
        <w:rPr>
          <w:rFonts w:ascii="Garamond" w:hAnsi="Garamond"/>
        </w:rPr>
        <w:t xml:space="preserve">lo señalado por </w:t>
      </w:r>
      <w:r w:rsidRPr="0094468F">
        <w:rPr>
          <w:rFonts w:ascii="Garamond" w:hAnsi="Garamond"/>
        </w:rPr>
        <w:t>aquel</w:t>
      </w:r>
      <w:r w:rsidRPr="0094468F">
        <w:rPr>
          <w:rStyle w:val="Refdenotaalpie"/>
          <w:rFonts w:ascii="Garamond" w:hAnsi="Garamond"/>
        </w:rPr>
        <w:footnoteReference w:id="2"/>
      </w:r>
      <w:r w:rsidR="004624A8" w:rsidRPr="0094468F">
        <w:rPr>
          <w:rFonts w:ascii="Garamond" w:hAnsi="Garamond"/>
        </w:rPr>
        <w:t xml:space="preserve">. Este tratado internacional </w:t>
      </w:r>
      <w:r w:rsidR="00B9086D" w:rsidRPr="0094468F">
        <w:rPr>
          <w:rFonts w:ascii="Garamond" w:hAnsi="Garamond"/>
        </w:rPr>
        <w:t>hace referencias explicita</w:t>
      </w:r>
      <w:r w:rsidR="004624A8" w:rsidRPr="0094468F">
        <w:rPr>
          <w:rFonts w:ascii="Garamond" w:hAnsi="Garamond"/>
        </w:rPr>
        <w:t>s a la “violencia basada en el gé</w:t>
      </w:r>
      <w:r w:rsidR="00B9086D" w:rsidRPr="0094468F">
        <w:rPr>
          <w:rFonts w:ascii="Garamond" w:hAnsi="Garamond"/>
        </w:rPr>
        <w:t xml:space="preserve">nero y </w:t>
      </w:r>
      <w:r w:rsidR="00B9086D" w:rsidRPr="0094468F">
        <w:rPr>
          <w:rFonts w:ascii="Garamond" w:hAnsi="Garamond"/>
        </w:rPr>
        <w:lastRenderedPageBreak/>
        <w:t>ejercida en el marco de las relaciones de poder históricamente desiguales que emanan de los roles diferenciados asignados a hombres y mujeres</w:t>
      </w:r>
      <w:r w:rsidR="004624A8" w:rsidRPr="0094468F">
        <w:rPr>
          <w:rFonts w:ascii="Garamond" w:hAnsi="Garamond"/>
        </w:rPr>
        <w:t>”</w:t>
      </w:r>
      <w:r w:rsidR="00B9086D" w:rsidRPr="0094468F">
        <w:rPr>
          <w:rStyle w:val="Refdenotaalpie"/>
          <w:rFonts w:ascii="Garamond" w:hAnsi="Garamond"/>
        </w:rPr>
        <w:footnoteReference w:id="3"/>
      </w:r>
      <w:r w:rsidRPr="0094468F">
        <w:rPr>
          <w:rFonts w:ascii="Garamond" w:hAnsi="Garamond"/>
        </w:rPr>
        <w:t xml:space="preserve">. Con ello </w:t>
      </w:r>
      <w:r w:rsidR="00D53801" w:rsidRPr="0094468F">
        <w:rPr>
          <w:rFonts w:ascii="Garamond" w:hAnsi="Garamond"/>
        </w:rPr>
        <w:t>el proyecto no plantea nada diverso de lo que ya ha sido ratificado por el Estado</w:t>
      </w:r>
      <w:r w:rsidRPr="0094468F">
        <w:rPr>
          <w:rFonts w:ascii="Garamond" w:hAnsi="Garamond"/>
        </w:rPr>
        <w:t xml:space="preserve">, y por ende fuera de discusión. </w:t>
      </w:r>
      <w:r w:rsidR="00C95BCC">
        <w:rPr>
          <w:rFonts w:ascii="Garamond" w:hAnsi="Garamond"/>
        </w:rPr>
        <w:t xml:space="preserve">Simplemente lo explicita y eso me parece adecuado. </w:t>
      </w:r>
    </w:p>
    <w:p w:rsidR="0009670B" w:rsidRPr="0094468F" w:rsidRDefault="004624A8" w:rsidP="00EF2134">
      <w:pPr>
        <w:spacing w:line="276" w:lineRule="auto"/>
        <w:jc w:val="both"/>
        <w:rPr>
          <w:rFonts w:ascii="Garamond" w:hAnsi="Garamond"/>
        </w:rPr>
      </w:pPr>
      <w:r w:rsidRPr="0094468F">
        <w:rPr>
          <w:rFonts w:ascii="Garamond" w:hAnsi="Garamond"/>
        </w:rPr>
        <w:t>Contempla además las mú</w:t>
      </w:r>
      <w:r w:rsidR="0009670B" w:rsidRPr="0094468F">
        <w:rPr>
          <w:rFonts w:ascii="Garamond" w:hAnsi="Garamond"/>
        </w:rPr>
        <w:t xml:space="preserve">ltiples formas que puede asumir la violencia contra la mujer, </w:t>
      </w:r>
      <w:r w:rsidR="001F38F5" w:rsidRPr="0094468F">
        <w:rPr>
          <w:rFonts w:ascii="Garamond" w:hAnsi="Garamond"/>
        </w:rPr>
        <w:t xml:space="preserve">y sus ámbitos de ejecución, </w:t>
      </w:r>
      <w:r w:rsidR="0009670B" w:rsidRPr="0094468F">
        <w:rPr>
          <w:rFonts w:ascii="Garamond" w:hAnsi="Garamond"/>
        </w:rPr>
        <w:t xml:space="preserve">tres de las cuales son obtenidas de la definición </w:t>
      </w:r>
      <w:r w:rsidRPr="0094468F">
        <w:rPr>
          <w:rFonts w:ascii="Garamond" w:hAnsi="Garamond"/>
        </w:rPr>
        <w:t>misma de la Convención de Belem do P</w:t>
      </w:r>
      <w:r w:rsidR="0009670B" w:rsidRPr="0094468F">
        <w:rPr>
          <w:rFonts w:ascii="Garamond" w:hAnsi="Garamond"/>
        </w:rPr>
        <w:t>ará (Violencia física, psíquica y sexual)</w:t>
      </w:r>
      <w:r w:rsidR="0009670B" w:rsidRPr="0094468F">
        <w:rPr>
          <w:rStyle w:val="Refdenotaalpie"/>
          <w:rFonts w:ascii="Garamond" w:hAnsi="Garamond"/>
        </w:rPr>
        <w:footnoteReference w:id="4"/>
      </w:r>
      <w:r w:rsidR="0009670B" w:rsidRPr="0094468F">
        <w:rPr>
          <w:rFonts w:ascii="Garamond" w:hAnsi="Garamond"/>
        </w:rPr>
        <w:t xml:space="preserve">, e incluye novedosamente la violencia económica y la violencia simbólica, tomando como ejemplo la legislación comparada. </w:t>
      </w:r>
    </w:p>
    <w:p w:rsidR="004624A8" w:rsidRPr="0094468F" w:rsidRDefault="008B5BD3" w:rsidP="00EF2134">
      <w:pPr>
        <w:spacing w:line="276" w:lineRule="auto"/>
        <w:jc w:val="both"/>
        <w:rPr>
          <w:rFonts w:ascii="Garamond" w:hAnsi="Garamond"/>
        </w:rPr>
      </w:pPr>
      <w:r w:rsidRPr="0094468F">
        <w:rPr>
          <w:rFonts w:ascii="Garamond" w:hAnsi="Garamond"/>
        </w:rPr>
        <w:t xml:space="preserve">La violencia económica es por ejemplo, un tipo de violencia que sanciona la </w:t>
      </w:r>
      <w:r w:rsidRPr="0094468F">
        <w:rPr>
          <w:rFonts w:ascii="Garamond" w:eastAsia="+mn-ea" w:hAnsi="Garamond" w:cs="+mn-cs"/>
          <w:lang w:val="es-ES"/>
        </w:rPr>
        <w:t>Ley General de Acceso a las Mujeres a una vida libre de violencia de México (2007)</w:t>
      </w:r>
      <w:r w:rsidRPr="0094468F">
        <w:rPr>
          <w:rStyle w:val="Refdenotaalpie"/>
          <w:rFonts w:ascii="Garamond" w:eastAsia="+mn-ea" w:hAnsi="Garamond" w:cs="+mn-cs"/>
          <w:lang w:val="es-ES"/>
        </w:rPr>
        <w:footnoteReference w:id="5"/>
      </w:r>
      <w:r w:rsidRPr="0094468F">
        <w:rPr>
          <w:rFonts w:ascii="Garamond" w:eastAsia="+mn-ea" w:hAnsi="Garamond" w:cs="+mn-cs"/>
          <w:lang w:val="es-ES"/>
        </w:rPr>
        <w:t>, tipo de violencia que la misma ley distingue de la de carácter patrimonial</w:t>
      </w:r>
      <w:r w:rsidRPr="0094468F">
        <w:rPr>
          <w:rStyle w:val="Refdenotaalpie"/>
          <w:rFonts w:ascii="Garamond" w:eastAsia="+mn-ea" w:hAnsi="Garamond" w:cs="+mn-cs"/>
          <w:lang w:val="es-ES"/>
        </w:rPr>
        <w:footnoteReference w:id="6"/>
      </w:r>
      <w:r w:rsidRPr="0094468F">
        <w:rPr>
          <w:rFonts w:ascii="Garamond" w:eastAsia="+mn-ea" w:hAnsi="Garamond" w:cs="+mn-cs"/>
          <w:lang w:val="es-ES"/>
        </w:rPr>
        <w:t xml:space="preserve">. </w:t>
      </w:r>
      <w:r w:rsidR="004624A8" w:rsidRPr="0094468F">
        <w:rPr>
          <w:rFonts w:ascii="Garamond" w:eastAsia="+mn-ea" w:hAnsi="Garamond" w:cs="+mn-cs"/>
          <w:lang w:val="es-ES"/>
        </w:rPr>
        <w:t>En este sentido hay q</w:t>
      </w:r>
      <w:r w:rsidR="00031E2C" w:rsidRPr="0094468F">
        <w:rPr>
          <w:rFonts w:ascii="Garamond" w:eastAsia="+mn-ea" w:hAnsi="Garamond" w:cs="+mn-cs"/>
          <w:lang w:val="es-ES"/>
        </w:rPr>
        <w:t>ue recordar que la</w:t>
      </w:r>
      <w:r w:rsidR="004624A8" w:rsidRPr="0094468F">
        <w:rPr>
          <w:rFonts w:ascii="Garamond" w:eastAsia="+mn-ea" w:hAnsi="Garamond" w:cs="+mn-cs"/>
          <w:lang w:val="es-ES"/>
        </w:rPr>
        <w:t xml:space="preserve"> Corte Suprema</w:t>
      </w:r>
      <w:r w:rsidR="00031E2C" w:rsidRPr="0094468F">
        <w:rPr>
          <w:rFonts w:ascii="Garamond" w:eastAsia="+mn-ea" w:hAnsi="Garamond" w:cs="+mn-cs"/>
          <w:lang w:val="es-ES"/>
        </w:rPr>
        <w:t xml:space="preserve"> ya en 2005 reconoció </w:t>
      </w:r>
      <w:r w:rsidR="004624A8" w:rsidRPr="0094468F">
        <w:rPr>
          <w:rFonts w:ascii="Garamond" w:eastAsia="+mn-ea" w:hAnsi="Garamond" w:cs="+mn-cs"/>
          <w:lang w:val="es-ES"/>
        </w:rPr>
        <w:t xml:space="preserve">este tipo de violencia como forma de abuso de poder al interior </w:t>
      </w:r>
      <w:r w:rsidR="00DB199B" w:rsidRPr="0094468F">
        <w:rPr>
          <w:rFonts w:ascii="Garamond" w:eastAsia="+mn-ea" w:hAnsi="Garamond" w:cs="+mn-cs"/>
          <w:lang w:val="es-ES"/>
        </w:rPr>
        <w:t>de la relación de pareja, considerando como maltrato  “</w:t>
      </w:r>
      <w:r w:rsidR="004624A8" w:rsidRPr="0094468F">
        <w:rPr>
          <w:rFonts w:ascii="Garamond" w:eastAsiaTheme="minorEastAsia" w:hAnsi="Garamond" w:cstheme="minorBidi"/>
          <w:kern w:val="24"/>
          <w:lang w:val="es-AR"/>
        </w:rPr>
        <w:t xml:space="preserve">la </w:t>
      </w:r>
      <w:r w:rsidR="004624A8" w:rsidRPr="0094468F">
        <w:rPr>
          <w:rFonts w:ascii="Garamond" w:eastAsiaTheme="minorEastAsia" w:hAnsi="Garamond" w:cstheme="minorBidi"/>
          <w:kern w:val="24"/>
          <w:u w:val="single"/>
          <w:lang w:val="es-MX"/>
        </w:rPr>
        <w:t>imposibilidad de acceso de la demandante a una independencia económica</w:t>
      </w:r>
      <w:r w:rsidR="004624A8" w:rsidRPr="0094468F">
        <w:rPr>
          <w:rFonts w:ascii="Garamond" w:eastAsiaTheme="minorEastAsia" w:hAnsi="Garamond" w:cstheme="minorBidi"/>
          <w:kern w:val="24"/>
          <w:lang w:val="es-MX"/>
        </w:rPr>
        <w:t xml:space="preserve"> que le permita satisfacer sus necesidades materiales con plena libertad”</w:t>
      </w:r>
      <w:r w:rsidR="00DB199B" w:rsidRPr="0094468F">
        <w:rPr>
          <w:rFonts w:ascii="Garamond" w:eastAsiaTheme="minorEastAsia" w:hAnsi="Garamond" w:cstheme="minorBidi"/>
          <w:kern w:val="24"/>
          <w:lang w:val="es-MX"/>
        </w:rPr>
        <w:t>(</w:t>
      </w:r>
      <w:r w:rsidR="00DB199B" w:rsidRPr="0094468F">
        <w:rPr>
          <w:rFonts w:ascii="Garamond" w:eastAsiaTheme="minorEastAsia" w:hAnsi="Garamond" w:cstheme="minorBidi"/>
          <w:kern w:val="24"/>
          <w:lang w:val="es-AR"/>
        </w:rPr>
        <w:t>SCS de 5 de oct.2005, Rol 4171-2005).</w:t>
      </w:r>
      <w:r w:rsidR="00031E2C" w:rsidRPr="0094468F">
        <w:rPr>
          <w:rFonts w:ascii="Garamond" w:eastAsiaTheme="minorEastAsia" w:hAnsi="Garamond" w:cstheme="minorBidi"/>
          <w:kern w:val="24"/>
          <w:lang w:val="es-AR"/>
        </w:rPr>
        <w:t xml:space="preserve"> Por ello es positivo que en la modificación que se pretende hacer a la ley 20.066</w:t>
      </w:r>
      <w:r w:rsidR="00C766CE" w:rsidRPr="0094468F">
        <w:rPr>
          <w:rFonts w:ascii="Garamond" w:eastAsiaTheme="minorEastAsia" w:hAnsi="Garamond" w:cstheme="minorBidi"/>
          <w:kern w:val="24"/>
          <w:lang w:val="es-AR"/>
        </w:rPr>
        <w:t xml:space="preserve">, se señale como elemento </w:t>
      </w:r>
      <w:r w:rsidR="00C766CE" w:rsidRPr="0094468F">
        <w:rPr>
          <w:rFonts w:ascii="Garamond" w:eastAsiaTheme="minorEastAsia" w:hAnsi="Garamond" w:cstheme="minorBidi"/>
          <w:kern w:val="24"/>
          <w:lang w:val="es-AR"/>
        </w:rPr>
        <w:lastRenderedPageBreak/>
        <w:t>para l</w:t>
      </w:r>
      <w:r w:rsidR="00031E2C" w:rsidRPr="0094468F">
        <w:rPr>
          <w:rFonts w:ascii="Garamond" w:eastAsiaTheme="minorEastAsia" w:hAnsi="Garamond" w:cstheme="minorBidi"/>
          <w:kern w:val="24"/>
          <w:lang w:val="es-AR"/>
        </w:rPr>
        <w:t xml:space="preserve">a determinación de la situación de riesgo para la víctima </w:t>
      </w:r>
      <w:r w:rsidR="00C766CE" w:rsidRPr="0094468F">
        <w:rPr>
          <w:rFonts w:ascii="Garamond" w:eastAsiaTheme="minorEastAsia" w:hAnsi="Garamond" w:cstheme="minorBidi"/>
          <w:kern w:val="24"/>
          <w:lang w:val="es-AR"/>
        </w:rPr>
        <w:t xml:space="preserve">su dependencia económica del agresor. </w:t>
      </w:r>
    </w:p>
    <w:p w:rsidR="0035386F" w:rsidRDefault="008B5BD3" w:rsidP="00EF2134">
      <w:pPr>
        <w:spacing w:after="0" w:line="276" w:lineRule="auto"/>
        <w:jc w:val="both"/>
        <w:rPr>
          <w:rFonts w:ascii="Garamond" w:eastAsia="Calibri" w:hAnsi="Garamond" w:cs="Courier New"/>
          <w:lang w:val="es-CL"/>
        </w:rPr>
      </w:pPr>
      <w:r w:rsidRPr="0094468F">
        <w:rPr>
          <w:rFonts w:ascii="Garamond" w:eastAsia="+mn-ea" w:hAnsi="Garamond" w:cs="+mn-cs"/>
          <w:lang w:val="es-ES"/>
        </w:rPr>
        <w:t xml:space="preserve">La violencia simbólica ha sido recogida en 2011 por la legislación salvadoreña. Hay </w:t>
      </w:r>
      <w:r w:rsidR="00DB199B" w:rsidRPr="0094468F">
        <w:rPr>
          <w:rFonts w:ascii="Garamond" w:eastAsia="+mn-ea" w:hAnsi="Garamond" w:cs="+mn-cs"/>
          <w:lang w:val="es-ES"/>
        </w:rPr>
        <w:t>que recorda</w:t>
      </w:r>
      <w:r w:rsidR="00B7434C" w:rsidRPr="0094468F">
        <w:rPr>
          <w:rFonts w:ascii="Garamond" w:eastAsia="+mn-ea" w:hAnsi="Garamond" w:cs="+mn-cs"/>
          <w:lang w:val="es-ES"/>
        </w:rPr>
        <w:t>r también que, tal como lo ex</w:t>
      </w:r>
      <w:r w:rsidR="00DB199B" w:rsidRPr="0094468F">
        <w:rPr>
          <w:rFonts w:ascii="Garamond" w:eastAsia="+mn-ea" w:hAnsi="Garamond" w:cs="+mn-cs"/>
          <w:lang w:val="es-ES"/>
        </w:rPr>
        <w:t>plic</w:t>
      </w:r>
      <w:r w:rsidR="00B7434C" w:rsidRPr="0094468F">
        <w:rPr>
          <w:rFonts w:ascii="Garamond" w:eastAsia="+mn-ea" w:hAnsi="Garamond" w:cs="+mn-cs"/>
          <w:lang w:val="es-ES"/>
        </w:rPr>
        <w:t>ita el mensaje, la inclusión de este tipo de vi</w:t>
      </w:r>
      <w:r w:rsidR="00DB199B" w:rsidRPr="0094468F">
        <w:rPr>
          <w:rFonts w:ascii="Garamond" w:eastAsia="+mn-ea" w:hAnsi="Garamond" w:cs="+mn-cs"/>
          <w:lang w:val="es-ES"/>
        </w:rPr>
        <w:t>o</w:t>
      </w:r>
      <w:r w:rsidR="00B7434C" w:rsidRPr="0094468F">
        <w:rPr>
          <w:rFonts w:ascii="Garamond" w:eastAsia="+mn-ea" w:hAnsi="Garamond" w:cs="+mn-cs"/>
          <w:lang w:val="es-ES"/>
        </w:rPr>
        <w:t xml:space="preserve">lencia quiere satisfacer una preocupación que nos planteó </w:t>
      </w:r>
      <w:r w:rsidR="00B7434C" w:rsidRPr="0094468F">
        <w:rPr>
          <w:rFonts w:ascii="Garamond" w:eastAsia="Calibri" w:hAnsi="Garamond" w:cs="Courier New"/>
          <w:lang w:val="es-CL"/>
        </w:rPr>
        <w:t xml:space="preserve">el Comité de Derechos Económicos, Sociales y Culturales, órgano que instó al estado de Chile a apresurar  “el proceso de elaboración y aprobación de una legislación integral para eliminar </w:t>
      </w:r>
      <w:r w:rsidR="00B7434C" w:rsidRPr="0094468F">
        <w:rPr>
          <w:rFonts w:ascii="Garamond" w:eastAsia="Calibri" w:hAnsi="Garamond" w:cs="Courier New"/>
          <w:u w:val="single"/>
          <w:lang w:val="es-CL"/>
        </w:rPr>
        <w:t>todas las formas de violencia doméstica, en la que todos los tipos y grados de violencia doméstica y de género</w:t>
      </w:r>
      <w:r w:rsidR="00B7434C" w:rsidRPr="0094468F">
        <w:rPr>
          <w:rFonts w:ascii="Garamond" w:eastAsia="Calibri" w:hAnsi="Garamond" w:cs="Courier New"/>
          <w:lang w:val="es-CL"/>
        </w:rPr>
        <w:t xml:space="preserve"> sean tipificados como delito e incluyan sanciones adecuadas” (Párrafo 23, E/C.12/CHL/CO/4).</w:t>
      </w:r>
    </w:p>
    <w:p w:rsidR="00CD4AFF" w:rsidRPr="00E168E2" w:rsidRDefault="00CD4AFF" w:rsidP="00EF2134">
      <w:pPr>
        <w:spacing w:after="0" w:line="276" w:lineRule="auto"/>
        <w:jc w:val="both"/>
        <w:rPr>
          <w:rFonts w:ascii="Garamond" w:eastAsia="Calibri" w:hAnsi="Garamond" w:cs="Courier New"/>
          <w:lang w:val="es-CL"/>
        </w:rPr>
      </w:pPr>
    </w:p>
    <w:p w:rsidR="006A57A2" w:rsidRPr="00E168E2" w:rsidRDefault="00CD4AFF" w:rsidP="006A57A2">
      <w:pPr>
        <w:pStyle w:val="Sinespaciado"/>
        <w:rPr>
          <w:rFonts w:ascii="Garamond" w:hAnsi="Garamond" w:cs="Arial"/>
          <w:sz w:val="24"/>
          <w:szCs w:val="24"/>
        </w:rPr>
      </w:pPr>
      <w:r w:rsidRPr="00E168E2">
        <w:rPr>
          <w:rFonts w:ascii="Garamond" w:eastAsia="Calibri" w:hAnsi="Garamond" w:cs="Courier New"/>
          <w:sz w:val="24"/>
          <w:szCs w:val="24"/>
          <w:lang w:val="es-CL"/>
        </w:rPr>
        <w:t>A pesar de estos aciertos, se aprecia una cierta inconsistencia al regularse el ámbito de aplicación, (art. 19) por cuanto éste es extensible, en términos generales, a los hechos de violencia intrafamiliar constituti</w:t>
      </w:r>
      <w:r w:rsidR="006A57A2" w:rsidRPr="00E168E2">
        <w:rPr>
          <w:rFonts w:ascii="Garamond" w:eastAsia="Calibri" w:hAnsi="Garamond" w:cs="Courier New"/>
          <w:sz w:val="24"/>
          <w:szCs w:val="24"/>
          <w:lang w:val="es-CL"/>
        </w:rPr>
        <w:t xml:space="preserve">vos o no constitutivos de delito, “siempre que la víctima sea mujer”. En este ámbito de aplicación se incluyen las conductas de la ley N°20.066, incluido el delito de maltrato habitual,  los </w:t>
      </w:r>
      <w:r w:rsidR="006A57A2" w:rsidRPr="00E168E2">
        <w:rPr>
          <w:rFonts w:ascii="Garamond" w:hAnsi="Garamond" w:cs="Arial"/>
          <w:sz w:val="24"/>
          <w:szCs w:val="24"/>
        </w:rPr>
        <w:t>delitos contra la libertad y seguridad, cometidos por particulares; las amenazas (incluida la amenaza como falta); violación, estupro y otros delitos sexuales; incesto; lesiones corporale</w:t>
      </w:r>
      <w:r w:rsidR="00233ECA">
        <w:rPr>
          <w:rFonts w:ascii="Garamond" w:hAnsi="Garamond" w:cs="Arial"/>
          <w:sz w:val="24"/>
          <w:szCs w:val="24"/>
        </w:rPr>
        <w:t>s</w:t>
      </w:r>
      <w:r w:rsidR="006A57A2" w:rsidRPr="00E168E2">
        <w:rPr>
          <w:rFonts w:ascii="Garamond" w:hAnsi="Garamond" w:cs="Arial"/>
          <w:sz w:val="24"/>
          <w:szCs w:val="24"/>
        </w:rPr>
        <w:t>, el delito de tortura, tratos crueles, inhumanos o degradantes y el femicidio.</w:t>
      </w:r>
    </w:p>
    <w:p w:rsidR="006A57A2" w:rsidRPr="00E168E2" w:rsidRDefault="006A57A2" w:rsidP="006A57A2">
      <w:pPr>
        <w:pStyle w:val="Sinespaciado"/>
        <w:rPr>
          <w:rFonts w:ascii="Garamond" w:hAnsi="Garamond" w:cs="Arial"/>
          <w:sz w:val="24"/>
          <w:szCs w:val="24"/>
        </w:rPr>
      </w:pPr>
    </w:p>
    <w:p w:rsidR="006A57A2" w:rsidRDefault="006A57A2" w:rsidP="006A57A2">
      <w:pPr>
        <w:pStyle w:val="Sinespaciado"/>
        <w:rPr>
          <w:rFonts w:ascii="Garamond" w:hAnsi="Garamond" w:cs="Arial"/>
          <w:sz w:val="24"/>
          <w:szCs w:val="24"/>
        </w:rPr>
      </w:pPr>
      <w:r w:rsidRPr="00E168E2">
        <w:rPr>
          <w:rFonts w:ascii="Garamond" w:hAnsi="Garamond" w:cs="Arial"/>
          <w:sz w:val="24"/>
          <w:szCs w:val="24"/>
        </w:rPr>
        <w:t>La preocupación viene dada por el hecho de que no aparece de la lectura del artículo una adecuada delimitación en este ámbito de aplicación entre hechos constitutivos de violencia intrafamiliar (descritos en el art. 5° de la ley n°20.066) y los que son constitutivos de violencia contra la mujer, pues no basta con que la víctima sea mujer.</w:t>
      </w:r>
      <w:r w:rsidR="00233ECA">
        <w:rPr>
          <w:rFonts w:ascii="Garamond" w:hAnsi="Garamond" w:cs="Arial"/>
          <w:sz w:val="24"/>
          <w:szCs w:val="24"/>
        </w:rPr>
        <w:t xml:space="preserve"> Máxime si en el art. 4 del proyecto de ley se hace referencia a la violencia contra la mujer ejercida en el ámbito privado.</w:t>
      </w:r>
    </w:p>
    <w:p w:rsidR="00233ECA" w:rsidRPr="00E168E2" w:rsidRDefault="00233ECA" w:rsidP="006A57A2">
      <w:pPr>
        <w:pStyle w:val="Sinespaciado"/>
        <w:rPr>
          <w:rFonts w:ascii="Garamond" w:hAnsi="Garamond" w:cs="Arial"/>
          <w:sz w:val="24"/>
          <w:szCs w:val="24"/>
        </w:rPr>
      </w:pPr>
    </w:p>
    <w:p w:rsidR="006A57A2" w:rsidRPr="00E168E2" w:rsidRDefault="006A57A2" w:rsidP="006A57A2">
      <w:pPr>
        <w:pStyle w:val="Sinespaciado"/>
        <w:rPr>
          <w:rFonts w:ascii="Garamond" w:hAnsi="Garamond" w:cs="Arial"/>
          <w:sz w:val="24"/>
          <w:szCs w:val="24"/>
        </w:rPr>
      </w:pPr>
      <w:r w:rsidRPr="00E168E2">
        <w:rPr>
          <w:rFonts w:ascii="Garamond" w:hAnsi="Garamond" w:cs="Arial"/>
          <w:sz w:val="24"/>
          <w:szCs w:val="24"/>
        </w:rPr>
        <w:t>¿</w:t>
      </w:r>
      <w:proofErr w:type="spellStart"/>
      <w:r w:rsidRPr="00E168E2">
        <w:rPr>
          <w:rFonts w:ascii="Garamond" w:hAnsi="Garamond" w:cs="Arial"/>
          <w:sz w:val="24"/>
          <w:szCs w:val="24"/>
        </w:rPr>
        <w:t>Que</w:t>
      </w:r>
      <w:proofErr w:type="spellEnd"/>
      <w:r w:rsidRPr="00E168E2">
        <w:rPr>
          <w:rFonts w:ascii="Garamond" w:hAnsi="Garamond" w:cs="Arial"/>
          <w:sz w:val="24"/>
          <w:szCs w:val="24"/>
        </w:rPr>
        <w:t xml:space="preserve"> ocurrirá por ejemplo tratándose de la violencia</w:t>
      </w:r>
      <w:r w:rsidR="00226CC7">
        <w:rPr>
          <w:rFonts w:ascii="Garamond" w:hAnsi="Garamond" w:cs="Arial"/>
          <w:sz w:val="24"/>
          <w:szCs w:val="24"/>
        </w:rPr>
        <w:t xml:space="preserve"> entre hermanas</w:t>
      </w:r>
      <w:r w:rsidRPr="00E168E2">
        <w:rPr>
          <w:rFonts w:ascii="Garamond" w:hAnsi="Garamond" w:cs="Arial"/>
          <w:sz w:val="24"/>
          <w:szCs w:val="24"/>
        </w:rPr>
        <w:t xml:space="preserve">?, ¿madre e hija?. ¿relaciones </w:t>
      </w:r>
      <w:r w:rsidR="00226CC7">
        <w:rPr>
          <w:rFonts w:ascii="Garamond" w:hAnsi="Garamond" w:cs="Arial"/>
          <w:sz w:val="24"/>
          <w:szCs w:val="24"/>
        </w:rPr>
        <w:t xml:space="preserve">de pareja </w:t>
      </w:r>
      <w:r w:rsidRPr="00E168E2">
        <w:rPr>
          <w:rFonts w:ascii="Garamond" w:hAnsi="Garamond" w:cs="Arial"/>
          <w:sz w:val="24"/>
          <w:szCs w:val="24"/>
        </w:rPr>
        <w:t>entre mujeres?. Probablemente nos encontraremos ante un concurso de leyes cuya delimitación no puede quedar sin más a la discrecionalidad de los operadores judiciales, pues bien pudiera tratarse de una situación en la que se encuentre presente la vi</w:t>
      </w:r>
      <w:r w:rsidR="00E168E2" w:rsidRPr="00E168E2">
        <w:rPr>
          <w:rFonts w:ascii="Garamond" w:hAnsi="Garamond" w:cs="Arial"/>
          <w:sz w:val="24"/>
          <w:szCs w:val="24"/>
        </w:rPr>
        <w:t>o</w:t>
      </w:r>
      <w:r w:rsidRPr="00E168E2">
        <w:rPr>
          <w:rFonts w:ascii="Garamond" w:hAnsi="Garamond" w:cs="Arial"/>
          <w:sz w:val="24"/>
          <w:szCs w:val="24"/>
        </w:rPr>
        <w:t xml:space="preserve">lencia de género, y ella pase inadvertida por desconocimiento del operador de turno, o al revés, </w:t>
      </w:r>
      <w:r w:rsidR="00E168E2" w:rsidRPr="00E168E2">
        <w:rPr>
          <w:rFonts w:ascii="Garamond" w:hAnsi="Garamond" w:cs="Arial"/>
          <w:sz w:val="24"/>
          <w:szCs w:val="24"/>
        </w:rPr>
        <w:t xml:space="preserve">catalogar como violencia de género aquello que pudiera ser simplemente violencia intrafamiliar. </w:t>
      </w:r>
      <w:r w:rsidR="00226CC7">
        <w:rPr>
          <w:rFonts w:ascii="Garamond" w:hAnsi="Garamond" w:cs="Arial"/>
          <w:sz w:val="24"/>
          <w:szCs w:val="24"/>
        </w:rPr>
        <w:t xml:space="preserve">Tal como ocurre en múltiples casos de violencia entre parejas del mismo sexo, en las que ya no es posible acudir a la lógica binaria de un masculino y un femenino en la relación, y por ende no sería posible advertir una violencia de género aunque sí probablemente una violencia intrafamiliar.  </w:t>
      </w:r>
    </w:p>
    <w:p w:rsidR="006A57A2" w:rsidRPr="00E168E2" w:rsidRDefault="006A57A2" w:rsidP="006A57A2">
      <w:pPr>
        <w:pStyle w:val="Textonotapie"/>
        <w:rPr>
          <w:rFonts w:ascii="Garamond" w:hAnsi="Garamond" w:cs="Arial"/>
          <w:sz w:val="24"/>
          <w:szCs w:val="24"/>
        </w:rPr>
      </w:pPr>
    </w:p>
    <w:p w:rsidR="00CD4AFF" w:rsidRDefault="00E168E2" w:rsidP="00EF2134">
      <w:pPr>
        <w:spacing w:after="0" w:line="276" w:lineRule="auto"/>
        <w:jc w:val="both"/>
        <w:rPr>
          <w:rFonts w:ascii="Garamond" w:eastAsia="Calibri" w:hAnsi="Garamond" w:cs="Courier New"/>
          <w:lang w:val="es-CL"/>
        </w:rPr>
      </w:pPr>
      <w:r>
        <w:rPr>
          <w:rFonts w:ascii="Garamond" w:eastAsia="Calibri" w:hAnsi="Garamond" w:cs="Courier New"/>
          <w:lang w:val="es-CL"/>
        </w:rPr>
        <w:t>En este punto me parece que los procesalistas pudieran indicar la mejor forma de delimitar el ámbito de aplicaci</w:t>
      </w:r>
      <w:r w:rsidR="00233ECA">
        <w:rPr>
          <w:rFonts w:ascii="Garamond" w:eastAsia="Calibri" w:hAnsi="Garamond" w:cs="Courier New"/>
          <w:lang w:val="es-CL"/>
        </w:rPr>
        <w:t xml:space="preserve">ón. Sin perjuicio de lo cual me atrevería a sugerir que se normativizara en el articulado relativo al ámbito de aplicación, una referencia explícita al art. 2, de manera tal que se entienda que la violencia contra la mujer se </w:t>
      </w:r>
      <w:r w:rsidR="00233ECA">
        <w:rPr>
          <w:rFonts w:ascii="Garamond" w:eastAsia="Calibri" w:hAnsi="Garamond" w:cs="Courier New"/>
          <w:lang w:val="es-CL"/>
        </w:rPr>
        <w:lastRenderedPageBreak/>
        <w:t xml:space="preserve">basa en el género y en el marco de las relaciones de poder históricamente desiguales entre hombres y mujeres. Esto porque cuando los objetivos de la ley y los conceptos generales aparecen en los preámbulos o apartados generales conceptuales, </w:t>
      </w:r>
      <w:r w:rsidR="00226CC7">
        <w:rPr>
          <w:rFonts w:ascii="Garamond" w:eastAsia="Calibri" w:hAnsi="Garamond" w:cs="Courier New"/>
          <w:lang w:val="es-CL"/>
        </w:rPr>
        <w:t>suelen tomarse como criterio de orientación simplemente</w:t>
      </w:r>
      <w:r w:rsidR="00233ECA">
        <w:rPr>
          <w:rFonts w:ascii="Garamond" w:eastAsia="Calibri" w:hAnsi="Garamond" w:cs="Courier New"/>
          <w:lang w:val="es-CL"/>
        </w:rPr>
        <w:t>. En cambio, si se introduce en el articulado espec</w:t>
      </w:r>
      <w:r w:rsidR="00226CC7">
        <w:rPr>
          <w:rFonts w:ascii="Garamond" w:eastAsia="Calibri" w:hAnsi="Garamond" w:cs="Courier New"/>
          <w:lang w:val="es-CL"/>
        </w:rPr>
        <w:t>í</w:t>
      </w:r>
      <w:r w:rsidR="00233ECA">
        <w:rPr>
          <w:rFonts w:ascii="Garamond" w:eastAsia="Calibri" w:hAnsi="Garamond" w:cs="Courier New"/>
          <w:lang w:val="es-CL"/>
        </w:rPr>
        <w:t>fico</w:t>
      </w:r>
      <w:r w:rsidR="00226CC7">
        <w:rPr>
          <w:rFonts w:ascii="Garamond" w:eastAsia="Calibri" w:hAnsi="Garamond" w:cs="Courier New"/>
          <w:lang w:val="es-CL"/>
        </w:rPr>
        <w:t xml:space="preserve"> una referencia a la delimitación de este tipo de violencia</w:t>
      </w:r>
      <w:r w:rsidR="00233ECA">
        <w:rPr>
          <w:rFonts w:ascii="Garamond" w:eastAsia="Calibri" w:hAnsi="Garamond" w:cs="Courier New"/>
          <w:lang w:val="es-CL"/>
        </w:rPr>
        <w:t xml:space="preserve">, es una obligación para el juez y el intérprete. </w:t>
      </w:r>
      <w:r>
        <w:rPr>
          <w:rFonts w:ascii="Garamond" w:eastAsia="Calibri" w:hAnsi="Garamond" w:cs="Courier New"/>
          <w:lang w:val="es-CL"/>
        </w:rPr>
        <w:t xml:space="preserve"> </w:t>
      </w:r>
    </w:p>
    <w:p w:rsidR="00E168E2" w:rsidRDefault="00E168E2" w:rsidP="00EF2134">
      <w:pPr>
        <w:spacing w:after="0" w:line="276" w:lineRule="auto"/>
        <w:jc w:val="both"/>
        <w:rPr>
          <w:rFonts w:ascii="Garamond" w:eastAsia="Calibri" w:hAnsi="Garamond" w:cs="Courier New"/>
          <w:lang w:val="es-CL"/>
        </w:rPr>
      </w:pPr>
    </w:p>
    <w:p w:rsidR="00CD4AFF" w:rsidRPr="00CD4AFF" w:rsidRDefault="00CD4AFF" w:rsidP="00CD4AFF">
      <w:pPr>
        <w:pStyle w:val="Prrafodelista"/>
        <w:numPr>
          <w:ilvl w:val="0"/>
          <w:numId w:val="12"/>
        </w:numPr>
        <w:spacing w:line="276" w:lineRule="auto"/>
        <w:jc w:val="both"/>
        <w:rPr>
          <w:rFonts w:ascii="Garamond" w:eastAsia="Calibri" w:hAnsi="Garamond" w:cs="Courier New"/>
        </w:rPr>
      </w:pPr>
      <w:r>
        <w:rPr>
          <w:rFonts w:ascii="Garamond" w:eastAsia="Calibri" w:hAnsi="Garamond" w:cs="Courier New"/>
        </w:rPr>
        <w:t xml:space="preserve">Deberes de prevención y facultades </w:t>
      </w:r>
      <w:proofErr w:type="spellStart"/>
      <w:r>
        <w:rPr>
          <w:rFonts w:ascii="Garamond" w:eastAsia="Calibri" w:hAnsi="Garamond" w:cs="Courier New"/>
        </w:rPr>
        <w:t>Sernameg</w:t>
      </w:r>
      <w:proofErr w:type="spellEnd"/>
    </w:p>
    <w:p w:rsidR="00B50D89" w:rsidRDefault="00B50D89" w:rsidP="00EF2134">
      <w:pPr>
        <w:autoSpaceDE w:val="0"/>
        <w:autoSpaceDN w:val="0"/>
        <w:adjustRightInd w:val="0"/>
        <w:spacing w:after="0" w:line="276" w:lineRule="auto"/>
        <w:jc w:val="both"/>
        <w:rPr>
          <w:rFonts w:ascii="Garamond" w:hAnsi="Garamond"/>
          <w:lang w:val="es-CL"/>
        </w:rPr>
      </w:pPr>
    </w:p>
    <w:p w:rsidR="00BD619C" w:rsidRPr="0094468F" w:rsidRDefault="00DB199B" w:rsidP="00EF2134">
      <w:pPr>
        <w:autoSpaceDE w:val="0"/>
        <w:autoSpaceDN w:val="0"/>
        <w:adjustRightInd w:val="0"/>
        <w:spacing w:after="0" w:line="276" w:lineRule="auto"/>
        <w:jc w:val="both"/>
        <w:rPr>
          <w:rFonts w:ascii="Garamond" w:eastAsiaTheme="minorHAnsi" w:hAnsi="Garamond" w:cs="FrutigerLTStd-Light"/>
          <w:lang w:val="es-CL"/>
        </w:rPr>
      </w:pPr>
      <w:r w:rsidRPr="0094468F">
        <w:rPr>
          <w:rFonts w:ascii="Garamond" w:hAnsi="Garamond"/>
          <w:lang w:val="es-CL"/>
        </w:rPr>
        <w:t xml:space="preserve">En segundo lugar, destaca </w:t>
      </w:r>
      <w:r w:rsidR="00A141D7" w:rsidRPr="0094468F">
        <w:rPr>
          <w:rFonts w:ascii="Garamond" w:hAnsi="Garamond"/>
          <w:lang w:val="es-CL"/>
        </w:rPr>
        <w:t>positivamente la regula</w:t>
      </w:r>
      <w:r w:rsidRPr="0094468F">
        <w:rPr>
          <w:rFonts w:ascii="Garamond" w:hAnsi="Garamond"/>
          <w:lang w:val="es-CL"/>
        </w:rPr>
        <w:t>ción de los deberes de prevención de la vio</w:t>
      </w:r>
      <w:r w:rsidR="00A141D7" w:rsidRPr="0094468F">
        <w:rPr>
          <w:rFonts w:ascii="Garamond" w:hAnsi="Garamond"/>
          <w:lang w:val="es-CL"/>
        </w:rPr>
        <w:t xml:space="preserve">lencia </w:t>
      </w:r>
      <w:r w:rsidRPr="0094468F">
        <w:rPr>
          <w:rFonts w:ascii="Garamond" w:hAnsi="Garamond"/>
          <w:lang w:val="es-CL"/>
        </w:rPr>
        <w:t>contra la mujer para todos los ó</w:t>
      </w:r>
      <w:r w:rsidR="00031E2C" w:rsidRPr="0094468F">
        <w:rPr>
          <w:rFonts w:ascii="Garamond" w:hAnsi="Garamond"/>
          <w:lang w:val="es-CL"/>
        </w:rPr>
        <w:t>rganos del E</w:t>
      </w:r>
      <w:r w:rsidR="00A141D7" w:rsidRPr="0094468F">
        <w:rPr>
          <w:rFonts w:ascii="Garamond" w:hAnsi="Garamond"/>
          <w:lang w:val="es-CL"/>
        </w:rPr>
        <w:t>stado, así como la amplia</w:t>
      </w:r>
      <w:r w:rsidRPr="0094468F">
        <w:rPr>
          <w:rFonts w:ascii="Garamond" w:hAnsi="Garamond"/>
          <w:lang w:val="es-CL"/>
        </w:rPr>
        <w:t>ción de las facultades del Servi</w:t>
      </w:r>
      <w:r w:rsidR="00031E2C" w:rsidRPr="0094468F">
        <w:rPr>
          <w:rFonts w:ascii="Garamond" w:hAnsi="Garamond"/>
          <w:lang w:val="es-CL"/>
        </w:rPr>
        <w:t>cio N</w:t>
      </w:r>
      <w:r w:rsidR="00A141D7" w:rsidRPr="0094468F">
        <w:rPr>
          <w:rFonts w:ascii="Garamond" w:hAnsi="Garamond"/>
          <w:lang w:val="es-CL"/>
        </w:rPr>
        <w:t>acional de la Muje</w:t>
      </w:r>
      <w:r w:rsidRPr="0094468F">
        <w:rPr>
          <w:rFonts w:ascii="Garamond" w:hAnsi="Garamond"/>
          <w:lang w:val="es-CL"/>
        </w:rPr>
        <w:t>r y la eq</w:t>
      </w:r>
      <w:r w:rsidR="00A141D7" w:rsidRPr="0094468F">
        <w:rPr>
          <w:rFonts w:ascii="Garamond" w:hAnsi="Garamond"/>
          <w:lang w:val="es-CL"/>
        </w:rPr>
        <w:t>uidad de género</w:t>
      </w:r>
      <w:r w:rsidR="00BD619C" w:rsidRPr="0094468F">
        <w:rPr>
          <w:rFonts w:ascii="Garamond" w:hAnsi="Garamond"/>
          <w:lang w:val="es-CL"/>
        </w:rPr>
        <w:t xml:space="preserve"> (art. 27)</w:t>
      </w:r>
      <w:r w:rsidR="00031E2C" w:rsidRPr="0094468F">
        <w:rPr>
          <w:rFonts w:ascii="Garamond" w:hAnsi="Garamond"/>
          <w:lang w:val="es-CL"/>
        </w:rPr>
        <w:t>. E</w:t>
      </w:r>
      <w:r w:rsidR="00A141D7" w:rsidRPr="0094468F">
        <w:rPr>
          <w:rFonts w:ascii="Garamond" w:hAnsi="Garamond"/>
          <w:lang w:val="es-CL"/>
        </w:rPr>
        <w:t>n el sentido de poder as</w:t>
      </w:r>
      <w:r w:rsidRPr="0094468F">
        <w:rPr>
          <w:rFonts w:ascii="Garamond" w:hAnsi="Garamond"/>
          <w:lang w:val="es-CL"/>
        </w:rPr>
        <w:t>umir</w:t>
      </w:r>
      <w:r w:rsidR="00A141D7" w:rsidRPr="0094468F">
        <w:rPr>
          <w:rFonts w:ascii="Garamond" w:hAnsi="Garamond"/>
          <w:lang w:val="es-CL"/>
        </w:rPr>
        <w:t xml:space="preserve"> el patrocinio y </w:t>
      </w:r>
      <w:r w:rsidRPr="0094468F">
        <w:rPr>
          <w:rFonts w:ascii="Garamond" w:hAnsi="Garamond"/>
          <w:lang w:val="es-CL"/>
        </w:rPr>
        <w:t>representación de las mujeres ví</w:t>
      </w:r>
      <w:r w:rsidR="00A141D7" w:rsidRPr="0094468F">
        <w:rPr>
          <w:rFonts w:ascii="Garamond" w:hAnsi="Garamond"/>
          <w:lang w:val="es-CL"/>
        </w:rPr>
        <w:t>ctimas de violencia</w:t>
      </w:r>
      <w:r w:rsidRPr="0094468F">
        <w:rPr>
          <w:rFonts w:ascii="Garamond" w:hAnsi="Garamond"/>
          <w:lang w:val="es-CL"/>
        </w:rPr>
        <w:t>, en diversas clases de delitos, y</w:t>
      </w:r>
      <w:r w:rsidR="00BD619C" w:rsidRPr="0094468F">
        <w:rPr>
          <w:rFonts w:ascii="Garamond" w:hAnsi="Garamond"/>
          <w:lang w:val="es-CL"/>
        </w:rPr>
        <w:t xml:space="preserve"> en especial la posibilidad de deducir querella en el delito de femicidio, pues ello viene a ratificar el compromiso del estado de Chile para con su</w:t>
      </w:r>
      <w:r w:rsidRPr="0094468F">
        <w:rPr>
          <w:rFonts w:ascii="Garamond" w:hAnsi="Garamond"/>
          <w:lang w:val="es-CL"/>
        </w:rPr>
        <w:t>s</w:t>
      </w:r>
      <w:r w:rsidR="00BD619C" w:rsidRPr="0094468F">
        <w:rPr>
          <w:rFonts w:ascii="Garamond" w:hAnsi="Garamond"/>
          <w:lang w:val="es-CL"/>
        </w:rPr>
        <w:t xml:space="preserve"> deber</w:t>
      </w:r>
      <w:r w:rsidRPr="0094468F">
        <w:rPr>
          <w:rFonts w:ascii="Garamond" w:hAnsi="Garamond"/>
          <w:lang w:val="es-CL"/>
        </w:rPr>
        <w:t>es internacionales</w:t>
      </w:r>
      <w:r w:rsidR="00BD619C" w:rsidRPr="0094468F">
        <w:rPr>
          <w:rFonts w:ascii="Garamond" w:hAnsi="Garamond"/>
          <w:lang w:val="es-CL"/>
        </w:rPr>
        <w:t xml:space="preserve">. A este respecto cabe recordar que </w:t>
      </w:r>
      <w:r w:rsidR="00031E2C" w:rsidRPr="0094468F">
        <w:rPr>
          <w:rFonts w:ascii="Garamond" w:eastAsiaTheme="minorHAnsi" w:hAnsi="Garamond" w:cs="FrutigerLTStd-Light"/>
          <w:lang w:val="es-CL"/>
        </w:rPr>
        <w:t>l</w:t>
      </w:r>
      <w:r w:rsidR="00BD619C" w:rsidRPr="0094468F">
        <w:rPr>
          <w:rFonts w:ascii="Garamond" w:eastAsiaTheme="minorHAnsi" w:hAnsi="Garamond" w:cs="FrutigerLTStd-Light"/>
          <w:lang w:val="es-CL"/>
        </w:rPr>
        <w:t>a Corte Interamericana de derechos humanos ha establecido que la investigación en casos de muertes de mujeres se debe efectuar:</w:t>
      </w:r>
    </w:p>
    <w:p w:rsidR="002C64AB" w:rsidRPr="0094468F" w:rsidRDefault="00031E2C" w:rsidP="00EF2134">
      <w:pPr>
        <w:autoSpaceDE w:val="0"/>
        <w:autoSpaceDN w:val="0"/>
        <w:adjustRightInd w:val="0"/>
        <w:spacing w:after="0" w:line="276" w:lineRule="auto"/>
        <w:jc w:val="both"/>
        <w:rPr>
          <w:rFonts w:ascii="Garamond" w:eastAsiaTheme="minorHAnsi" w:hAnsi="Garamond" w:cs="FrutigerLTStd-Light"/>
          <w:lang w:val="es-CL"/>
        </w:rPr>
      </w:pPr>
      <w:r w:rsidRPr="0094468F">
        <w:rPr>
          <w:rFonts w:ascii="Garamond" w:eastAsiaTheme="minorHAnsi" w:hAnsi="Garamond" w:cs="FrutigerLTStd-Light"/>
          <w:lang w:val="es-CL"/>
        </w:rPr>
        <w:t xml:space="preserve">“ </w:t>
      </w:r>
      <w:r w:rsidR="00BD619C" w:rsidRPr="0094468F">
        <w:rPr>
          <w:rFonts w:ascii="Garamond" w:eastAsiaTheme="minorHAnsi" w:hAnsi="Garamond" w:cs="FrutigerLTStd-Light"/>
          <w:lang w:val="es-CL"/>
        </w:rPr>
        <w:t>[c]</w:t>
      </w:r>
      <w:proofErr w:type="spellStart"/>
      <w:r w:rsidR="00BD619C" w:rsidRPr="0094468F">
        <w:rPr>
          <w:rFonts w:ascii="Garamond" w:eastAsiaTheme="minorHAnsi" w:hAnsi="Garamond" w:cs="FrutigerLTStd-Light"/>
          <w:lang w:val="es-CL"/>
        </w:rPr>
        <w:t>on</w:t>
      </w:r>
      <w:proofErr w:type="spellEnd"/>
      <w:r w:rsidR="00BD619C" w:rsidRPr="0094468F">
        <w:rPr>
          <w:rFonts w:ascii="Garamond" w:eastAsiaTheme="minorHAnsi" w:hAnsi="Garamond" w:cs="FrutigerLTStd-Light"/>
          <w:lang w:val="es-CL"/>
        </w:rPr>
        <w:t xml:space="preserve"> seriedad y no como una simple formalidad condenada de antemano a ser infructuosa. Debe tener un sentido y ser asumida por el Estado como un deber jurídico propio y no como una simple gestión de intereses particulares, que dependa de la iniciativa procesal de la víctima o de sus familiares o de la aportación privada de elementos probatorios, sin que la autoridad pública busque efectivamente la verdad.”</w:t>
      </w:r>
      <w:r w:rsidR="00BD619C" w:rsidRPr="0094468F">
        <w:rPr>
          <w:rStyle w:val="Refdenotaalpie"/>
          <w:rFonts w:ascii="Garamond" w:eastAsiaTheme="minorHAnsi" w:hAnsi="Garamond" w:cs="FrutigerLTStd-Light"/>
          <w:lang w:val="es-CL"/>
        </w:rPr>
        <w:footnoteReference w:id="7"/>
      </w:r>
      <w:r w:rsidR="00BD619C" w:rsidRPr="0094468F">
        <w:rPr>
          <w:rFonts w:ascii="Garamond" w:eastAsiaTheme="minorHAnsi" w:hAnsi="Garamond" w:cs="FrutigerLTStd-Light"/>
          <w:lang w:val="es-CL"/>
        </w:rPr>
        <w:t>.</w:t>
      </w:r>
    </w:p>
    <w:p w:rsidR="00BD619C" w:rsidRPr="0094468F" w:rsidRDefault="00BD619C" w:rsidP="00EF2134">
      <w:pPr>
        <w:autoSpaceDE w:val="0"/>
        <w:autoSpaceDN w:val="0"/>
        <w:adjustRightInd w:val="0"/>
        <w:spacing w:after="0" w:line="276" w:lineRule="auto"/>
        <w:jc w:val="both"/>
        <w:rPr>
          <w:rFonts w:ascii="Garamond" w:eastAsiaTheme="minorHAnsi" w:hAnsi="Garamond" w:cs="FrutigerLTStd-Light"/>
          <w:lang w:val="es-CL"/>
        </w:rPr>
      </w:pPr>
    </w:p>
    <w:p w:rsidR="00BD619C" w:rsidRPr="0094468F" w:rsidRDefault="00DB199B" w:rsidP="00EF2134">
      <w:pPr>
        <w:autoSpaceDE w:val="0"/>
        <w:autoSpaceDN w:val="0"/>
        <w:adjustRightInd w:val="0"/>
        <w:spacing w:after="0" w:line="276" w:lineRule="auto"/>
        <w:jc w:val="both"/>
        <w:rPr>
          <w:rFonts w:ascii="Garamond" w:eastAsiaTheme="minorHAnsi" w:hAnsi="Garamond" w:cs="FrutigerLTStd-Light"/>
          <w:lang w:val="es-CL"/>
        </w:rPr>
      </w:pPr>
      <w:r w:rsidRPr="0094468F">
        <w:rPr>
          <w:rFonts w:ascii="Garamond" w:eastAsiaTheme="minorHAnsi" w:hAnsi="Garamond" w:cs="FrutigerLTStd-Light"/>
          <w:lang w:val="es-CL"/>
        </w:rPr>
        <w:t>Más</w:t>
      </w:r>
      <w:r w:rsidR="00BD619C" w:rsidRPr="0094468F">
        <w:rPr>
          <w:rFonts w:ascii="Garamond" w:eastAsiaTheme="minorHAnsi" w:hAnsi="Garamond" w:cs="FrutigerLTStd-Light"/>
          <w:lang w:val="es-CL"/>
        </w:rPr>
        <w:t xml:space="preserve"> allá de esta iniciativa, del todo valorable, preocupa la rigidez </w:t>
      </w:r>
      <w:r w:rsidRPr="0094468F">
        <w:rPr>
          <w:rFonts w:ascii="Garamond" w:eastAsiaTheme="minorHAnsi" w:hAnsi="Garamond" w:cs="FrutigerLTStd-Light"/>
          <w:lang w:val="es-CL"/>
        </w:rPr>
        <w:t>de</w:t>
      </w:r>
      <w:r w:rsidR="00AF5F55">
        <w:rPr>
          <w:rFonts w:ascii="Garamond" w:eastAsiaTheme="minorHAnsi" w:hAnsi="Garamond" w:cs="FrutigerLTStd-Light"/>
          <w:lang w:val="es-CL"/>
        </w:rPr>
        <w:t>l</w:t>
      </w:r>
      <w:r w:rsidR="00BD619C" w:rsidRPr="0094468F">
        <w:rPr>
          <w:rFonts w:ascii="Garamond" w:eastAsiaTheme="minorHAnsi" w:hAnsi="Garamond" w:cs="FrutigerLTStd-Light"/>
          <w:lang w:val="es-CL"/>
        </w:rPr>
        <w:t xml:space="preserve"> concepto de “mujer </w:t>
      </w:r>
      <w:r w:rsidRPr="0094468F">
        <w:rPr>
          <w:rFonts w:ascii="Garamond" w:eastAsiaTheme="minorHAnsi" w:hAnsi="Garamond" w:cs="FrutigerLTStd-Light"/>
          <w:lang w:val="es-CL"/>
        </w:rPr>
        <w:t>víctima</w:t>
      </w:r>
      <w:r w:rsidR="00BD619C" w:rsidRPr="0094468F">
        <w:rPr>
          <w:rFonts w:ascii="Garamond" w:eastAsiaTheme="minorHAnsi" w:hAnsi="Garamond" w:cs="FrutigerLTStd-Light"/>
          <w:lang w:val="es-CL"/>
        </w:rPr>
        <w:t xml:space="preserve"> de violencia” dado que </w:t>
      </w:r>
      <w:r w:rsidR="002F50E3" w:rsidRPr="0094468F">
        <w:rPr>
          <w:rFonts w:ascii="Garamond" w:eastAsiaTheme="minorHAnsi" w:hAnsi="Garamond" w:cs="FrutigerLTStd-Light"/>
          <w:lang w:val="es-CL"/>
        </w:rPr>
        <w:t xml:space="preserve">–continuando con el mandato actualmente vigente- asume la representación de la mujer </w:t>
      </w:r>
      <w:r w:rsidRPr="0094468F">
        <w:rPr>
          <w:rFonts w:ascii="Garamond" w:eastAsiaTheme="minorHAnsi" w:hAnsi="Garamond" w:cs="FrutigerLTStd-Light"/>
          <w:lang w:val="es-CL"/>
        </w:rPr>
        <w:t>víctima</w:t>
      </w:r>
      <w:r w:rsidR="00BD619C" w:rsidRPr="0094468F">
        <w:rPr>
          <w:rFonts w:ascii="Garamond" w:eastAsiaTheme="minorHAnsi" w:hAnsi="Garamond" w:cs="FrutigerLTStd-Light"/>
          <w:lang w:val="es-CL"/>
        </w:rPr>
        <w:t xml:space="preserve"> </w:t>
      </w:r>
      <w:r w:rsidR="002F50E3" w:rsidRPr="0094468F">
        <w:rPr>
          <w:rFonts w:ascii="Garamond" w:eastAsiaTheme="minorHAnsi" w:hAnsi="Garamond" w:cs="FrutigerLTStd-Light"/>
          <w:lang w:val="es-CL"/>
        </w:rPr>
        <w:t xml:space="preserve">cuando ella es </w:t>
      </w:r>
      <w:r w:rsidR="00BD619C" w:rsidRPr="0094468F">
        <w:rPr>
          <w:rFonts w:ascii="Garamond" w:eastAsiaTheme="minorHAnsi" w:hAnsi="Garamond" w:cs="FrutigerLTStd-Light"/>
          <w:lang w:val="es-CL"/>
        </w:rPr>
        <w:t xml:space="preserve"> sujeto </w:t>
      </w:r>
      <w:r w:rsidRPr="0094468F">
        <w:rPr>
          <w:rFonts w:ascii="Garamond" w:eastAsiaTheme="minorHAnsi" w:hAnsi="Garamond" w:cs="FrutigerLTStd-Light"/>
          <w:lang w:val="es-CL"/>
        </w:rPr>
        <w:t>pasivo</w:t>
      </w:r>
      <w:r w:rsidR="00BD619C" w:rsidRPr="0094468F">
        <w:rPr>
          <w:rFonts w:ascii="Garamond" w:eastAsiaTheme="minorHAnsi" w:hAnsi="Garamond" w:cs="FrutigerLTStd-Light"/>
          <w:lang w:val="es-CL"/>
        </w:rPr>
        <w:t xml:space="preserve"> del ilícito penal o civil de que se trate, no así en cambio cuando se trata de una mujer </w:t>
      </w:r>
      <w:r w:rsidRPr="0094468F">
        <w:rPr>
          <w:rFonts w:ascii="Garamond" w:eastAsiaTheme="minorHAnsi" w:hAnsi="Garamond" w:cs="FrutigerLTStd-Light"/>
          <w:lang w:val="es-CL"/>
        </w:rPr>
        <w:t>víctima</w:t>
      </w:r>
      <w:r w:rsidR="00BD619C" w:rsidRPr="0094468F">
        <w:rPr>
          <w:rFonts w:ascii="Garamond" w:eastAsiaTheme="minorHAnsi" w:hAnsi="Garamond" w:cs="FrutigerLTStd-Light"/>
          <w:lang w:val="es-CL"/>
        </w:rPr>
        <w:t xml:space="preserve"> de violencia que es sujeto activo en un delito. El caso de Karina </w:t>
      </w:r>
      <w:r w:rsidRPr="0094468F">
        <w:rPr>
          <w:rFonts w:ascii="Garamond" w:eastAsiaTheme="minorHAnsi" w:hAnsi="Garamond" w:cs="FrutigerLTStd-Light"/>
          <w:lang w:val="es-CL"/>
        </w:rPr>
        <w:t>Sepúlveda</w:t>
      </w:r>
      <w:r w:rsidR="00BD619C" w:rsidRPr="0094468F">
        <w:rPr>
          <w:rFonts w:ascii="Garamond" w:eastAsiaTheme="minorHAnsi" w:hAnsi="Garamond" w:cs="FrutigerLTStd-Light"/>
          <w:lang w:val="es-CL"/>
        </w:rPr>
        <w:t xml:space="preserve">, que tras años de </w:t>
      </w:r>
      <w:r w:rsidRPr="0094468F">
        <w:rPr>
          <w:rFonts w:ascii="Garamond" w:eastAsiaTheme="minorHAnsi" w:hAnsi="Garamond" w:cs="FrutigerLTStd-Light"/>
          <w:lang w:val="es-CL"/>
        </w:rPr>
        <w:t>brutal</w:t>
      </w:r>
      <w:r w:rsidR="00BD619C" w:rsidRPr="0094468F">
        <w:rPr>
          <w:rFonts w:ascii="Garamond" w:eastAsiaTheme="minorHAnsi" w:hAnsi="Garamond" w:cs="FrutigerLTStd-Light"/>
          <w:lang w:val="es-CL"/>
        </w:rPr>
        <w:t xml:space="preserve"> violencia que dejaron </w:t>
      </w:r>
      <w:r w:rsidRPr="0094468F">
        <w:rPr>
          <w:rFonts w:ascii="Garamond" w:eastAsiaTheme="minorHAnsi" w:hAnsi="Garamond" w:cs="FrutigerLTStd-Light"/>
          <w:lang w:val="es-CL"/>
        </w:rPr>
        <w:t>más</w:t>
      </w:r>
      <w:r w:rsidR="00BD619C" w:rsidRPr="0094468F">
        <w:rPr>
          <w:rFonts w:ascii="Garamond" w:eastAsiaTheme="minorHAnsi" w:hAnsi="Garamond" w:cs="FrutigerLTStd-Light"/>
          <w:lang w:val="es-CL"/>
        </w:rPr>
        <w:t xml:space="preserve"> de 64 </w:t>
      </w:r>
      <w:r w:rsidRPr="0094468F">
        <w:rPr>
          <w:rFonts w:ascii="Garamond" w:eastAsiaTheme="minorHAnsi" w:hAnsi="Garamond" w:cs="FrutigerLTStd-Light"/>
          <w:lang w:val="es-CL"/>
        </w:rPr>
        <w:t>cicatrices</w:t>
      </w:r>
      <w:r w:rsidR="00BD619C" w:rsidRPr="0094468F">
        <w:rPr>
          <w:rFonts w:ascii="Garamond" w:eastAsiaTheme="minorHAnsi" w:hAnsi="Garamond" w:cs="FrutigerLTStd-Light"/>
          <w:lang w:val="es-CL"/>
        </w:rPr>
        <w:t xml:space="preserve"> en su cuerpo mató a su conviviente,  estremeció a todo un país, y  aun cuando este Congreso ha avanzado en esta materias a través de la reforma de la ley 20.480 que introdujo el estado de necesidad exculpante </w:t>
      </w:r>
      <w:r w:rsidR="00465346">
        <w:rPr>
          <w:rFonts w:ascii="Garamond" w:eastAsiaTheme="minorHAnsi" w:hAnsi="Garamond" w:cs="FrutigerLTStd-Light"/>
          <w:lang w:val="es-CL"/>
        </w:rPr>
        <w:t xml:space="preserve">(art. 10 Nº11 CP) </w:t>
      </w:r>
      <w:r w:rsidR="00BD619C" w:rsidRPr="0094468F">
        <w:rPr>
          <w:rFonts w:ascii="Garamond" w:eastAsiaTheme="minorHAnsi" w:hAnsi="Garamond" w:cs="FrutigerLTStd-Light"/>
          <w:lang w:val="es-CL"/>
        </w:rPr>
        <w:t>para hacer frente a este tipo de casos</w:t>
      </w:r>
      <w:r w:rsidR="000203E3" w:rsidRPr="0094468F">
        <w:rPr>
          <w:rFonts w:ascii="Garamond" w:eastAsiaTheme="minorHAnsi" w:hAnsi="Garamond" w:cs="FrutigerLTStd-Light"/>
          <w:lang w:val="es-CL"/>
        </w:rPr>
        <w:t xml:space="preserve">, me parece que por </w:t>
      </w:r>
      <w:r w:rsidR="002F50E3" w:rsidRPr="0094468F">
        <w:rPr>
          <w:rFonts w:ascii="Garamond" w:eastAsiaTheme="minorHAnsi" w:hAnsi="Garamond" w:cs="FrutigerLTStd-Light"/>
          <w:lang w:val="es-CL"/>
        </w:rPr>
        <w:t>las mismas razones el Servicio N</w:t>
      </w:r>
      <w:r w:rsidR="000203E3" w:rsidRPr="0094468F">
        <w:rPr>
          <w:rFonts w:ascii="Garamond" w:eastAsiaTheme="minorHAnsi" w:hAnsi="Garamond" w:cs="FrutigerLTStd-Light"/>
          <w:lang w:val="es-CL"/>
        </w:rPr>
        <w:t xml:space="preserve">acional de la Mujer y la equidad de </w:t>
      </w:r>
      <w:r w:rsidRPr="0094468F">
        <w:rPr>
          <w:rFonts w:ascii="Garamond" w:eastAsiaTheme="minorHAnsi" w:hAnsi="Garamond" w:cs="FrutigerLTStd-Light"/>
          <w:lang w:val="es-CL"/>
        </w:rPr>
        <w:t>Género</w:t>
      </w:r>
      <w:r w:rsidR="000203E3" w:rsidRPr="0094468F">
        <w:rPr>
          <w:rFonts w:ascii="Garamond" w:eastAsiaTheme="minorHAnsi" w:hAnsi="Garamond" w:cs="FrutigerLTStd-Light"/>
          <w:lang w:val="es-CL"/>
        </w:rPr>
        <w:t xml:space="preserve">, debería </w:t>
      </w:r>
      <w:r w:rsidR="002F50E3" w:rsidRPr="0094468F">
        <w:rPr>
          <w:rFonts w:ascii="Garamond" w:eastAsiaTheme="minorHAnsi" w:hAnsi="Garamond" w:cs="FrutigerLTStd-Light"/>
          <w:lang w:val="es-CL"/>
        </w:rPr>
        <w:t>estar facultado para</w:t>
      </w:r>
      <w:r w:rsidR="000203E3" w:rsidRPr="0094468F">
        <w:rPr>
          <w:rFonts w:ascii="Garamond" w:eastAsiaTheme="minorHAnsi" w:hAnsi="Garamond" w:cs="FrutigerLTStd-Light"/>
          <w:lang w:val="es-CL"/>
        </w:rPr>
        <w:t xml:space="preserve"> asumir la defensa de este tipo de casos, pues se trata de una violencia reactiva o defensiva si </w:t>
      </w:r>
      <w:r w:rsidRPr="0094468F">
        <w:rPr>
          <w:rFonts w:ascii="Garamond" w:eastAsiaTheme="minorHAnsi" w:hAnsi="Garamond" w:cs="FrutigerLTStd-Light"/>
          <w:lang w:val="es-CL"/>
        </w:rPr>
        <w:t>así</w:t>
      </w:r>
      <w:r w:rsidR="00031E2C" w:rsidRPr="0094468F">
        <w:rPr>
          <w:rFonts w:ascii="Garamond" w:eastAsiaTheme="minorHAnsi" w:hAnsi="Garamond" w:cs="FrutigerLTStd-Light"/>
          <w:lang w:val="es-CL"/>
        </w:rPr>
        <w:t xml:space="preserve"> se </w:t>
      </w:r>
      <w:r w:rsidR="00031E2C" w:rsidRPr="0094468F">
        <w:rPr>
          <w:rFonts w:ascii="Garamond" w:eastAsiaTheme="minorHAnsi" w:hAnsi="Garamond" w:cs="FrutigerLTStd-Light"/>
          <w:lang w:val="es-CL"/>
        </w:rPr>
        <w:lastRenderedPageBreak/>
        <w:t xml:space="preserve">quiere, frente a la </w:t>
      </w:r>
      <w:r w:rsidR="000203E3" w:rsidRPr="0094468F">
        <w:rPr>
          <w:rFonts w:ascii="Garamond" w:eastAsiaTheme="minorHAnsi" w:hAnsi="Garamond" w:cs="FrutigerLTStd-Light"/>
          <w:lang w:val="es-CL"/>
        </w:rPr>
        <w:t xml:space="preserve">violencia de género que vive la mujer y casi siempre también sus </w:t>
      </w:r>
      <w:r w:rsidRPr="0094468F">
        <w:rPr>
          <w:rFonts w:ascii="Garamond" w:eastAsiaTheme="minorHAnsi" w:hAnsi="Garamond" w:cs="FrutigerLTStd-Light"/>
          <w:lang w:val="es-CL"/>
        </w:rPr>
        <w:t>hijos</w:t>
      </w:r>
      <w:r w:rsidR="000203E3" w:rsidRPr="0094468F">
        <w:rPr>
          <w:rFonts w:ascii="Garamond" w:eastAsiaTheme="minorHAnsi" w:hAnsi="Garamond" w:cs="FrutigerLTStd-Light"/>
          <w:lang w:val="es-CL"/>
        </w:rPr>
        <w:t xml:space="preserve">. </w:t>
      </w:r>
      <w:r w:rsidR="002F50E3" w:rsidRPr="0094468F">
        <w:rPr>
          <w:rFonts w:ascii="Garamond" w:eastAsiaTheme="minorHAnsi" w:hAnsi="Garamond" w:cs="FrutigerLTStd-Light"/>
          <w:lang w:val="es-CL"/>
        </w:rPr>
        <w:t xml:space="preserve">Esto sin perjuicio de la labor que le corresponde a la Defensoría Penal Pública. Es decir, </w:t>
      </w:r>
      <w:r w:rsidR="00980534" w:rsidRPr="0094468F">
        <w:rPr>
          <w:rFonts w:ascii="Garamond" w:eastAsiaTheme="minorHAnsi" w:hAnsi="Garamond" w:cs="FrutigerLTStd-Light"/>
          <w:lang w:val="es-CL"/>
        </w:rPr>
        <w:t xml:space="preserve">el </w:t>
      </w:r>
      <w:proofErr w:type="spellStart"/>
      <w:r w:rsidR="00980534" w:rsidRPr="0094468F">
        <w:rPr>
          <w:rFonts w:ascii="Garamond" w:eastAsiaTheme="minorHAnsi" w:hAnsi="Garamond" w:cs="FrutigerLTStd-Light"/>
          <w:lang w:val="es-CL"/>
        </w:rPr>
        <w:t>Sernameg</w:t>
      </w:r>
      <w:proofErr w:type="spellEnd"/>
      <w:r w:rsidR="00980534" w:rsidRPr="0094468F">
        <w:rPr>
          <w:rFonts w:ascii="Garamond" w:eastAsiaTheme="minorHAnsi" w:hAnsi="Garamond" w:cs="FrutigerLTStd-Light"/>
          <w:lang w:val="es-CL"/>
        </w:rPr>
        <w:t xml:space="preserve"> debería poder asumir la defensa de este tipo de víctimas conjuntamente con la defensoría penal pública. Tenemos ejemplos de otros delitos en los que se observa </w:t>
      </w:r>
      <w:r w:rsidR="002F50E3" w:rsidRPr="0094468F">
        <w:rPr>
          <w:rFonts w:ascii="Garamond" w:eastAsiaTheme="minorHAnsi" w:hAnsi="Garamond" w:cs="FrutigerLTStd-Light"/>
          <w:lang w:val="es-CL"/>
        </w:rPr>
        <w:t>una sobre representación del Estado como parte persecutora (Ministerio Público e Intendencia, por ejemplo)</w:t>
      </w:r>
      <w:r w:rsidR="00980534" w:rsidRPr="0094468F">
        <w:rPr>
          <w:rFonts w:ascii="Garamond" w:eastAsiaTheme="minorHAnsi" w:hAnsi="Garamond" w:cs="FrutigerLTStd-Light"/>
          <w:lang w:val="es-CL"/>
        </w:rPr>
        <w:t xml:space="preserve">, ¿Por qué no podría serlo en el caso de estas mujeres infractoras de ley como respuesta reactiva a la violencia sufrida?. </w:t>
      </w:r>
    </w:p>
    <w:p w:rsidR="002F50E3" w:rsidRPr="0094468F" w:rsidRDefault="002F50E3" w:rsidP="00EF2134">
      <w:pPr>
        <w:autoSpaceDE w:val="0"/>
        <w:autoSpaceDN w:val="0"/>
        <w:adjustRightInd w:val="0"/>
        <w:spacing w:after="0" w:line="276" w:lineRule="auto"/>
        <w:jc w:val="both"/>
        <w:rPr>
          <w:rFonts w:ascii="Garamond" w:hAnsi="Garamond"/>
        </w:rPr>
      </w:pPr>
    </w:p>
    <w:p w:rsidR="0035386F" w:rsidRDefault="00031E2C" w:rsidP="00EF2134">
      <w:pPr>
        <w:spacing w:line="276" w:lineRule="auto"/>
        <w:jc w:val="both"/>
        <w:rPr>
          <w:rFonts w:ascii="Garamond" w:hAnsi="Garamond"/>
        </w:rPr>
      </w:pPr>
      <w:r w:rsidRPr="0094468F">
        <w:rPr>
          <w:rFonts w:ascii="Garamond" w:hAnsi="Garamond"/>
        </w:rPr>
        <w:t xml:space="preserve">Hay muchas otras cuestiones destacables en el proyecto y que van en la misma línea de los protocolos de actuación que deben tener los operadores de justicia frente a la violencia contra las mujeres en el marco de las relaciones de pareja, lo cual puede comprobarse fácilmente comparando la propuesta del proyecto con lo señalado por la Comisión Interamericana de Derechos Humanos y la Corte Interamericana de Derechos Humanos (adjunto documento). </w:t>
      </w:r>
    </w:p>
    <w:p w:rsidR="00CD4AFF" w:rsidRDefault="00031E2C" w:rsidP="00CD4AFF">
      <w:pPr>
        <w:spacing w:line="276" w:lineRule="auto"/>
        <w:jc w:val="both"/>
        <w:rPr>
          <w:rFonts w:ascii="Garamond" w:hAnsi="Garamond"/>
        </w:rPr>
      </w:pPr>
      <w:r w:rsidRPr="0094468F">
        <w:rPr>
          <w:rFonts w:ascii="Garamond" w:hAnsi="Garamond"/>
        </w:rPr>
        <w:t>Por razones de tiempo</w:t>
      </w:r>
      <w:r w:rsidR="00C766CE" w:rsidRPr="0094468F">
        <w:rPr>
          <w:rFonts w:ascii="Garamond" w:hAnsi="Garamond"/>
        </w:rPr>
        <w:t xml:space="preserve">, </w:t>
      </w:r>
      <w:r w:rsidR="00CD4AFF">
        <w:rPr>
          <w:rFonts w:ascii="Garamond" w:hAnsi="Garamond"/>
        </w:rPr>
        <w:t xml:space="preserve">y en razón de mi </w:t>
      </w:r>
      <w:proofErr w:type="spellStart"/>
      <w:r w:rsidR="00CD4AFF">
        <w:rPr>
          <w:rFonts w:ascii="Garamond" w:hAnsi="Garamond"/>
        </w:rPr>
        <w:t>expertiz</w:t>
      </w:r>
      <w:proofErr w:type="spellEnd"/>
      <w:r w:rsidR="00CD4AFF">
        <w:rPr>
          <w:rFonts w:ascii="Garamond" w:hAnsi="Garamond"/>
        </w:rPr>
        <w:t>, seguidamente haré referencia esencialmente a los aspectos penales</w:t>
      </w:r>
    </w:p>
    <w:p w:rsidR="00CD4AFF" w:rsidRDefault="00CD4AFF" w:rsidP="00CD4AFF">
      <w:pPr>
        <w:spacing w:line="276" w:lineRule="auto"/>
        <w:jc w:val="both"/>
        <w:rPr>
          <w:rFonts w:ascii="Garamond" w:hAnsi="Garamond"/>
        </w:rPr>
      </w:pPr>
    </w:p>
    <w:p w:rsidR="00792C91" w:rsidRDefault="00792C91" w:rsidP="00792C91">
      <w:pPr>
        <w:pStyle w:val="Prrafodelista"/>
        <w:numPr>
          <w:ilvl w:val="0"/>
          <w:numId w:val="12"/>
        </w:numPr>
        <w:spacing w:line="276" w:lineRule="auto"/>
        <w:jc w:val="both"/>
        <w:rPr>
          <w:rFonts w:ascii="Garamond" w:hAnsi="Garamond"/>
        </w:rPr>
      </w:pPr>
      <w:r>
        <w:rPr>
          <w:rFonts w:ascii="Garamond" w:hAnsi="Garamond"/>
        </w:rPr>
        <w:t>Algunos aspectos penales</w:t>
      </w:r>
    </w:p>
    <w:p w:rsidR="00792C91" w:rsidRPr="00792C91" w:rsidRDefault="00792C91" w:rsidP="00792C91">
      <w:pPr>
        <w:pStyle w:val="Prrafodelista"/>
        <w:spacing w:line="276" w:lineRule="auto"/>
        <w:jc w:val="both"/>
        <w:rPr>
          <w:rFonts w:ascii="Garamond" w:hAnsi="Garamond"/>
        </w:rPr>
      </w:pPr>
    </w:p>
    <w:p w:rsidR="00C766CE" w:rsidRPr="00792C91" w:rsidRDefault="00C766CE" w:rsidP="00792C91">
      <w:pPr>
        <w:pStyle w:val="Prrafodelista"/>
        <w:numPr>
          <w:ilvl w:val="1"/>
          <w:numId w:val="12"/>
        </w:numPr>
        <w:spacing w:line="276" w:lineRule="auto"/>
        <w:jc w:val="both"/>
        <w:rPr>
          <w:rFonts w:ascii="Garamond" w:hAnsi="Garamond"/>
        </w:rPr>
      </w:pPr>
      <w:r w:rsidRPr="00792C91">
        <w:rPr>
          <w:rFonts w:ascii="Garamond" w:hAnsi="Garamond"/>
        </w:rPr>
        <w:t>La atenuante de arrebato u obcecación.</w:t>
      </w:r>
      <w:r w:rsidR="00792C91">
        <w:rPr>
          <w:rFonts w:ascii="Garamond" w:hAnsi="Garamond"/>
        </w:rPr>
        <w:t xml:space="preserve"> (art. 23)</w:t>
      </w:r>
    </w:p>
    <w:p w:rsidR="00C766CE" w:rsidRDefault="00C766CE" w:rsidP="00EF2134">
      <w:pPr>
        <w:pStyle w:val="Prrafodelista"/>
        <w:spacing w:line="276" w:lineRule="auto"/>
        <w:jc w:val="both"/>
        <w:rPr>
          <w:rFonts w:ascii="Garamond" w:hAnsi="Garamond"/>
        </w:rPr>
      </w:pPr>
    </w:p>
    <w:p w:rsidR="00C766CE" w:rsidRPr="00792C91" w:rsidRDefault="00792C91" w:rsidP="00792C91">
      <w:pPr>
        <w:spacing w:line="276" w:lineRule="auto"/>
        <w:ind w:firstLine="360"/>
        <w:jc w:val="both"/>
        <w:rPr>
          <w:rFonts w:ascii="Garamond" w:hAnsi="Garamond"/>
        </w:rPr>
      </w:pPr>
      <w:r w:rsidRPr="00792C91">
        <w:rPr>
          <w:rFonts w:ascii="Garamond" w:hAnsi="Garamond"/>
        </w:rPr>
        <w:t xml:space="preserve">El proyecto restringe </w:t>
      </w:r>
      <w:r w:rsidR="00C766CE" w:rsidRPr="00792C91">
        <w:rPr>
          <w:rFonts w:ascii="Garamond" w:hAnsi="Garamond"/>
        </w:rPr>
        <w:t>la interpretación judicial,</w:t>
      </w:r>
      <w:r>
        <w:rPr>
          <w:rFonts w:ascii="Garamond" w:hAnsi="Garamond"/>
        </w:rPr>
        <w:t xml:space="preserve"> o la fuerza negativamente en un determinado sentido (no puede interpretar la atenuante fundándose en estereotipos de género) lo cual a primera vista parece complejo. Pero </w:t>
      </w:r>
      <w:r w:rsidR="00C766CE" w:rsidRPr="00792C91">
        <w:rPr>
          <w:rFonts w:ascii="Garamond" w:hAnsi="Garamond"/>
        </w:rPr>
        <w:t>no es menos cierto que el legislador debe impedir que el derecho se mezcle con la moral o aspectos éticos que están fuera del marco norm</w:t>
      </w:r>
      <w:r w:rsidR="00EF4532" w:rsidRPr="00792C91">
        <w:rPr>
          <w:rFonts w:ascii="Garamond" w:hAnsi="Garamond"/>
        </w:rPr>
        <w:t>ativo, especialmente cuando éste reproduce estereotipos de género, pues se ha acogido la atenuante para casos del marido o pareja celosa, no así cuando se ha alegado la situación de violencia intrafamiliar que experimenta la mujer como elemento desencadenante de un arrebato o de la obcecación.</w:t>
      </w:r>
      <w:r w:rsidR="00C766CE" w:rsidRPr="00792C91">
        <w:rPr>
          <w:rFonts w:ascii="Garamond" w:hAnsi="Garamond"/>
        </w:rPr>
        <w:t xml:space="preserve"> Así por ejemplo, esta sentencia de la Corte de Apelaciones de Santiago del año 2007</w:t>
      </w:r>
      <w:r w:rsidR="00EF4532" w:rsidRPr="00792C91">
        <w:rPr>
          <w:rFonts w:ascii="Garamond" w:hAnsi="Garamond"/>
        </w:rPr>
        <w:t xml:space="preserve"> </w:t>
      </w:r>
      <w:r w:rsidR="00EF2134" w:rsidRPr="00792C91">
        <w:rPr>
          <w:rFonts w:ascii="Garamond" w:hAnsi="Garamond"/>
        </w:rPr>
        <w:t>reconociendo</w:t>
      </w:r>
      <w:r w:rsidR="00EF4532" w:rsidRPr="00792C91">
        <w:rPr>
          <w:rFonts w:ascii="Garamond" w:hAnsi="Garamond"/>
        </w:rPr>
        <w:t xml:space="preserve"> la atenuante para un imputado por el parricidio de su mujer</w:t>
      </w:r>
      <w:r w:rsidR="00EF4532" w:rsidRPr="0094468F">
        <w:rPr>
          <w:rStyle w:val="Refdenotaalpie"/>
          <w:rFonts w:ascii="Garamond" w:hAnsi="Garamond"/>
        </w:rPr>
        <w:footnoteReference w:id="8"/>
      </w:r>
      <w:r w:rsidR="00C766CE" w:rsidRPr="00792C91">
        <w:rPr>
          <w:rFonts w:ascii="Garamond" w:hAnsi="Garamond"/>
        </w:rPr>
        <w:t>:</w:t>
      </w:r>
    </w:p>
    <w:p w:rsidR="00C766CE" w:rsidRPr="0094468F" w:rsidRDefault="00C766CE" w:rsidP="00EF2134">
      <w:pPr>
        <w:spacing w:line="276" w:lineRule="auto"/>
        <w:jc w:val="both"/>
        <w:textAlignment w:val="baseline"/>
        <w:rPr>
          <w:rFonts w:ascii="Garamond" w:hAnsi="Garamond"/>
        </w:rPr>
      </w:pPr>
      <w:r w:rsidRPr="0094468F">
        <w:rPr>
          <w:rFonts w:ascii="Garamond" w:eastAsiaTheme="minorEastAsia" w:hAnsi="Garamond" w:cstheme="minorBidi"/>
          <w:bCs/>
          <w:lang w:val="es-CR"/>
        </w:rPr>
        <w:t xml:space="preserve">“Que </w:t>
      </w:r>
      <w:r w:rsidRPr="0094468F">
        <w:rPr>
          <w:rFonts w:ascii="Garamond" w:eastAsiaTheme="minorEastAsia" w:hAnsi="Garamond" w:cstheme="minorBidi"/>
          <w:bCs/>
          <w:u w:val="single"/>
          <w:lang w:val="es-CR"/>
        </w:rPr>
        <w:t>la paz reposa en la fe</w:t>
      </w:r>
      <w:r w:rsidRPr="0094468F">
        <w:rPr>
          <w:rFonts w:ascii="Garamond" w:eastAsiaTheme="minorEastAsia" w:hAnsi="Garamond" w:cstheme="minorBidi"/>
          <w:bCs/>
          <w:lang w:val="es-CR"/>
        </w:rPr>
        <w:t xml:space="preserve">, porque necesitamos creer para estar tranquilos. Es por </w:t>
      </w:r>
      <w:proofErr w:type="spellStart"/>
      <w:r w:rsidRPr="0094468F">
        <w:rPr>
          <w:rFonts w:ascii="Garamond" w:eastAsiaTheme="minorEastAsia" w:hAnsi="Garamond" w:cstheme="minorBidi"/>
          <w:bCs/>
          <w:lang w:val="es-CR"/>
        </w:rPr>
        <w:t>ellos</w:t>
      </w:r>
      <w:proofErr w:type="spellEnd"/>
      <w:r w:rsidRPr="0094468F">
        <w:rPr>
          <w:rFonts w:ascii="Garamond" w:eastAsiaTheme="minorEastAsia" w:hAnsi="Garamond" w:cstheme="minorBidi"/>
          <w:bCs/>
          <w:lang w:val="es-CR"/>
        </w:rPr>
        <w:t xml:space="preserve"> que </w:t>
      </w:r>
      <w:r w:rsidRPr="0094468F">
        <w:rPr>
          <w:rFonts w:ascii="Garamond" w:eastAsiaTheme="minorEastAsia" w:hAnsi="Garamond" w:cstheme="minorBidi"/>
          <w:bCs/>
          <w:u w:val="single"/>
          <w:lang w:val="es-CR"/>
        </w:rPr>
        <w:t>toda forma de traición</w:t>
      </w:r>
      <w:r w:rsidRPr="0094468F">
        <w:rPr>
          <w:rFonts w:ascii="Garamond" w:eastAsiaTheme="minorEastAsia" w:hAnsi="Garamond" w:cstheme="minorBidi"/>
          <w:bCs/>
          <w:lang w:val="es-CR"/>
        </w:rPr>
        <w:t xml:space="preserve">, en cuanto importa quebrantar dicha fe, suele producir </w:t>
      </w:r>
      <w:r w:rsidRPr="0094468F">
        <w:rPr>
          <w:rFonts w:ascii="Garamond" w:eastAsiaTheme="minorEastAsia" w:hAnsi="Garamond" w:cstheme="minorBidi"/>
          <w:bCs/>
          <w:u w:val="single"/>
          <w:lang w:val="es-CR"/>
        </w:rPr>
        <w:t>arrebato y obcecación</w:t>
      </w:r>
      <w:r w:rsidRPr="0094468F">
        <w:rPr>
          <w:rFonts w:ascii="Garamond" w:eastAsiaTheme="minorEastAsia" w:hAnsi="Garamond" w:cstheme="minorBidi"/>
          <w:bCs/>
          <w:lang w:val="es-CR"/>
        </w:rPr>
        <w:t xml:space="preserve"> en el defraudado. Más aún, desde antiguo, </w:t>
      </w:r>
      <w:r w:rsidRPr="0094468F">
        <w:rPr>
          <w:rFonts w:ascii="Garamond" w:eastAsiaTheme="minorEastAsia" w:hAnsi="Garamond" w:cstheme="minorBidi"/>
          <w:bCs/>
          <w:u w:val="single"/>
          <w:lang w:val="es-CR"/>
        </w:rPr>
        <w:t>la traición</w:t>
      </w:r>
      <w:r w:rsidRPr="0094468F">
        <w:rPr>
          <w:rFonts w:ascii="Garamond" w:eastAsiaTheme="minorEastAsia" w:hAnsi="Garamond" w:cstheme="minorBidi"/>
          <w:bCs/>
          <w:lang w:val="es-CR"/>
        </w:rPr>
        <w:t xml:space="preserve"> –en sus diversas formas-, ha merecido las más altas sanciones, morales y penales, </w:t>
      </w:r>
      <w:r w:rsidRPr="0094468F">
        <w:rPr>
          <w:rFonts w:ascii="Garamond" w:eastAsiaTheme="minorEastAsia" w:hAnsi="Garamond" w:cstheme="minorBidi"/>
          <w:bCs/>
          <w:lang w:val="es-CR"/>
        </w:rPr>
        <w:lastRenderedPageBreak/>
        <w:t xml:space="preserve">en tanto </w:t>
      </w:r>
      <w:r w:rsidRPr="0094468F">
        <w:rPr>
          <w:rFonts w:ascii="Garamond" w:eastAsiaTheme="minorEastAsia" w:hAnsi="Garamond" w:cstheme="minorBidi"/>
          <w:bCs/>
          <w:u w:val="single"/>
          <w:lang w:val="es-CR"/>
        </w:rPr>
        <w:t>ataca y corroe los fundamentos mismos de toda Institución</w:t>
      </w:r>
      <w:r w:rsidRPr="0094468F">
        <w:rPr>
          <w:rFonts w:ascii="Garamond" w:eastAsiaTheme="minorEastAsia" w:hAnsi="Garamond" w:cstheme="minorBidi"/>
          <w:bCs/>
          <w:lang w:val="es-CR"/>
        </w:rPr>
        <w:t xml:space="preserve">. En el caso del matrimonio, la traición se manifiesta –entre otros comportamientos-, </w:t>
      </w:r>
      <w:r w:rsidRPr="0094468F">
        <w:rPr>
          <w:rFonts w:ascii="Garamond" w:eastAsiaTheme="minorEastAsia" w:hAnsi="Garamond" w:cstheme="minorBidi"/>
          <w:bCs/>
          <w:u w:val="single"/>
          <w:lang w:val="es-CR"/>
        </w:rPr>
        <w:t>en la infidelidad conyugal</w:t>
      </w:r>
      <w:r w:rsidRPr="0094468F">
        <w:rPr>
          <w:rFonts w:ascii="Garamond" w:eastAsiaTheme="minorEastAsia" w:hAnsi="Garamond" w:cstheme="minorBidi"/>
          <w:bCs/>
          <w:lang w:val="es-CR"/>
        </w:rPr>
        <w:t xml:space="preserve">, cuando alguno de los esposos vulnera las promesas sagradas que se hicieron en forma previa a consentir el </w:t>
      </w:r>
      <w:r w:rsidR="00EF2134" w:rsidRPr="0094468F">
        <w:rPr>
          <w:rFonts w:ascii="Garamond" w:eastAsiaTheme="minorEastAsia" w:hAnsi="Garamond" w:cstheme="minorBidi"/>
          <w:bCs/>
          <w:lang w:val="es-CR"/>
        </w:rPr>
        <w:t>vínculo</w:t>
      </w:r>
      <w:r w:rsidRPr="0094468F">
        <w:rPr>
          <w:rFonts w:ascii="Garamond" w:eastAsiaTheme="minorEastAsia" w:hAnsi="Garamond" w:cstheme="minorBidi"/>
          <w:bCs/>
          <w:lang w:val="es-CR"/>
        </w:rPr>
        <w:t xml:space="preserve"> y que constituyen la esencia de éste, introduciendo desconfianza y desazón constante, sin descartar que dicha conducta contenga en sí el </w:t>
      </w:r>
      <w:r w:rsidR="00EF2134" w:rsidRPr="0094468F">
        <w:rPr>
          <w:rFonts w:ascii="Garamond" w:eastAsiaTheme="minorEastAsia" w:hAnsi="Garamond" w:cstheme="minorBidi"/>
          <w:bCs/>
          <w:lang w:val="es-CR"/>
        </w:rPr>
        <w:t>mérito</w:t>
      </w:r>
      <w:r w:rsidRPr="0094468F">
        <w:rPr>
          <w:rFonts w:ascii="Garamond" w:eastAsiaTheme="minorEastAsia" w:hAnsi="Garamond" w:cstheme="minorBidi"/>
          <w:bCs/>
          <w:lang w:val="es-CR"/>
        </w:rPr>
        <w:t xml:space="preserve"> suficiente para que las partes den por terminado el contrato que los unió. Así, lo enseña la experiencia. Tal es la infidelidad, al conceptuarla cual obramos haciendo ejercicio de la abstracción, es decir, sin personificarla en un ser humano concreto. Es por ello que, tomando en parte de los conocimientos y criterios adquiridos por el Juez a lo largo de los años, los que se encuentran depositados en su alma, </w:t>
      </w:r>
      <w:r w:rsidRPr="0094468F">
        <w:rPr>
          <w:rFonts w:ascii="Garamond" w:eastAsiaTheme="minorEastAsia" w:hAnsi="Garamond" w:cstheme="minorBidi"/>
          <w:bCs/>
          <w:u w:val="single"/>
          <w:lang w:val="es-CR"/>
        </w:rPr>
        <w:t>y comprendiendo desde ya que la carencia de paz puede significar o traducirse –incluso- en horribles acontecimientos</w:t>
      </w:r>
      <w:r w:rsidRPr="0094468F">
        <w:rPr>
          <w:rFonts w:ascii="Garamond" w:eastAsiaTheme="minorEastAsia" w:hAnsi="Garamond" w:cstheme="minorBidi"/>
          <w:bCs/>
          <w:lang w:val="es-CR"/>
        </w:rPr>
        <w:t>, desde el momento que “sin paz no existen decisiones prudentes” en tanto inspiradas en una “reacción que en el sujeto activo del delito tiene por fuente el desequilibrio producido por la traición”</w:t>
      </w:r>
      <w:r w:rsidRPr="0094468F">
        <w:rPr>
          <w:rFonts w:ascii="Garamond" w:eastAsiaTheme="majorEastAsia" w:hAnsi="Garamond" w:cstheme="majorBidi"/>
          <w:lang w:val="es-CR"/>
        </w:rPr>
        <w:t xml:space="preserve"> </w:t>
      </w:r>
      <w:r w:rsidR="00EF4532" w:rsidRPr="0094468F">
        <w:rPr>
          <w:rFonts w:ascii="Garamond" w:eastAsiaTheme="majorEastAsia" w:hAnsi="Garamond" w:cstheme="majorBidi"/>
          <w:lang w:val="es-CR"/>
        </w:rPr>
        <w:t>(</w:t>
      </w:r>
      <w:r w:rsidRPr="0094468F">
        <w:rPr>
          <w:rFonts w:ascii="Garamond" w:eastAsiaTheme="majorEastAsia" w:hAnsi="Garamond" w:cstheme="majorBidi"/>
          <w:lang w:val="es-CR"/>
        </w:rPr>
        <w:t>Corte de Apelaciones de Santiago,</w:t>
      </w:r>
      <w:r w:rsidR="00EF4532" w:rsidRPr="0094468F">
        <w:rPr>
          <w:rFonts w:ascii="Garamond" w:eastAsiaTheme="majorEastAsia" w:hAnsi="Garamond" w:cstheme="majorBidi"/>
          <w:lang w:val="es-CR"/>
        </w:rPr>
        <w:t xml:space="preserve"> sentencia de </w:t>
      </w:r>
      <w:r w:rsidRPr="0094468F">
        <w:rPr>
          <w:rFonts w:ascii="Garamond" w:eastAsiaTheme="majorEastAsia" w:hAnsi="Garamond" w:cstheme="majorBidi"/>
          <w:lang w:val="es-CR"/>
        </w:rPr>
        <w:t xml:space="preserve"> 5</w:t>
      </w:r>
      <w:r w:rsidR="00EF4532" w:rsidRPr="0094468F">
        <w:rPr>
          <w:rFonts w:ascii="Garamond" w:eastAsiaTheme="majorEastAsia" w:hAnsi="Garamond" w:cstheme="majorBidi"/>
          <w:lang w:val="es-CR"/>
        </w:rPr>
        <w:t>-9- de 2007. Rol 2753-2007)</w:t>
      </w:r>
    </w:p>
    <w:p w:rsidR="00C766CE" w:rsidRPr="0094468F" w:rsidRDefault="00EF4532" w:rsidP="00EF2134">
      <w:pPr>
        <w:spacing w:line="276" w:lineRule="auto"/>
        <w:jc w:val="both"/>
        <w:rPr>
          <w:rFonts w:ascii="Garamond" w:hAnsi="Garamond"/>
        </w:rPr>
      </w:pPr>
      <w:r w:rsidRPr="0094468F">
        <w:rPr>
          <w:rFonts w:ascii="Garamond" w:hAnsi="Garamond"/>
        </w:rPr>
        <w:t xml:space="preserve">En cambio, la justicia señaló algo distinto para una mujer imputada por homicidio calificado de su pareja: </w:t>
      </w:r>
    </w:p>
    <w:p w:rsidR="00C766CE" w:rsidRPr="0094468F" w:rsidRDefault="00EF4532" w:rsidP="00EF2134">
      <w:pPr>
        <w:spacing w:line="276" w:lineRule="auto"/>
        <w:jc w:val="both"/>
        <w:textAlignment w:val="baseline"/>
        <w:rPr>
          <w:rFonts w:ascii="Garamond" w:eastAsia="Times New Roman" w:hAnsi="Garamond"/>
          <w:lang w:val="es-CL"/>
        </w:rPr>
      </w:pPr>
      <w:r w:rsidRPr="0094468F">
        <w:rPr>
          <w:rFonts w:ascii="Garamond" w:eastAsiaTheme="minorEastAsia" w:hAnsi="Garamond" w:cstheme="minorBidi"/>
          <w:lang w:val="es-ES"/>
        </w:rPr>
        <w:t>“</w:t>
      </w:r>
      <w:r w:rsidR="00C766CE" w:rsidRPr="0094468F">
        <w:rPr>
          <w:rFonts w:ascii="Garamond" w:eastAsiaTheme="minorEastAsia" w:hAnsi="Garamond" w:cstheme="minorBidi"/>
          <w:lang w:val="es-ES"/>
        </w:rPr>
        <w:t xml:space="preserve">Que sobre la violencia intrafamiliar que la acusada habría sufrido y que la defensa alega como base de la atenuante del artículo 11 </w:t>
      </w:r>
      <w:proofErr w:type="spellStart"/>
      <w:r w:rsidR="00C766CE" w:rsidRPr="0094468F">
        <w:rPr>
          <w:rFonts w:ascii="Garamond" w:eastAsiaTheme="minorEastAsia" w:hAnsi="Garamond" w:cstheme="minorBidi"/>
          <w:lang w:val="es-ES"/>
        </w:rPr>
        <w:t>Nº</w:t>
      </w:r>
      <w:proofErr w:type="spellEnd"/>
      <w:r w:rsidR="00C766CE" w:rsidRPr="0094468F">
        <w:rPr>
          <w:rFonts w:ascii="Garamond" w:eastAsiaTheme="minorEastAsia" w:hAnsi="Garamond" w:cstheme="minorBidi"/>
          <w:lang w:val="es-ES"/>
        </w:rPr>
        <w:t xml:space="preserve"> 5 del Código Penal… sólo permiten presumir que hubo discusiones y agresiones mutuas y quizás golpes que la mujer haya recibido, pero de manera alguna se ha probado una violencia de la gravedad y persistencia que permita suponer la obcecación que se pretende, y mucho menos si no se alegó siquiera, como consecuencia de lo cual tampoco se probó, que la acusada haya intentado otras formas de solución del problema, que no la llevaran al crimen, como la denuncia de los abusos ante las autoridades, o el abandono del hogar común. La fría planificación del delito, su ejecución en la misma casa en que vivía con su conviviente, prácticamente en presencia de sus cuatro hijos, y el que haya recurrido para la ejecución a un tercero desconocido, revelan no arrebato ni obcecación; esto es, no un estado de ánimo exaltado y alterado pasionalmente, sino una frialdad que impide aceptar la concurrencia de la </w:t>
      </w:r>
      <w:proofErr w:type="spellStart"/>
      <w:r w:rsidR="00C766CE" w:rsidRPr="0094468F">
        <w:rPr>
          <w:rFonts w:ascii="Garamond" w:eastAsiaTheme="minorEastAsia" w:hAnsi="Garamond" w:cstheme="minorBidi"/>
          <w:lang w:val="es-ES"/>
        </w:rPr>
        <w:t>minorante</w:t>
      </w:r>
      <w:proofErr w:type="spellEnd"/>
      <w:r w:rsidR="00C766CE" w:rsidRPr="0094468F">
        <w:rPr>
          <w:rFonts w:ascii="Garamond" w:eastAsiaTheme="minorEastAsia" w:hAnsi="Garamond" w:cstheme="minorBidi"/>
          <w:lang w:val="es-ES"/>
        </w:rPr>
        <w:t xml:space="preserve">” </w:t>
      </w:r>
      <w:r w:rsidRPr="0094468F">
        <w:rPr>
          <w:rFonts w:ascii="Garamond" w:eastAsiaTheme="minorEastAsia" w:hAnsi="Garamond" w:cstheme="minorBidi"/>
          <w:lang w:val="es-ES"/>
        </w:rPr>
        <w:t>(</w:t>
      </w:r>
      <w:r w:rsidR="00C766CE" w:rsidRPr="0094468F">
        <w:rPr>
          <w:rFonts w:ascii="Garamond" w:eastAsiaTheme="majorEastAsia" w:hAnsi="Garamond" w:cstheme="majorBidi"/>
          <w:bCs/>
          <w:lang w:val="es-ES"/>
        </w:rPr>
        <w:t>C</w:t>
      </w:r>
      <w:r w:rsidRPr="0094468F">
        <w:rPr>
          <w:rFonts w:ascii="Garamond" w:eastAsiaTheme="majorEastAsia" w:hAnsi="Garamond" w:cstheme="majorBidi"/>
          <w:bCs/>
          <w:lang w:val="es-ES"/>
        </w:rPr>
        <w:t xml:space="preserve">orte de </w:t>
      </w:r>
      <w:r w:rsidR="00C766CE" w:rsidRPr="0094468F">
        <w:rPr>
          <w:rFonts w:ascii="Garamond" w:eastAsiaTheme="majorEastAsia" w:hAnsi="Garamond" w:cstheme="majorBidi"/>
          <w:bCs/>
          <w:lang w:val="es-ES"/>
        </w:rPr>
        <w:t>A</w:t>
      </w:r>
      <w:r w:rsidRPr="0094468F">
        <w:rPr>
          <w:rFonts w:ascii="Garamond" w:eastAsiaTheme="majorEastAsia" w:hAnsi="Garamond" w:cstheme="majorBidi"/>
          <w:bCs/>
          <w:lang w:val="es-ES"/>
        </w:rPr>
        <w:t>pelaciones de</w:t>
      </w:r>
      <w:r w:rsidR="00C766CE" w:rsidRPr="0094468F">
        <w:rPr>
          <w:rFonts w:ascii="Garamond" w:eastAsiaTheme="majorEastAsia" w:hAnsi="Garamond" w:cstheme="majorBidi"/>
          <w:bCs/>
          <w:lang w:val="es-ES"/>
        </w:rPr>
        <w:t xml:space="preserve"> Rancagua,</w:t>
      </w:r>
      <w:r w:rsidRPr="0094468F">
        <w:rPr>
          <w:rFonts w:ascii="Garamond" w:eastAsiaTheme="majorEastAsia" w:hAnsi="Garamond" w:cstheme="majorBidi"/>
          <w:bCs/>
          <w:lang w:val="es-ES"/>
        </w:rPr>
        <w:t xml:space="preserve"> sentencia</w:t>
      </w:r>
      <w:r w:rsidR="00C766CE" w:rsidRPr="0094468F">
        <w:rPr>
          <w:rFonts w:ascii="Garamond" w:eastAsiaTheme="majorEastAsia" w:hAnsi="Garamond" w:cstheme="majorBidi"/>
          <w:bCs/>
          <w:lang w:val="es-ES"/>
        </w:rPr>
        <w:t xml:space="preserve"> de 22-11-2004, Rol 221196, considerando 9</w:t>
      </w:r>
      <w:r w:rsidRPr="0094468F">
        <w:rPr>
          <w:rFonts w:ascii="Garamond" w:eastAsiaTheme="majorEastAsia" w:hAnsi="Garamond" w:cstheme="majorBidi"/>
          <w:bCs/>
          <w:lang w:val="es-ES"/>
        </w:rPr>
        <w:t>).</w:t>
      </w:r>
    </w:p>
    <w:p w:rsidR="00EF4532" w:rsidRPr="0094468F" w:rsidRDefault="00C766CE" w:rsidP="00EF2134">
      <w:pPr>
        <w:spacing w:line="276" w:lineRule="auto"/>
        <w:jc w:val="both"/>
        <w:textAlignment w:val="baseline"/>
        <w:rPr>
          <w:rFonts w:ascii="Garamond" w:hAnsi="Garamond"/>
          <w:color w:val="7C1302"/>
        </w:rPr>
      </w:pPr>
      <w:r w:rsidRPr="0094468F">
        <w:rPr>
          <w:rFonts w:ascii="Garamond" w:hAnsi="Garamond"/>
        </w:rPr>
        <w:t xml:space="preserve">Ambos fallos son antiguos pero no menos decidores de la diferencia de trato que se produce en la justicia respecto de la aplicación de la misma a hombres y mujeres. </w:t>
      </w:r>
      <w:r w:rsidR="00EF4532" w:rsidRPr="0094468F">
        <w:rPr>
          <w:rFonts w:ascii="Garamond" w:eastAsiaTheme="minorEastAsia" w:hAnsi="Garamond" w:cstheme="minorBidi"/>
          <w:color w:val="000000" w:themeColor="text1"/>
          <w:lang w:val="es-ES"/>
        </w:rPr>
        <w:t xml:space="preserve">Especialmente porque la atenuante pone énfasis en el resultado de los estímulos y no en la objetividad de los estímulos que actúan en el sujeto, por lo que estamos en presencia de una circunstancia que valora la reacción del sujeto en base a su rol social y las características de personalidad que se le han atribuido a dicho género. </w:t>
      </w:r>
      <w:r w:rsidR="00EF4532" w:rsidRPr="0094468F">
        <w:rPr>
          <w:rFonts w:ascii="Garamond" w:hAnsi="Garamond"/>
        </w:rPr>
        <w:lastRenderedPageBreak/>
        <w:t>Por ende, en donde la balanza interpretativa tien</w:t>
      </w:r>
      <w:r w:rsidR="0064479D">
        <w:rPr>
          <w:rFonts w:ascii="Garamond" w:hAnsi="Garamond"/>
        </w:rPr>
        <w:t>de</w:t>
      </w:r>
      <w:r w:rsidR="00EF4532" w:rsidRPr="0094468F">
        <w:rPr>
          <w:rFonts w:ascii="Garamond" w:hAnsi="Garamond"/>
        </w:rPr>
        <w:t xml:space="preserve"> </w:t>
      </w:r>
      <w:r w:rsidR="0064479D">
        <w:rPr>
          <w:rFonts w:ascii="Garamond" w:hAnsi="Garamond"/>
        </w:rPr>
        <w:t>a</w:t>
      </w:r>
      <w:r w:rsidR="00EF4532" w:rsidRPr="0094468F">
        <w:rPr>
          <w:rFonts w:ascii="Garamond" w:hAnsi="Garamond"/>
        </w:rPr>
        <w:t xml:space="preserve"> desequilibrar y crear desigualdad de género, el legislador debe intervenir.</w:t>
      </w:r>
    </w:p>
    <w:p w:rsidR="00C766CE" w:rsidRPr="0094468F" w:rsidRDefault="00C766CE" w:rsidP="00EF2134">
      <w:pPr>
        <w:spacing w:line="276" w:lineRule="auto"/>
        <w:jc w:val="both"/>
        <w:textAlignment w:val="baseline"/>
        <w:rPr>
          <w:rFonts w:ascii="Garamond" w:hAnsi="Garamond"/>
        </w:rPr>
      </w:pPr>
    </w:p>
    <w:p w:rsidR="00C766CE" w:rsidRPr="00792C91" w:rsidRDefault="00E91D04" w:rsidP="00792C91">
      <w:pPr>
        <w:pStyle w:val="Prrafodelista"/>
        <w:numPr>
          <w:ilvl w:val="1"/>
          <w:numId w:val="12"/>
        </w:numPr>
        <w:spacing w:line="276" w:lineRule="auto"/>
        <w:jc w:val="both"/>
        <w:textAlignment w:val="baseline"/>
        <w:rPr>
          <w:rFonts w:ascii="Garamond" w:hAnsi="Garamond"/>
        </w:rPr>
      </w:pPr>
      <w:r>
        <w:rPr>
          <w:rFonts w:ascii="Garamond" w:hAnsi="Garamond"/>
        </w:rPr>
        <w:t xml:space="preserve">Modificaciones a los delitos de Parricidio y </w:t>
      </w:r>
      <w:r w:rsidR="009E114D" w:rsidRPr="00792C91">
        <w:rPr>
          <w:rFonts w:ascii="Garamond" w:hAnsi="Garamond"/>
        </w:rPr>
        <w:t>Femicidio</w:t>
      </w:r>
      <w:r w:rsidR="00792C91">
        <w:rPr>
          <w:rFonts w:ascii="Garamond" w:hAnsi="Garamond"/>
        </w:rPr>
        <w:t xml:space="preserve"> </w:t>
      </w:r>
      <w:r>
        <w:rPr>
          <w:rFonts w:ascii="Garamond" w:hAnsi="Garamond"/>
        </w:rPr>
        <w:t>del art. 390 CP  (art. 30 .4)</w:t>
      </w:r>
    </w:p>
    <w:p w:rsidR="009E114D" w:rsidRPr="0094468F" w:rsidRDefault="009E114D" w:rsidP="00EF2134">
      <w:pPr>
        <w:pStyle w:val="Prrafodelista"/>
        <w:spacing w:line="276" w:lineRule="auto"/>
        <w:jc w:val="both"/>
        <w:textAlignment w:val="baseline"/>
        <w:rPr>
          <w:rFonts w:ascii="Garamond" w:hAnsi="Garamond"/>
        </w:rPr>
      </w:pPr>
    </w:p>
    <w:p w:rsidR="00980534" w:rsidRPr="0094468F" w:rsidRDefault="009E114D" w:rsidP="00EF2134">
      <w:pPr>
        <w:spacing w:line="276" w:lineRule="auto"/>
        <w:ind w:firstLine="360"/>
        <w:jc w:val="both"/>
        <w:textAlignment w:val="baseline"/>
        <w:rPr>
          <w:rFonts w:ascii="Garamond" w:hAnsi="Garamond"/>
        </w:rPr>
      </w:pPr>
      <w:r w:rsidRPr="0094468F">
        <w:rPr>
          <w:rFonts w:ascii="Garamond" w:hAnsi="Garamond"/>
        </w:rPr>
        <w:t xml:space="preserve">La  reforma que se pretende al art. 390 del Código penal tiene dos aristas, de un lado viene a impedir una interpretación demasiado restrictiva y no acorde con el espíritu del legislador </w:t>
      </w:r>
      <w:r w:rsidR="00EF2134" w:rsidRPr="0094468F">
        <w:rPr>
          <w:rFonts w:ascii="Garamond" w:hAnsi="Garamond"/>
        </w:rPr>
        <w:t>sobre</w:t>
      </w:r>
      <w:r w:rsidRPr="0094468F">
        <w:rPr>
          <w:rFonts w:ascii="Garamond" w:hAnsi="Garamond"/>
        </w:rPr>
        <w:t xml:space="preserve"> el </w:t>
      </w:r>
      <w:r w:rsidR="00EF2134" w:rsidRPr="0094468F">
        <w:rPr>
          <w:rFonts w:ascii="Garamond" w:hAnsi="Garamond"/>
        </w:rPr>
        <w:t>concepto</w:t>
      </w:r>
      <w:r w:rsidRPr="0094468F">
        <w:rPr>
          <w:rFonts w:ascii="Garamond" w:hAnsi="Garamond"/>
        </w:rPr>
        <w:t xml:space="preserve"> de convivencia. </w:t>
      </w:r>
      <w:r w:rsidR="00980534" w:rsidRPr="0094468F">
        <w:rPr>
          <w:rFonts w:ascii="Garamond" w:hAnsi="Garamond"/>
        </w:rPr>
        <w:t>De otro lado, plantea una extensión de los sujetos activos y pasivos del femicidio a la relación de pareja sin convivencia (pololos).</w:t>
      </w:r>
    </w:p>
    <w:p w:rsidR="00980534" w:rsidRPr="0094468F" w:rsidRDefault="00980534" w:rsidP="00EF2134">
      <w:pPr>
        <w:spacing w:line="276" w:lineRule="auto"/>
        <w:ind w:firstLine="360"/>
        <w:jc w:val="both"/>
        <w:textAlignment w:val="baseline"/>
        <w:rPr>
          <w:rFonts w:ascii="Garamond" w:hAnsi="Garamond"/>
        </w:rPr>
      </w:pPr>
      <w:r w:rsidRPr="0094468F">
        <w:rPr>
          <w:rFonts w:ascii="Garamond" w:hAnsi="Garamond"/>
        </w:rPr>
        <w:t xml:space="preserve">Sobre lo primero, </w:t>
      </w:r>
      <w:r w:rsidR="00EF2134" w:rsidRPr="0094468F">
        <w:rPr>
          <w:rFonts w:ascii="Garamond" w:hAnsi="Garamond"/>
        </w:rPr>
        <w:t>cuando</w:t>
      </w:r>
      <w:r w:rsidR="009E114D" w:rsidRPr="0094468F">
        <w:rPr>
          <w:rFonts w:ascii="Garamond" w:hAnsi="Garamond"/>
        </w:rPr>
        <w:t xml:space="preserve"> el legislador </w:t>
      </w:r>
      <w:r w:rsidR="00EF2134" w:rsidRPr="0094468F">
        <w:rPr>
          <w:rFonts w:ascii="Garamond" w:hAnsi="Garamond"/>
        </w:rPr>
        <w:t>incorporó</w:t>
      </w:r>
      <w:r w:rsidR="009E114D" w:rsidRPr="0094468F">
        <w:rPr>
          <w:rFonts w:ascii="Garamond" w:hAnsi="Garamond"/>
        </w:rPr>
        <w:t xml:space="preserve"> al conviviente en esta norma no existían los acuerdos de </w:t>
      </w:r>
      <w:r w:rsidR="00EF2134" w:rsidRPr="0094468F">
        <w:rPr>
          <w:rFonts w:ascii="Garamond" w:hAnsi="Garamond"/>
        </w:rPr>
        <w:t>unión</w:t>
      </w:r>
      <w:r w:rsidR="009E114D" w:rsidRPr="0094468F">
        <w:rPr>
          <w:rFonts w:ascii="Garamond" w:hAnsi="Garamond"/>
        </w:rPr>
        <w:t xml:space="preserve"> </w:t>
      </w:r>
      <w:r w:rsidR="00EF2134" w:rsidRPr="0094468F">
        <w:rPr>
          <w:rFonts w:ascii="Garamond" w:hAnsi="Garamond"/>
        </w:rPr>
        <w:t>civil</w:t>
      </w:r>
      <w:r w:rsidR="009E114D" w:rsidRPr="0094468F">
        <w:rPr>
          <w:rFonts w:ascii="Garamond" w:hAnsi="Garamond"/>
        </w:rPr>
        <w:t xml:space="preserve">, por ende todo </w:t>
      </w:r>
      <w:r w:rsidR="00EF2134" w:rsidRPr="0094468F">
        <w:rPr>
          <w:rFonts w:ascii="Garamond" w:hAnsi="Garamond"/>
        </w:rPr>
        <w:t>conviviente</w:t>
      </w:r>
      <w:r w:rsidR="009E114D" w:rsidRPr="0094468F">
        <w:rPr>
          <w:rFonts w:ascii="Garamond" w:hAnsi="Garamond"/>
        </w:rPr>
        <w:t xml:space="preserve"> lo era “de hecho”, luego, al </w:t>
      </w:r>
      <w:r w:rsidR="00EF2134" w:rsidRPr="0094468F">
        <w:rPr>
          <w:rFonts w:ascii="Garamond" w:hAnsi="Garamond"/>
        </w:rPr>
        <w:t>explicitar</w:t>
      </w:r>
      <w:r w:rsidR="009E114D" w:rsidRPr="0094468F">
        <w:rPr>
          <w:rFonts w:ascii="Garamond" w:hAnsi="Garamond"/>
        </w:rPr>
        <w:t xml:space="preserve"> que el conviviente proviene de la unión civil o lo es de hecho simplemente está reforzando una decisión</w:t>
      </w:r>
      <w:r w:rsidR="003449C2" w:rsidRPr="0094468F">
        <w:rPr>
          <w:rFonts w:ascii="Garamond" w:hAnsi="Garamond"/>
        </w:rPr>
        <w:t xml:space="preserve"> </w:t>
      </w:r>
      <w:r w:rsidR="009E114D" w:rsidRPr="0094468F">
        <w:rPr>
          <w:rFonts w:ascii="Garamond" w:hAnsi="Garamond"/>
        </w:rPr>
        <w:t>que ya había tomado respecto del conviviente.</w:t>
      </w:r>
      <w:r w:rsidRPr="0094468F">
        <w:rPr>
          <w:rFonts w:ascii="Garamond" w:hAnsi="Garamond"/>
        </w:rPr>
        <w:t xml:space="preserve"> </w:t>
      </w:r>
    </w:p>
    <w:p w:rsidR="009E114D" w:rsidRPr="0094468F" w:rsidRDefault="00980534" w:rsidP="00EF2134">
      <w:pPr>
        <w:spacing w:line="276" w:lineRule="auto"/>
        <w:ind w:firstLine="360"/>
        <w:jc w:val="both"/>
        <w:textAlignment w:val="baseline"/>
        <w:rPr>
          <w:rFonts w:ascii="Garamond" w:hAnsi="Garamond"/>
        </w:rPr>
      </w:pPr>
      <w:r w:rsidRPr="0094468F">
        <w:rPr>
          <w:rFonts w:ascii="Garamond" w:hAnsi="Garamond"/>
        </w:rPr>
        <w:t>M</w:t>
      </w:r>
      <w:r w:rsidR="00EF2134" w:rsidRPr="0094468F">
        <w:rPr>
          <w:rFonts w:ascii="Garamond" w:hAnsi="Garamond"/>
        </w:rPr>
        <w:t>ás</w:t>
      </w:r>
      <w:r w:rsidR="009E114D" w:rsidRPr="0094468F">
        <w:rPr>
          <w:rFonts w:ascii="Garamond" w:hAnsi="Garamond"/>
        </w:rPr>
        <w:t xml:space="preserve"> compleja es la interpretación del trasfondo de esta norma por cuanto podrían quedar comprendidas las parejas del mismo sexo. </w:t>
      </w:r>
      <w:r w:rsidRPr="0094468F">
        <w:rPr>
          <w:rFonts w:ascii="Garamond" w:hAnsi="Garamond"/>
        </w:rPr>
        <w:t xml:space="preserve">En general no parece problemático </w:t>
      </w:r>
      <w:r w:rsidR="009E114D" w:rsidRPr="0094468F">
        <w:rPr>
          <w:rFonts w:ascii="Garamond" w:hAnsi="Garamond"/>
        </w:rPr>
        <w:t xml:space="preserve">toda vez que nuestra sociedad ha ido avanzando hacia el reconocimiento de distintos tipos de familias y distintos tipos de uniones, por lo que me parece supone una posibilidad no igual para las víctimas de violencia el que su agresor, que ejerce un abuso de poder en su contra, deba ser juzgado en forma distinta y por otro delito </w:t>
      </w:r>
      <w:r w:rsidR="003C6578">
        <w:rPr>
          <w:rFonts w:ascii="Garamond" w:hAnsi="Garamond"/>
        </w:rPr>
        <w:t xml:space="preserve">con una pena menor </w:t>
      </w:r>
      <w:r w:rsidR="009E114D" w:rsidRPr="0094468F">
        <w:rPr>
          <w:rFonts w:ascii="Garamond" w:hAnsi="Garamond"/>
        </w:rPr>
        <w:t xml:space="preserve">(homicidio) simplemente por el hecho de pertenecer a su mismo sexo. </w:t>
      </w:r>
    </w:p>
    <w:p w:rsidR="00E93E45" w:rsidRPr="0094468F" w:rsidRDefault="0036162A" w:rsidP="00EF2134">
      <w:pPr>
        <w:spacing w:line="276" w:lineRule="auto"/>
        <w:jc w:val="both"/>
        <w:rPr>
          <w:rFonts w:ascii="Garamond" w:hAnsi="Garamond"/>
        </w:rPr>
      </w:pPr>
      <w:r w:rsidRPr="0094468F">
        <w:rPr>
          <w:rFonts w:ascii="Garamond" w:hAnsi="Garamond"/>
        </w:rPr>
        <w:t xml:space="preserve">No obstante, </w:t>
      </w:r>
      <w:r w:rsidR="009E114D" w:rsidRPr="0094468F">
        <w:rPr>
          <w:rFonts w:ascii="Garamond" w:hAnsi="Garamond"/>
        </w:rPr>
        <w:t>y respecto del delito de femicidio,</w:t>
      </w:r>
      <w:r w:rsidR="00E91D04">
        <w:rPr>
          <w:rFonts w:ascii="Garamond" w:hAnsi="Garamond"/>
        </w:rPr>
        <w:t xml:space="preserve"> manifiesto</w:t>
      </w:r>
      <w:r w:rsidR="00980534" w:rsidRPr="0094468F">
        <w:rPr>
          <w:rFonts w:ascii="Garamond" w:hAnsi="Garamond"/>
        </w:rPr>
        <w:t xml:space="preserve"> aprehensiones,</w:t>
      </w:r>
      <w:r w:rsidR="009E114D" w:rsidRPr="0094468F">
        <w:rPr>
          <w:rFonts w:ascii="Garamond" w:hAnsi="Garamond"/>
        </w:rPr>
        <w:t xml:space="preserve"> sin perjuicio de estar de acuerdo en términos generales con la idea de </w:t>
      </w:r>
      <w:r w:rsidR="00980534" w:rsidRPr="0094468F">
        <w:rPr>
          <w:rFonts w:ascii="Garamond" w:hAnsi="Garamond"/>
        </w:rPr>
        <w:t>su tipificación. E</w:t>
      </w:r>
      <w:r w:rsidR="009E114D" w:rsidRPr="0094468F">
        <w:rPr>
          <w:rFonts w:ascii="Garamond" w:hAnsi="Garamond"/>
        </w:rPr>
        <w:t>ste delito encuentra su razón de ser en la histórica relación de desigualdad entre hombres</w:t>
      </w:r>
      <w:r w:rsidR="00D3011E" w:rsidRPr="0094468F">
        <w:rPr>
          <w:rFonts w:ascii="Garamond" w:hAnsi="Garamond"/>
        </w:rPr>
        <w:t xml:space="preserve"> </w:t>
      </w:r>
      <w:r w:rsidR="009E114D" w:rsidRPr="0094468F">
        <w:rPr>
          <w:rFonts w:ascii="Garamond" w:hAnsi="Garamond"/>
        </w:rPr>
        <w:t>y mujeres</w:t>
      </w:r>
      <w:r w:rsidR="00980534" w:rsidRPr="0094468F">
        <w:rPr>
          <w:rFonts w:ascii="Garamond" w:hAnsi="Garamond"/>
        </w:rPr>
        <w:t xml:space="preserve">, y </w:t>
      </w:r>
      <w:r w:rsidR="00E91D04">
        <w:rPr>
          <w:rFonts w:ascii="Garamond" w:hAnsi="Garamond"/>
        </w:rPr>
        <w:t xml:space="preserve">cuando se trata del femicidio íntimo </w:t>
      </w:r>
      <w:r w:rsidR="00980534" w:rsidRPr="0094468F">
        <w:rPr>
          <w:rFonts w:ascii="Garamond" w:hAnsi="Garamond"/>
        </w:rPr>
        <w:t xml:space="preserve">suele ser </w:t>
      </w:r>
      <w:r w:rsidR="009E114D" w:rsidRPr="0094468F">
        <w:rPr>
          <w:rFonts w:ascii="Garamond" w:hAnsi="Garamond"/>
        </w:rPr>
        <w:t>la culminación de una seguidilla de actos de violencia que ha o</w:t>
      </w:r>
      <w:r w:rsidR="004509E5" w:rsidRPr="0094468F">
        <w:rPr>
          <w:rFonts w:ascii="Garamond" w:hAnsi="Garamond"/>
        </w:rPr>
        <w:t>casionado el agresor a su víctim</w:t>
      </w:r>
      <w:r w:rsidR="009E114D" w:rsidRPr="0094468F">
        <w:rPr>
          <w:rFonts w:ascii="Garamond" w:hAnsi="Garamond"/>
        </w:rPr>
        <w:t>a</w:t>
      </w:r>
      <w:r w:rsidR="00980534" w:rsidRPr="0094468F">
        <w:rPr>
          <w:rFonts w:ascii="Garamond" w:hAnsi="Garamond"/>
        </w:rPr>
        <w:t>. P</w:t>
      </w:r>
      <w:r w:rsidR="009E114D" w:rsidRPr="0094468F">
        <w:rPr>
          <w:rFonts w:ascii="Garamond" w:hAnsi="Garamond"/>
        </w:rPr>
        <w:t xml:space="preserve">or ende </w:t>
      </w:r>
      <w:r w:rsidR="004509E5" w:rsidRPr="0094468F">
        <w:rPr>
          <w:rFonts w:ascii="Garamond" w:hAnsi="Garamond"/>
        </w:rPr>
        <w:t xml:space="preserve">no </w:t>
      </w:r>
      <w:r w:rsidR="009E114D" w:rsidRPr="0094468F">
        <w:rPr>
          <w:rFonts w:ascii="Garamond" w:hAnsi="Garamond"/>
        </w:rPr>
        <w:t>tiene que ver con el parentesco a que hace referencia el delito de parricidio</w:t>
      </w:r>
      <w:r w:rsidR="004509E5" w:rsidRPr="0094468F">
        <w:rPr>
          <w:rFonts w:ascii="Garamond" w:hAnsi="Garamond"/>
        </w:rPr>
        <w:t xml:space="preserve"> al describir sus sujetos activos y pasivos</w:t>
      </w:r>
      <w:r w:rsidR="00980534" w:rsidRPr="0094468F">
        <w:rPr>
          <w:rFonts w:ascii="Garamond" w:hAnsi="Garamond"/>
        </w:rPr>
        <w:t xml:space="preserve">, ni con </w:t>
      </w:r>
      <w:r w:rsidR="009E114D" w:rsidRPr="0094468F">
        <w:rPr>
          <w:rFonts w:ascii="Garamond" w:hAnsi="Garamond"/>
        </w:rPr>
        <w:t xml:space="preserve"> </w:t>
      </w:r>
      <w:r w:rsidR="00980534" w:rsidRPr="0094468F">
        <w:rPr>
          <w:rFonts w:ascii="Garamond" w:hAnsi="Garamond"/>
        </w:rPr>
        <w:t xml:space="preserve">la infracción del deber de socorro que tienen entre sí los sujetos del parricidio. Delito este último que- dicho sea de paso- </w:t>
      </w:r>
      <w:r w:rsidRPr="0094468F">
        <w:rPr>
          <w:rFonts w:ascii="Garamond" w:hAnsi="Garamond"/>
        </w:rPr>
        <w:t>en la legislación comparada</w:t>
      </w:r>
      <w:r w:rsidR="00980534" w:rsidRPr="0094468F">
        <w:rPr>
          <w:rFonts w:ascii="Garamond" w:hAnsi="Garamond"/>
        </w:rPr>
        <w:t xml:space="preserve"> </w:t>
      </w:r>
      <w:r w:rsidRPr="0094468F">
        <w:rPr>
          <w:rFonts w:ascii="Garamond" w:hAnsi="Garamond"/>
        </w:rPr>
        <w:t xml:space="preserve">ha tendido a desaparecer. </w:t>
      </w:r>
    </w:p>
    <w:p w:rsidR="0036162A" w:rsidRPr="0094468F" w:rsidRDefault="0036162A" w:rsidP="00EF2134">
      <w:pPr>
        <w:spacing w:line="276" w:lineRule="auto"/>
        <w:jc w:val="both"/>
        <w:rPr>
          <w:rFonts w:ascii="Garamond" w:hAnsi="Garamond"/>
        </w:rPr>
      </w:pPr>
      <w:r w:rsidRPr="0094468F">
        <w:rPr>
          <w:rFonts w:ascii="Garamond" w:hAnsi="Garamond"/>
        </w:rPr>
        <w:t xml:space="preserve">Como ha dicho </w:t>
      </w:r>
      <w:r w:rsidR="00E93E45" w:rsidRPr="0094468F">
        <w:rPr>
          <w:rFonts w:ascii="Garamond" w:hAnsi="Garamond"/>
        </w:rPr>
        <w:t>el profesor</w:t>
      </w:r>
      <w:r w:rsidR="00F10AD8" w:rsidRPr="0094468F">
        <w:rPr>
          <w:rFonts w:ascii="Garamond" w:hAnsi="Garamond"/>
        </w:rPr>
        <w:t xml:space="preserve"> de derecho penal</w:t>
      </w:r>
      <w:r w:rsidR="00E93E45" w:rsidRPr="0094468F">
        <w:rPr>
          <w:rFonts w:ascii="Garamond" w:hAnsi="Garamond"/>
        </w:rPr>
        <w:t xml:space="preserve"> </w:t>
      </w:r>
      <w:r w:rsidRPr="0094468F">
        <w:rPr>
          <w:rFonts w:ascii="Garamond" w:hAnsi="Garamond"/>
        </w:rPr>
        <w:t xml:space="preserve">Jorge Mera: “La situación del femicidio es diferente: lo que la distingue del parricidio es que se afecta la vulnerabilidad de la víctima, se trata de una cuestión de género, es la condición de mujer de la víctima </w:t>
      </w:r>
      <w:r w:rsidRPr="0094468F">
        <w:rPr>
          <w:rFonts w:ascii="Garamond" w:hAnsi="Garamond"/>
        </w:rPr>
        <w:lastRenderedPageBreak/>
        <w:t xml:space="preserve">la que incrementa el injusto de su homicidio. </w:t>
      </w:r>
      <w:r w:rsidR="00EF2134" w:rsidRPr="0094468F">
        <w:rPr>
          <w:rFonts w:ascii="Garamond" w:hAnsi="Garamond"/>
        </w:rPr>
        <w:t xml:space="preserve">Y el derecho penal debiera dar cuenta de esta especificidad, de esta mayor vulnerabilidad como elemento determinante de un injusto específico. </w:t>
      </w:r>
      <w:r w:rsidRPr="0094468F">
        <w:rPr>
          <w:rFonts w:ascii="Garamond" w:hAnsi="Garamond"/>
        </w:rPr>
        <w:t>La absorción del femicidio en el parricidio diluye esta especificidad”</w:t>
      </w:r>
      <w:r w:rsidR="00264C6A" w:rsidRPr="0094468F">
        <w:rPr>
          <w:rStyle w:val="Refdenotaalpie"/>
          <w:rFonts w:ascii="Garamond" w:hAnsi="Garamond"/>
        </w:rPr>
        <w:footnoteReference w:id="9"/>
      </w:r>
      <w:r w:rsidRPr="0094468F">
        <w:rPr>
          <w:rFonts w:ascii="Garamond" w:hAnsi="Garamond"/>
        </w:rPr>
        <w:t>.</w:t>
      </w:r>
    </w:p>
    <w:p w:rsidR="00E93E45" w:rsidRPr="0094468F" w:rsidRDefault="00E93E45" w:rsidP="00EF2134">
      <w:pPr>
        <w:spacing w:line="276" w:lineRule="auto"/>
        <w:jc w:val="both"/>
        <w:rPr>
          <w:rFonts w:ascii="Garamond" w:hAnsi="Garamond"/>
        </w:rPr>
      </w:pPr>
      <w:r w:rsidRPr="0094468F">
        <w:rPr>
          <w:rFonts w:ascii="Garamond" w:hAnsi="Garamond"/>
        </w:rPr>
        <w:t>En similar sentido el profesor</w:t>
      </w:r>
      <w:r w:rsidR="00F10AD8" w:rsidRPr="0094468F">
        <w:rPr>
          <w:rFonts w:ascii="Garamond" w:hAnsi="Garamond"/>
        </w:rPr>
        <w:t xml:space="preserve"> de derecho penal</w:t>
      </w:r>
      <w:r w:rsidRPr="0094468F">
        <w:rPr>
          <w:rFonts w:ascii="Garamond" w:hAnsi="Garamond"/>
        </w:rPr>
        <w:t xml:space="preserve"> </w:t>
      </w:r>
      <w:proofErr w:type="spellStart"/>
      <w:r w:rsidRPr="0094468F">
        <w:rPr>
          <w:rFonts w:ascii="Garamond" w:hAnsi="Garamond"/>
        </w:rPr>
        <w:t>Emanuelle</w:t>
      </w:r>
      <w:proofErr w:type="spellEnd"/>
      <w:r w:rsidRPr="0094468F">
        <w:rPr>
          <w:rFonts w:ascii="Garamond" w:hAnsi="Garamond"/>
        </w:rPr>
        <w:t xml:space="preserve"> </w:t>
      </w:r>
      <w:proofErr w:type="spellStart"/>
      <w:r w:rsidRPr="0094468F">
        <w:rPr>
          <w:rFonts w:ascii="Garamond" w:hAnsi="Garamond"/>
        </w:rPr>
        <w:t>Corn</w:t>
      </w:r>
      <w:proofErr w:type="spellEnd"/>
      <w:r w:rsidR="00F10AD8" w:rsidRPr="0094468F">
        <w:rPr>
          <w:rStyle w:val="Refdenotaalpie"/>
          <w:rFonts w:ascii="Garamond" w:hAnsi="Garamond"/>
        </w:rPr>
        <w:footnoteReference w:id="10"/>
      </w:r>
      <w:r w:rsidRPr="0094468F">
        <w:rPr>
          <w:rFonts w:ascii="Garamond" w:hAnsi="Garamond"/>
        </w:rPr>
        <w:t>: “</w:t>
      </w:r>
      <w:r w:rsidRPr="0094468F">
        <w:rPr>
          <w:rFonts w:ascii="Garamond" w:hAnsi="Garamond"/>
          <w:color w:val="000000"/>
          <w:shd w:val="clear" w:color="auto" w:fill="FFFFFF"/>
        </w:rPr>
        <w:t>aunque el ámbito doméstico sea el principal escenario de la muerte violenta de mujeres, limitar el espacio operativo del delito a las conductas realizadas en el seno de la pareja ‘tiene el inconveniente de mutilar un concepto ideado para aglutinar y dar visibilidad al conjunto de los atentados a la vida de las mujeres por razón de género</w:t>
      </w:r>
      <w:bookmarkStart w:id="0" w:name="83"/>
      <w:bookmarkEnd w:id="0"/>
      <w:r w:rsidRPr="0094468F">
        <w:rPr>
          <w:rFonts w:ascii="Garamond" w:hAnsi="Garamond"/>
          <w:color w:val="000000"/>
          <w:shd w:val="clear" w:color="auto" w:fill="FFFFFF"/>
        </w:rPr>
        <w:t>’</w:t>
      </w:r>
      <w:r w:rsidRPr="0094468F">
        <w:rPr>
          <w:rStyle w:val="Refdenotaalpie"/>
          <w:rFonts w:ascii="Garamond" w:hAnsi="Garamond"/>
          <w:color w:val="000000"/>
          <w:shd w:val="clear" w:color="auto" w:fill="FFFFFF"/>
        </w:rPr>
        <w:footnoteReference w:id="11"/>
      </w:r>
      <w:r w:rsidRPr="0094468F">
        <w:rPr>
          <w:rFonts w:ascii="Garamond" w:hAnsi="Garamond"/>
          <w:color w:val="000000"/>
          <w:shd w:val="clear" w:color="auto" w:fill="FFFFFF"/>
        </w:rPr>
        <w:t>.</w:t>
      </w:r>
    </w:p>
    <w:p w:rsidR="004509E5" w:rsidRPr="0094468F" w:rsidRDefault="00E93E45" w:rsidP="00EF2134">
      <w:pPr>
        <w:spacing w:line="276" w:lineRule="auto"/>
        <w:jc w:val="both"/>
        <w:rPr>
          <w:rFonts w:ascii="Garamond" w:hAnsi="Garamond"/>
        </w:rPr>
      </w:pPr>
      <w:r w:rsidRPr="0094468F">
        <w:rPr>
          <w:rFonts w:ascii="Garamond" w:hAnsi="Garamond"/>
        </w:rPr>
        <w:t xml:space="preserve">Siguiendo estos razonamientos, que comparto, </w:t>
      </w:r>
      <w:r w:rsidR="009E114D" w:rsidRPr="0094468F">
        <w:rPr>
          <w:rFonts w:ascii="Garamond" w:hAnsi="Garamond"/>
        </w:rPr>
        <w:t>me parece que la inclusión que se pretende de aquellas parejas que no han tenido una relación de convivencia,</w:t>
      </w:r>
      <w:r w:rsidR="00E91D04">
        <w:rPr>
          <w:rFonts w:ascii="Garamond" w:hAnsi="Garamond"/>
        </w:rPr>
        <w:t xml:space="preserve"> </w:t>
      </w:r>
      <w:r w:rsidR="009E114D" w:rsidRPr="0094468F">
        <w:rPr>
          <w:rFonts w:ascii="Garamond" w:hAnsi="Garamond"/>
        </w:rPr>
        <w:t xml:space="preserve">encontraría </w:t>
      </w:r>
      <w:r w:rsidR="00EF2134" w:rsidRPr="0094468F">
        <w:rPr>
          <w:rFonts w:ascii="Garamond" w:hAnsi="Garamond"/>
        </w:rPr>
        <w:t>más</w:t>
      </w:r>
      <w:r w:rsidR="009E114D" w:rsidRPr="0094468F">
        <w:rPr>
          <w:rFonts w:ascii="Garamond" w:hAnsi="Garamond"/>
        </w:rPr>
        <w:t xml:space="preserve"> sentido si el femicidio fuera </w:t>
      </w:r>
      <w:r w:rsidR="00EF2134" w:rsidRPr="0094468F">
        <w:rPr>
          <w:rFonts w:ascii="Garamond" w:hAnsi="Garamond"/>
        </w:rPr>
        <w:t>extraído</w:t>
      </w:r>
      <w:r w:rsidR="009E114D" w:rsidRPr="0094468F">
        <w:rPr>
          <w:rFonts w:ascii="Garamond" w:hAnsi="Garamond"/>
        </w:rPr>
        <w:t xml:space="preserve"> del delito de parricidio y se tipificara como un delito autónomo</w:t>
      </w:r>
      <w:r w:rsidR="004509E5" w:rsidRPr="0094468F">
        <w:rPr>
          <w:rFonts w:ascii="Garamond" w:hAnsi="Garamond"/>
        </w:rPr>
        <w:t xml:space="preserve">. </w:t>
      </w:r>
      <w:r w:rsidR="000F592F" w:rsidRPr="0094468F">
        <w:rPr>
          <w:rFonts w:ascii="Garamond" w:hAnsi="Garamond"/>
        </w:rPr>
        <w:t xml:space="preserve">Con eso </w:t>
      </w:r>
      <w:r w:rsidR="00EF2134" w:rsidRPr="0094468F">
        <w:rPr>
          <w:rFonts w:ascii="Garamond" w:hAnsi="Garamond"/>
        </w:rPr>
        <w:t>evitaríamos</w:t>
      </w:r>
      <w:r w:rsidR="000F592F" w:rsidRPr="0094468F">
        <w:rPr>
          <w:rFonts w:ascii="Garamond" w:hAnsi="Garamond"/>
        </w:rPr>
        <w:t xml:space="preserve"> todo tipo de disquisiciones en orden a si se está ampliando o no el tipo penal de </w:t>
      </w:r>
      <w:r w:rsidR="00EF2134" w:rsidRPr="0094468F">
        <w:rPr>
          <w:rFonts w:ascii="Garamond" w:hAnsi="Garamond"/>
        </w:rPr>
        <w:t>parricidio</w:t>
      </w:r>
      <w:r w:rsidR="000F592F" w:rsidRPr="0094468F">
        <w:rPr>
          <w:rFonts w:ascii="Garamond" w:hAnsi="Garamond"/>
        </w:rPr>
        <w:t>, y esos ejemplos de laboratorio que no ocurren en la realidad, como el del hombre que mata a la mujer con la que tuvo relación hace 20 años, sin mediar violencia de por medio, y su motivación es simplemente hereditaria. Esos son ejemplos propios de manuales, la realidad muestra otra cara, los femicidios</w:t>
      </w:r>
      <w:r w:rsidRPr="0094468F">
        <w:rPr>
          <w:rFonts w:ascii="Garamond" w:hAnsi="Garamond"/>
        </w:rPr>
        <w:t xml:space="preserve"> “íntimos”</w:t>
      </w:r>
      <w:r w:rsidRPr="0094468F">
        <w:rPr>
          <w:rStyle w:val="Refdenotaalpie"/>
          <w:rFonts w:ascii="Garamond" w:hAnsi="Garamond"/>
        </w:rPr>
        <w:footnoteReference w:id="12"/>
      </w:r>
      <w:r w:rsidR="00F10AD8" w:rsidRPr="0094468F">
        <w:rPr>
          <w:rFonts w:ascii="Garamond" w:hAnsi="Garamond"/>
        </w:rPr>
        <w:t xml:space="preserve">, </w:t>
      </w:r>
      <w:r w:rsidR="000F592F" w:rsidRPr="0094468F">
        <w:rPr>
          <w:rFonts w:ascii="Garamond" w:hAnsi="Garamond"/>
        </w:rPr>
        <w:t>todos tienen una historia de</w:t>
      </w:r>
      <w:r w:rsidRPr="0094468F">
        <w:rPr>
          <w:rFonts w:ascii="Garamond" w:hAnsi="Garamond"/>
        </w:rPr>
        <w:t xml:space="preserve"> violencia de pareja anterior.</w:t>
      </w:r>
      <w:r w:rsidR="00E91D04">
        <w:rPr>
          <w:rFonts w:ascii="Garamond" w:hAnsi="Garamond"/>
        </w:rPr>
        <w:t xml:space="preserve"> Pero aún más, en nuestro país, desgraciadamente, ya hemos comenzado a tener otros tipos de femicidios, propios del crimen organizado, y que no responden a femicidios íntimos</w:t>
      </w:r>
      <w:bookmarkStart w:id="1" w:name="_GoBack"/>
      <w:bookmarkEnd w:id="1"/>
      <w:r w:rsidR="00E91D04">
        <w:rPr>
          <w:rFonts w:ascii="Garamond" w:hAnsi="Garamond"/>
        </w:rPr>
        <w:t xml:space="preserve">. </w:t>
      </w:r>
    </w:p>
    <w:p w:rsidR="000F592F" w:rsidRPr="0094468F" w:rsidRDefault="00EF2134" w:rsidP="00EF2134">
      <w:pPr>
        <w:spacing w:line="276" w:lineRule="auto"/>
        <w:jc w:val="both"/>
        <w:rPr>
          <w:rFonts w:ascii="Garamond" w:hAnsi="Garamond"/>
        </w:rPr>
      </w:pPr>
      <w:r w:rsidRPr="0094468F">
        <w:rPr>
          <w:rFonts w:ascii="Garamond" w:hAnsi="Garamond"/>
        </w:rPr>
        <w:t xml:space="preserve">Por otra parte, y reforzando la idea de que las parejas de pololos deberían incluirse en un delito de femicidio cuando existen razones de género detrás del acto, podríamos preguntarnos cuales la diferencia entre una pareja que ha dejado de </w:t>
      </w:r>
      <w:r w:rsidRPr="0094468F">
        <w:rPr>
          <w:rFonts w:ascii="Garamond" w:hAnsi="Garamond"/>
        </w:rPr>
        <w:lastRenderedPageBreak/>
        <w:t>cohabitar y que no tiene hijos en común</w:t>
      </w:r>
      <w:r w:rsidR="00014D22">
        <w:rPr>
          <w:rFonts w:ascii="Garamond" w:hAnsi="Garamond"/>
        </w:rPr>
        <w:t xml:space="preserve"> (p</w:t>
      </w:r>
      <w:r w:rsidRPr="0094468F">
        <w:rPr>
          <w:rFonts w:ascii="Garamond" w:hAnsi="Garamond"/>
        </w:rPr>
        <w:t>r</w:t>
      </w:r>
      <w:r w:rsidR="00014D22">
        <w:rPr>
          <w:rFonts w:ascii="Garamond" w:hAnsi="Garamond"/>
        </w:rPr>
        <w:t>evista en</w:t>
      </w:r>
      <w:r w:rsidRPr="0094468F">
        <w:rPr>
          <w:rFonts w:ascii="Garamond" w:hAnsi="Garamond"/>
        </w:rPr>
        <w:t xml:space="preserve"> </w:t>
      </w:r>
      <w:r w:rsidR="00014D22">
        <w:rPr>
          <w:rFonts w:ascii="Garamond" w:hAnsi="Garamond"/>
        </w:rPr>
        <w:t>e</w:t>
      </w:r>
      <w:r w:rsidRPr="0094468F">
        <w:rPr>
          <w:rFonts w:ascii="Garamond" w:hAnsi="Garamond"/>
        </w:rPr>
        <w:t>l art. 390</w:t>
      </w:r>
      <w:r w:rsidR="00014D22">
        <w:rPr>
          <w:rFonts w:ascii="Garamond" w:hAnsi="Garamond"/>
        </w:rPr>
        <w:t xml:space="preserve"> CP)</w:t>
      </w:r>
      <w:r w:rsidRPr="0094468F">
        <w:rPr>
          <w:rFonts w:ascii="Garamond" w:hAnsi="Garamond"/>
        </w:rPr>
        <w:t>, y una pareja de pololos sin cohabitación. Podría</w:t>
      </w:r>
      <w:r w:rsidR="007164E6" w:rsidRPr="0094468F">
        <w:rPr>
          <w:rFonts w:ascii="Garamond" w:hAnsi="Garamond"/>
        </w:rPr>
        <w:t xml:space="preserve"> darse el caso de una pareja que se conoció y </w:t>
      </w:r>
      <w:r w:rsidRPr="0094468F">
        <w:rPr>
          <w:rFonts w:ascii="Garamond" w:hAnsi="Garamond"/>
        </w:rPr>
        <w:t>cohabitó</w:t>
      </w:r>
      <w:r w:rsidR="007164E6" w:rsidRPr="0094468F">
        <w:rPr>
          <w:rFonts w:ascii="Garamond" w:hAnsi="Garamond"/>
        </w:rPr>
        <w:t xml:space="preserve"> durante un par de meses, si uno mata al otro entra en la calificación del art. 390, no así por ejemplo, una pareja de pololos que lleva varios años, pero que por diversas razones no han cohabitado. </w:t>
      </w:r>
      <w:r w:rsidRPr="0094468F">
        <w:rPr>
          <w:rFonts w:ascii="Garamond" w:hAnsi="Garamond"/>
        </w:rPr>
        <w:t xml:space="preserve">¿Cuál es la diferencia entre ambas a efectos de la violencia contra la mujer? </w:t>
      </w:r>
      <w:r w:rsidR="00F10AD8" w:rsidRPr="0094468F">
        <w:rPr>
          <w:rFonts w:ascii="Garamond" w:hAnsi="Garamond"/>
        </w:rPr>
        <w:t>¿</w:t>
      </w:r>
      <w:r w:rsidRPr="0094468F">
        <w:rPr>
          <w:rFonts w:ascii="Garamond" w:hAnsi="Garamond"/>
        </w:rPr>
        <w:t>Cuál</w:t>
      </w:r>
      <w:r w:rsidR="007164E6" w:rsidRPr="0094468F">
        <w:rPr>
          <w:rFonts w:ascii="Garamond" w:hAnsi="Garamond"/>
        </w:rPr>
        <w:t xml:space="preserve"> es la diferencia en relación a la especial </w:t>
      </w:r>
      <w:r w:rsidRPr="0094468F">
        <w:rPr>
          <w:rFonts w:ascii="Garamond" w:hAnsi="Garamond"/>
        </w:rPr>
        <w:t>vulnerabilidad</w:t>
      </w:r>
      <w:r w:rsidR="007164E6" w:rsidRPr="0094468F">
        <w:rPr>
          <w:rFonts w:ascii="Garamond" w:hAnsi="Garamond"/>
        </w:rPr>
        <w:t xml:space="preserve"> de la </w:t>
      </w:r>
      <w:r w:rsidRPr="0094468F">
        <w:rPr>
          <w:rFonts w:ascii="Garamond" w:hAnsi="Garamond"/>
        </w:rPr>
        <w:t>víctima?</w:t>
      </w:r>
      <w:r w:rsidR="007164E6" w:rsidRPr="0094468F">
        <w:rPr>
          <w:rFonts w:ascii="Garamond" w:hAnsi="Garamond"/>
        </w:rPr>
        <w:t xml:space="preserve"> </w:t>
      </w:r>
    </w:p>
    <w:p w:rsidR="000F592F" w:rsidRPr="0094468F" w:rsidRDefault="00EF2134" w:rsidP="00EF2134">
      <w:pPr>
        <w:spacing w:line="276" w:lineRule="auto"/>
        <w:jc w:val="both"/>
        <w:rPr>
          <w:rFonts w:ascii="Garamond" w:hAnsi="Garamond"/>
        </w:rPr>
      </w:pPr>
      <w:r w:rsidRPr="0094468F">
        <w:rPr>
          <w:rFonts w:ascii="Garamond" w:hAnsi="Garamond"/>
        </w:rPr>
        <w:t>Estas mismas razones me llevan a considerar adecuada la inclusión dentro de las víctimas de violencia intrafamiliar a las parejas de pololos, reforma que se pretende hacer a la ley 20.066, aun cuando idealmente este tipo de conductas- nuevamente- sería más adecuado sancionarlas en una disposición distinta per</w:t>
      </w:r>
      <w:r w:rsidR="00F10AD8" w:rsidRPr="0094468F">
        <w:rPr>
          <w:rFonts w:ascii="Garamond" w:hAnsi="Garamond"/>
        </w:rPr>
        <w:t>o</w:t>
      </w:r>
      <w:r w:rsidRPr="0094468F">
        <w:rPr>
          <w:rFonts w:ascii="Garamond" w:hAnsi="Garamond"/>
        </w:rPr>
        <w:t xml:space="preserve"> en relación a los mismos actos. </w:t>
      </w:r>
    </w:p>
    <w:p w:rsidR="0036162A" w:rsidRPr="0094468F" w:rsidRDefault="0036162A" w:rsidP="00EF2134">
      <w:pPr>
        <w:spacing w:line="276" w:lineRule="auto"/>
        <w:jc w:val="both"/>
        <w:rPr>
          <w:rFonts w:ascii="Garamond" w:hAnsi="Garamond"/>
        </w:rPr>
      </w:pPr>
      <w:r w:rsidRPr="0094468F">
        <w:rPr>
          <w:rFonts w:ascii="Garamond" w:hAnsi="Garamond"/>
        </w:rPr>
        <w:t xml:space="preserve">Sin embargo, me preocupa la posibilidad de que una mujer que reacciona en forma violenta contra su pareja también mujer, que ha ejercido contra ella actos de violencia, pueda ser sancionada como </w:t>
      </w:r>
      <w:proofErr w:type="spellStart"/>
      <w:r w:rsidRPr="0094468F">
        <w:rPr>
          <w:rFonts w:ascii="Garamond" w:hAnsi="Garamond"/>
        </w:rPr>
        <w:t>femicida</w:t>
      </w:r>
      <w:proofErr w:type="spellEnd"/>
      <w:r w:rsidRPr="0094468F">
        <w:rPr>
          <w:rFonts w:ascii="Garamond" w:hAnsi="Garamond"/>
        </w:rPr>
        <w:t>, pues ello supondría desvirtuar el sentido de la figura de femicidio “que se funda no en la existencia misma de la relación, sino que en la vulnerabilidad de la víctima en razón del género”</w:t>
      </w:r>
      <w:r w:rsidRPr="0094468F">
        <w:rPr>
          <w:rStyle w:val="Refdenotaalpie"/>
          <w:rFonts w:ascii="Garamond" w:hAnsi="Garamond"/>
        </w:rPr>
        <w:footnoteReference w:id="13"/>
      </w:r>
      <w:r w:rsidRPr="0094468F">
        <w:rPr>
          <w:rFonts w:ascii="Garamond" w:hAnsi="Garamond"/>
        </w:rPr>
        <w:t>.</w:t>
      </w:r>
      <w:r w:rsidR="00264C6A" w:rsidRPr="0094468F">
        <w:rPr>
          <w:rFonts w:ascii="Garamond" w:hAnsi="Garamond"/>
        </w:rPr>
        <w:t xml:space="preserve">  </w:t>
      </w:r>
      <w:r w:rsidRPr="0094468F">
        <w:rPr>
          <w:rFonts w:ascii="Garamond" w:hAnsi="Garamond"/>
        </w:rPr>
        <w:t xml:space="preserve"> </w:t>
      </w:r>
      <w:r w:rsidR="005E2B68" w:rsidRPr="0094468F">
        <w:rPr>
          <w:rFonts w:ascii="Garamond" w:hAnsi="Garamond"/>
        </w:rPr>
        <w:t>Pues esa mujer infractora de ley penal es vulnerable en razón de su género y n</w:t>
      </w:r>
      <w:r w:rsidR="00264C6A" w:rsidRPr="0094468F">
        <w:rPr>
          <w:rFonts w:ascii="Garamond" w:hAnsi="Garamond"/>
        </w:rPr>
        <w:t xml:space="preserve">o </w:t>
      </w:r>
      <w:r w:rsidR="005E2B68" w:rsidRPr="0094468F">
        <w:rPr>
          <w:rFonts w:ascii="Garamond" w:hAnsi="Garamond"/>
        </w:rPr>
        <w:t xml:space="preserve">por su </w:t>
      </w:r>
      <w:r w:rsidR="00264C6A" w:rsidRPr="0094468F">
        <w:rPr>
          <w:rFonts w:ascii="Garamond" w:hAnsi="Garamond"/>
        </w:rPr>
        <w:t>dato biológico de</w:t>
      </w:r>
      <w:r w:rsidR="005E2B68" w:rsidRPr="0094468F">
        <w:rPr>
          <w:rFonts w:ascii="Garamond" w:hAnsi="Garamond"/>
        </w:rPr>
        <w:t xml:space="preserve"> pertenencia al</w:t>
      </w:r>
      <w:r w:rsidR="00264C6A" w:rsidRPr="0094468F">
        <w:rPr>
          <w:rFonts w:ascii="Garamond" w:hAnsi="Garamond"/>
        </w:rPr>
        <w:t xml:space="preserve"> sexo </w:t>
      </w:r>
      <w:r w:rsidR="00EF2134" w:rsidRPr="0094468F">
        <w:rPr>
          <w:rFonts w:ascii="Garamond" w:hAnsi="Garamond"/>
        </w:rPr>
        <w:t>femenino</w:t>
      </w:r>
      <w:r w:rsidR="00264C6A" w:rsidRPr="0094468F">
        <w:rPr>
          <w:rFonts w:ascii="Garamond" w:hAnsi="Garamond"/>
        </w:rPr>
        <w:t xml:space="preserve">. </w:t>
      </w:r>
      <w:r w:rsidR="00E91D04">
        <w:rPr>
          <w:rFonts w:ascii="Garamond" w:hAnsi="Garamond"/>
        </w:rPr>
        <w:t xml:space="preserve"> Además, como se ha dicho,  las parejas de lesbianas no necesariamente reproducen la lógica femenino-masculino en sus relaciones afectivas. </w:t>
      </w:r>
    </w:p>
    <w:p w:rsidR="00F10AD8" w:rsidRPr="0094468F" w:rsidRDefault="00F10AD8" w:rsidP="00EF2134">
      <w:pPr>
        <w:spacing w:line="276" w:lineRule="auto"/>
        <w:jc w:val="both"/>
        <w:rPr>
          <w:rFonts w:ascii="Garamond" w:hAnsi="Garamond"/>
        </w:rPr>
      </w:pPr>
    </w:p>
    <w:p w:rsidR="000F592F" w:rsidRPr="00E91D04" w:rsidRDefault="00E101C2" w:rsidP="00E91D04">
      <w:pPr>
        <w:pStyle w:val="Prrafodelista"/>
        <w:numPr>
          <w:ilvl w:val="1"/>
          <w:numId w:val="12"/>
        </w:numPr>
        <w:spacing w:line="276" w:lineRule="auto"/>
        <w:jc w:val="both"/>
        <w:rPr>
          <w:rFonts w:ascii="Garamond" w:hAnsi="Garamond"/>
        </w:rPr>
      </w:pPr>
      <w:r>
        <w:rPr>
          <w:rFonts w:ascii="Garamond" w:hAnsi="Garamond"/>
        </w:rPr>
        <w:t xml:space="preserve">La ausencia de modificaciones </w:t>
      </w:r>
      <w:r w:rsidR="00D53D00">
        <w:rPr>
          <w:rFonts w:ascii="Garamond" w:hAnsi="Garamond"/>
        </w:rPr>
        <w:t xml:space="preserve">al </w:t>
      </w:r>
      <w:r w:rsidR="00EF2134" w:rsidRPr="00E91D04">
        <w:rPr>
          <w:rFonts w:ascii="Garamond" w:hAnsi="Garamond"/>
        </w:rPr>
        <w:t>Delito</w:t>
      </w:r>
      <w:r w:rsidR="00C03B99" w:rsidRPr="00E91D04">
        <w:rPr>
          <w:rFonts w:ascii="Garamond" w:hAnsi="Garamond"/>
        </w:rPr>
        <w:t xml:space="preserve"> de maltrato habitual</w:t>
      </w:r>
    </w:p>
    <w:p w:rsidR="00C03B99" w:rsidRPr="0094468F" w:rsidRDefault="00C03B99" w:rsidP="00EF2134">
      <w:pPr>
        <w:pStyle w:val="Prrafodelista"/>
        <w:spacing w:line="276" w:lineRule="auto"/>
        <w:jc w:val="both"/>
        <w:rPr>
          <w:rFonts w:ascii="Garamond" w:hAnsi="Garamond"/>
        </w:rPr>
      </w:pPr>
    </w:p>
    <w:p w:rsidR="00E101C2" w:rsidRDefault="005E2B68" w:rsidP="007447CC">
      <w:pPr>
        <w:spacing w:line="276" w:lineRule="auto"/>
        <w:jc w:val="both"/>
        <w:rPr>
          <w:rFonts w:ascii="Garamond" w:hAnsi="Garamond"/>
        </w:rPr>
      </w:pPr>
      <w:r w:rsidRPr="0094468F">
        <w:rPr>
          <w:rFonts w:ascii="Garamond" w:hAnsi="Garamond"/>
        </w:rPr>
        <w:t>Era</w:t>
      </w:r>
      <w:r w:rsidR="00EF2134" w:rsidRPr="0094468F">
        <w:rPr>
          <w:rFonts w:ascii="Garamond" w:hAnsi="Garamond"/>
        </w:rPr>
        <w:t xml:space="preserve"> deseable</w:t>
      </w:r>
      <w:r w:rsidR="00C03B99" w:rsidRPr="0094468F">
        <w:rPr>
          <w:rFonts w:ascii="Garamond" w:hAnsi="Garamond"/>
        </w:rPr>
        <w:t xml:space="preserve"> que el proyecto de ley hubiese reformado este tipo penal a fin de evitar cuestiones interpretativas en torno a sus requisitos, especialmente la habitualidad, que no pocos problemas ha </w:t>
      </w:r>
      <w:r w:rsidR="00EF2134" w:rsidRPr="0094468F">
        <w:rPr>
          <w:rFonts w:ascii="Garamond" w:hAnsi="Garamond"/>
        </w:rPr>
        <w:t>traído</w:t>
      </w:r>
      <w:r w:rsidR="00C03B99" w:rsidRPr="0094468F">
        <w:rPr>
          <w:rFonts w:ascii="Garamond" w:hAnsi="Garamond"/>
        </w:rPr>
        <w:t xml:space="preserve"> a la hora de aplicarlo, y que se demuestra en la </w:t>
      </w:r>
      <w:proofErr w:type="spellStart"/>
      <w:r w:rsidR="00C03B99" w:rsidRPr="0094468F">
        <w:rPr>
          <w:rFonts w:ascii="Garamond" w:hAnsi="Garamond"/>
        </w:rPr>
        <w:t>residualidad</w:t>
      </w:r>
      <w:proofErr w:type="spellEnd"/>
      <w:r w:rsidR="00C03B99" w:rsidRPr="0094468F">
        <w:rPr>
          <w:rFonts w:ascii="Garamond" w:hAnsi="Garamond"/>
        </w:rPr>
        <w:t xml:space="preserve"> que arroja la baja tasa de delitos de esta naturaleza (9,</w:t>
      </w:r>
      <w:r w:rsidR="00D53D00">
        <w:rPr>
          <w:rFonts w:ascii="Garamond" w:hAnsi="Garamond"/>
        </w:rPr>
        <w:t>52</w:t>
      </w:r>
      <w:r w:rsidR="00C03B99" w:rsidRPr="0094468F">
        <w:rPr>
          <w:rFonts w:ascii="Garamond" w:hAnsi="Garamond"/>
        </w:rPr>
        <w:t>% en 201</w:t>
      </w:r>
      <w:r w:rsidR="00D53D00">
        <w:rPr>
          <w:rFonts w:ascii="Garamond" w:hAnsi="Garamond"/>
        </w:rPr>
        <w:t>8</w:t>
      </w:r>
      <w:r w:rsidR="00C03B99" w:rsidRPr="0094468F">
        <w:rPr>
          <w:rFonts w:ascii="Garamond" w:hAnsi="Garamond"/>
        </w:rPr>
        <w:t>), a diferencia del delito de lesiones en contexto VIF (4</w:t>
      </w:r>
      <w:r w:rsidR="00D53D00">
        <w:rPr>
          <w:rFonts w:ascii="Garamond" w:hAnsi="Garamond"/>
        </w:rPr>
        <w:t>8</w:t>
      </w:r>
      <w:r w:rsidR="00C03B99" w:rsidRPr="0094468F">
        <w:rPr>
          <w:rFonts w:ascii="Garamond" w:hAnsi="Garamond"/>
        </w:rPr>
        <w:t>,</w:t>
      </w:r>
      <w:r w:rsidR="00D53D00">
        <w:rPr>
          <w:rFonts w:ascii="Garamond" w:hAnsi="Garamond"/>
        </w:rPr>
        <w:t>53</w:t>
      </w:r>
      <w:r w:rsidR="00C03B99" w:rsidRPr="0094468F">
        <w:rPr>
          <w:rFonts w:ascii="Garamond" w:hAnsi="Garamond"/>
        </w:rPr>
        <w:t>% en 201</w:t>
      </w:r>
      <w:r w:rsidR="00D53D00">
        <w:rPr>
          <w:rFonts w:ascii="Garamond" w:hAnsi="Garamond"/>
        </w:rPr>
        <w:t>8</w:t>
      </w:r>
      <w:r w:rsidR="00C03B99" w:rsidRPr="0094468F">
        <w:rPr>
          <w:rFonts w:ascii="Garamond" w:hAnsi="Garamond"/>
        </w:rPr>
        <w:t>)</w:t>
      </w:r>
      <w:r w:rsidRPr="0094468F">
        <w:rPr>
          <w:rFonts w:ascii="Garamond" w:hAnsi="Garamond"/>
        </w:rPr>
        <w:t xml:space="preserve">. </w:t>
      </w:r>
      <w:r w:rsidR="00E101C2">
        <w:rPr>
          <w:rFonts w:ascii="Garamond" w:hAnsi="Garamond"/>
        </w:rPr>
        <w:t xml:space="preserve">Esto toda vez que </w:t>
      </w:r>
      <w:r w:rsidR="00D53D00">
        <w:rPr>
          <w:rFonts w:ascii="Garamond" w:hAnsi="Garamond"/>
        </w:rPr>
        <w:t xml:space="preserve">la modificación de la ley N°21.013 que eliminó el inciso 3 del art. </w:t>
      </w:r>
      <w:r w:rsidR="00E101C2">
        <w:rPr>
          <w:rFonts w:ascii="Garamond" w:hAnsi="Garamond"/>
        </w:rPr>
        <w:t xml:space="preserve">14, hizo referencia solo a un aspecto procedimental, a fin de evitar las eventuales contiendas de competencia que se producían entre juzgados de familia y el ministerio público, lo cual, dicho sea, ya había sido zanjado por el tribunal constitucional en 2008. </w:t>
      </w:r>
    </w:p>
    <w:p w:rsidR="00E101C2" w:rsidRDefault="00E101C2" w:rsidP="007447CC">
      <w:pPr>
        <w:spacing w:line="276" w:lineRule="auto"/>
        <w:jc w:val="both"/>
        <w:rPr>
          <w:rFonts w:ascii="Garamond" w:hAnsi="Garamond"/>
        </w:rPr>
      </w:pPr>
      <w:r>
        <w:rPr>
          <w:rFonts w:ascii="Garamond" w:hAnsi="Garamond"/>
        </w:rPr>
        <w:t xml:space="preserve">El delito de maltrato habitual, tal y como se consagra hoy en la ley N°20.066 presenta dificultades para su aplicación, dado que no refleja en la forma debida el </w:t>
      </w:r>
      <w:r>
        <w:rPr>
          <w:rFonts w:ascii="Garamond" w:hAnsi="Garamond"/>
        </w:rPr>
        <w:lastRenderedPageBreak/>
        <w:t xml:space="preserve">núcleo central de este tipo de delitos: la sistematicidad en el maltrato y no la mera “habitualidad” o simple “reiteración” de conductas. </w:t>
      </w:r>
    </w:p>
    <w:p w:rsidR="00D53D00" w:rsidRDefault="00E101C2" w:rsidP="007447CC">
      <w:pPr>
        <w:spacing w:line="276" w:lineRule="auto"/>
        <w:jc w:val="both"/>
        <w:rPr>
          <w:rFonts w:ascii="Garamond" w:hAnsi="Garamond"/>
        </w:rPr>
      </w:pPr>
      <w:r>
        <w:rPr>
          <w:rFonts w:ascii="Garamond" w:hAnsi="Garamond"/>
        </w:rPr>
        <w:t>Con todo, e</w:t>
      </w:r>
      <w:r w:rsidR="00A50DE7" w:rsidRPr="0094468F">
        <w:rPr>
          <w:rFonts w:ascii="Garamond" w:hAnsi="Garamond"/>
        </w:rPr>
        <w:t xml:space="preserve">s importante </w:t>
      </w:r>
      <w:r>
        <w:rPr>
          <w:rFonts w:ascii="Garamond" w:hAnsi="Garamond"/>
        </w:rPr>
        <w:t xml:space="preserve">en el proyecto de ley </w:t>
      </w:r>
      <w:r w:rsidR="00A50DE7" w:rsidRPr="0094468F">
        <w:rPr>
          <w:rFonts w:ascii="Garamond" w:hAnsi="Garamond"/>
        </w:rPr>
        <w:t xml:space="preserve">la mantención de la norma que permite al juez de familia otorgar una medida cautelar antes de </w:t>
      </w:r>
      <w:r w:rsidR="00EF2134" w:rsidRPr="0094468F">
        <w:rPr>
          <w:rFonts w:ascii="Garamond" w:hAnsi="Garamond"/>
        </w:rPr>
        <w:t>remitir</w:t>
      </w:r>
      <w:r w:rsidR="00A50DE7" w:rsidRPr="0094468F">
        <w:rPr>
          <w:rFonts w:ascii="Garamond" w:hAnsi="Garamond"/>
        </w:rPr>
        <w:t xml:space="preserve"> los ante</w:t>
      </w:r>
      <w:r w:rsidR="00D53D00">
        <w:rPr>
          <w:rFonts w:ascii="Garamond" w:hAnsi="Garamond"/>
        </w:rPr>
        <w:t xml:space="preserve">cedentes al ministerio público (modificación al art. 90 de la ley N°19.968) y que ésta deba mantenerse en tanto el juez de garantía no decrete su cese. </w:t>
      </w:r>
    </w:p>
    <w:p w:rsidR="005E2B68" w:rsidRPr="0094468F" w:rsidRDefault="00E101C2" w:rsidP="007447CC">
      <w:pPr>
        <w:spacing w:line="276" w:lineRule="auto"/>
        <w:jc w:val="both"/>
        <w:rPr>
          <w:rFonts w:ascii="Garamond" w:hAnsi="Garamond"/>
        </w:rPr>
      </w:pPr>
      <w:r>
        <w:rPr>
          <w:rFonts w:ascii="Garamond" w:hAnsi="Garamond"/>
        </w:rPr>
        <w:t xml:space="preserve">Ahora bien, </w:t>
      </w:r>
      <w:r w:rsidR="00A50DE7" w:rsidRPr="0094468F">
        <w:rPr>
          <w:rFonts w:ascii="Garamond" w:hAnsi="Garamond"/>
        </w:rPr>
        <w:t xml:space="preserve">toda reforma legal debe ir necesariamente acompañada de recursos, pues de lo contrario se transforma en derecho penal simbólico, y puede dar lugar a estas cifras que revelen que los delitos VIF no se investigan o se llegan a otro tipo de salidas. </w:t>
      </w:r>
      <w:r w:rsidR="00014D22">
        <w:rPr>
          <w:rFonts w:ascii="Garamond" w:hAnsi="Garamond"/>
        </w:rPr>
        <w:t>A modo de ejemplo, e</w:t>
      </w:r>
      <w:r w:rsidR="00A50DE7" w:rsidRPr="0094468F">
        <w:rPr>
          <w:rFonts w:ascii="Garamond" w:hAnsi="Garamond"/>
        </w:rPr>
        <w:t>n 201</w:t>
      </w:r>
      <w:r>
        <w:rPr>
          <w:rFonts w:ascii="Garamond" w:hAnsi="Garamond"/>
        </w:rPr>
        <w:t>8</w:t>
      </w:r>
      <w:r w:rsidR="00A50DE7" w:rsidRPr="0094468F">
        <w:rPr>
          <w:rFonts w:ascii="Garamond" w:hAnsi="Garamond"/>
        </w:rPr>
        <w:t xml:space="preserve">, en un </w:t>
      </w:r>
      <w:r>
        <w:rPr>
          <w:rFonts w:ascii="Garamond" w:hAnsi="Garamond"/>
        </w:rPr>
        <w:t>7,83</w:t>
      </w:r>
      <w:r w:rsidR="00A50DE7" w:rsidRPr="0094468F">
        <w:rPr>
          <w:rFonts w:ascii="Garamond" w:hAnsi="Garamond"/>
        </w:rPr>
        <w:t xml:space="preserve">% de las denuncias se aplicó la facultad de no investigar, </w:t>
      </w:r>
      <w:r>
        <w:rPr>
          <w:rFonts w:ascii="Garamond" w:hAnsi="Garamond"/>
        </w:rPr>
        <w:t>32,32</w:t>
      </w:r>
      <w:r w:rsidR="00A50DE7" w:rsidRPr="0094468F">
        <w:rPr>
          <w:rFonts w:ascii="Garamond" w:hAnsi="Garamond"/>
        </w:rPr>
        <w:t xml:space="preserve">% fueron archivadas provisionalmente, en un </w:t>
      </w:r>
      <w:r>
        <w:rPr>
          <w:rFonts w:ascii="Garamond" w:hAnsi="Garamond"/>
        </w:rPr>
        <w:t>9,90</w:t>
      </w:r>
      <w:r w:rsidR="00A50DE7" w:rsidRPr="0094468F">
        <w:rPr>
          <w:rFonts w:ascii="Garamond" w:hAnsi="Garamond"/>
        </w:rPr>
        <w:t xml:space="preserve">% se </w:t>
      </w:r>
      <w:r w:rsidR="00EF2134" w:rsidRPr="0094468F">
        <w:rPr>
          <w:rFonts w:ascii="Garamond" w:hAnsi="Garamond"/>
        </w:rPr>
        <w:t>ejerció</w:t>
      </w:r>
      <w:r w:rsidR="00A50DE7" w:rsidRPr="0094468F">
        <w:rPr>
          <w:rFonts w:ascii="Garamond" w:hAnsi="Garamond"/>
        </w:rPr>
        <w:t xml:space="preserve"> la </w:t>
      </w:r>
      <w:r w:rsidR="00EF2134" w:rsidRPr="0094468F">
        <w:rPr>
          <w:rFonts w:ascii="Garamond" w:hAnsi="Garamond"/>
        </w:rPr>
        <w:t>facultad</w:t>
      </w:r>
      <w:r w:rsidR="00A50DE7" w:rsidRPr="0094468F">
        <w:rPr>
          <w:rFonts w:ascii="Garamond" w:hAnsi="Garamond"/>
        </w:rPr>
        <w:t xml:space="preserve"> de no perseverar, entre otros. El total de salidas no judiciales, </w:t>
      </w:r>
      <w:r w:rsidR="00EF2134" w:rsidRPr="0094468F">
        <w:rPr>
          <w:rFonts w:ascii="Garamond" w:hAnsi="Garamond"/>
        </w:rPr>
        <w:t>es decir</w:t>
      </w:r>
      <w:r w:rsidR="00A50DE7" w:rsidRPr="0094468F">
        <w:rPr>
          <w:rFonts w:ascii="Garamond" w:hAnsi="Garamond"/>
        </w:rPr>
        <w:t xml:space="preserve">, aquellos delitos que no se </w:t>
      </w:r>
      <w:r w:rsidR="00EF2134" w:rsidRPr="0094468F">
        <w:rPr>
          <w:rFonts w:ascii="Garamond" w:hAnsi="Garamond"/>
        </w:rPr>
        <w:t>investigaron</w:t>
      </w:r>
      <w:r w:rsidR="00A50DE7" w:rsidRPr="0094468F">
        <w:rPr>
          <w:rFonts w:ascii="Garamond" w:hAnsi="Garamond"/>
        </w:rPr>
        <w:t>, alcanzó a un 4</w:t>
      </w:r>
      <w:r w:rsidR="008F1733">
        <w:rPr>
          <w:rFonts w:ascii="Garamond" w:hAnsi="Garamond"/>
        </w:rPr>
        <w:t>6,26</w:t>
      </w:r>
      <w:r w:rsidR="00A50DE7" w:rsidRPr="0094468F">
        <w:rPr>
          <w:rFonts w:ascii="Garamond" w:hAnsi="Garamond"/>
        </w:rPr>
        <w:t>%</w:t>
      </w:r>
      <w:r w:rsidR="00A50DE7" w:rsidRPr="0094468F">
        <w:rPr>
          <w:rStyle w:val="Refdenotaalpie"/>
          <w:rFonts w:ascii="Garamond" w:hAnsi="Garamond"/>
        </w:rPr>
        <w:footnoteReference w:id="14"/>
      </w:r>
      <w:r w:rsidR="00A50DE7" w:rsidRPr="0094468F">
        <w:rPr>
          <w:rFonts w:ascii="Garamond" w:hAnsi="Garamond"/>
        </w:rPr>
        <w:t>.</w:t>
      </w:r>
      <w:r w:rsidR="00B53577" w:rsidRPr="0094468F">
        <w:rPr>
          <w:rFonts w:ascii="Garamond" w:hAnsi="Garamond"/>
        </w:rPr>
        <w:t xml:space="preserve"> En 201</w:t>
      </w:r>
      <w:r w:rsidR="008F1733">
        <w:rPr>
          <w:rFonts w:ascii="Garamond" w:hAnsi="Garamond"/>
        </w:rPr>
        <w:t>6</w:t>
      </w:r>
      <w:r w:rsidR="00B53577" w:rsidRPr="0094468F">
        <w:rPr>
          <w:rFonts w:ascii="Garamond" w:hAnsi="Garamond"/>
        </w:rPr>
        <w:t xml:space="preserve">, </w:t>
      </w:r>
      <w:r w:rsidR="008F1733">
        <w:rPr>
          <w:rFonts w:ascii="Garamond" w:hAnsi="Garamond"/>
        </w:rPr>
        <w:t>este porcentaje era menor (</w:t>
      </w:r>
      <w:r w:rsidR="00B53577" w:rsidRPr="0094468F">
        <w:rPr>
          <w:rFonts w:ascii="Garamond" w:hAnsi="Garamond"/>
        </w:rPr>
        <w:t>40,</w:t>
      </w:r>
      <w:r w:rsidR="008F1733">
        <w:rPr>
          <w:rFonts w:ascii="Garamond" w:hAnsi="Garamond"/>
        </w:rPr>
        <w:t>66</w:t>
      </w:r>
      <w:r w:rsidR="00B53577" w:rsidRPr="0094468F">
        <w:rPr>
          <w:rFonts w:ascii="Garamond" w:hAnsi="Garamond"/>
        </w:rPr>
        <w:t>%</w:t>
      </w:r>
      <w:r w:rsidR="008F1733">
        <w:rPr>
          <w:rFonts w:ascii="Garamond" w:hAnsi="Garamond"/>
        </w:rPr>
        <w:t>)</w:t>
      </w:r>
      <w:r w:rsidR="005E2B68" w:rsidRPr="0094468F">
        <w:rPr>
          <w:rStyle w:val="Refdenotaalpie"/>
          <w:rFonts w:ascii="Garamond" w:hAnsi="Garamond"/>
        </w:rPr>
        <w:footnoteReference w:id="15"/>
      </w:r>
      <w:r w:rsidR="00B53577" w:rsidRPr="0094468F">
        <w:rPr>
          <w:rFonts w:ascii="Garamond" w:hAnsi="Garamond"/>
        </w:rPr>
        <w:t xml:space="preserve">. </w:t>
      </w:r>
    </w:p>
    <w:p w:rsidR="00B53577" w:rsidRPr="0094468F" w:rsidRDefault="00B53577" w:rsidP="00EF2134">
      <w:pPr>
        <w:pStyle w:val="Prrafodelista"/>
        <w:spacing w:line="276" w:lineRule="auto"/>
        <w:jc w:val="both"/>
        <w:rPr>
          <w:rFonts w:ascii="Garamond" w:hAnsi="Garamond"/>
        </w:rPr>
      </w:pPr>
    </w:p>
    <w:p w:rsidR="007447CC" w:rsidRPr="008F1733" w:rsidRDefault="00B53577" w:rsidP="008F1733">
      <w:pPr>
        <w:pStyle w:val="Prrafodelista"/>
        <w:numPr>
          <w:ilvl w:val="1"/>
          <w:numId w:val="12"/>
        </w:numPr>
        <w:spacing w:line="276" w:lineRule="auto"/>
        <w:jc w:val="both"/>
        <w:rPr>
          <w:rFonts w:ascii="Garamond" w:hAnsi="Garamond"/>
        </w:rPr>
      </w:pPr>
      <w:r w:rsidRPr="008F1733">
        <w:rPr>
          <w:rFonts w:ascii="Garamond" w:hAnsi="Garamond"/>
        </w:rPr>
        <w:t xml:space="preserve">Art. 161-C </w:t>
      </w:r>
    </w:p>
    <w:p w:rsidR="007447CC" w:rsidRPr="0094468F" w:rsidRDefault="007447CC" w:rsidP="007447CC">
      <w:pPr>
        <w:spacing w:line="276" w:lineRule="auto"/>
        <w:jc w:val="both"/>
        <w:rPr>
          <w:rFonts w:ascii="Garamond" w:hAnsi="Garamond"/>
        </w:rPr>
      </w:pPr>
    </w:p>
    <w:p w:rsidR="00B53577" w:rsidRPr="0094468F" w:rsidRDefault="007447CC" w:rsidP="007447CC">
      <w:pPr>
        <w:spacing w:line="276" w:lineRule="auto"/>
        <w:jc w:val="both"/>
        <w:rPr>
          <w:rFonts w:ascii="Garamond" w:hAnsi="Garamond"/>
        </w:rPr>
      </w:pPr>
      <w:r w:rsidRPr="0094468F">
        <w:rPr>
          <w:rFonts w:ascii="Garamond" w:hAnsi="Garamond"/>
        </w:rPr>
        <w:t>T</w:t>
      </w:r>
      <w:r w:rsidR="00B53577" w:rsidRPr="0094468F">
        <w:rPr>
          <w:rFonts w:ascii="Garamond" w:hAnsi="Garamond"/>
        </w:rPr>
        <w:t>ipifica la difusión de imágenes</w:t>
      </w:r>
      <w:r w:rsidR="00262A28" w:rsidRPr="0094468F">
        <w:rPr>
          <w:rFonts w:ascii="Garamond" w:hAnsi="Garamond"/>
        </w:rPr>
        <w:t xml:space="preserve"> o videos de una persona mayor de 18 años que hubieren obtenido con su anuencia y se menoscabe la integridad de la persona</w:t>
      </w:r>
      <w:r w:rsidR="00014D22">
        <w:rPr>
          <w:rFonts w:ascii="Garamond" w:hAnsi="Garamond"/>
        </w:rPr>
        <w:t>. E</w:t>
      </w:r>
      <w:r w:rsidR="00262A28" w:rsidRPr="0094468F">
        <w:rPr>
          <w:rFonts w:ascii="Garamond" w:hAnsi="Garamond"/>
        </w:rPr>
        <w:t xml:space="preserve">n términos generales me parece una norma adecuada para hacer frente a una serie de denostaciones que hemos visto a través de redes sociales. No limita la libertad de expresión por cuanto </w:t>
      </w:r>
      <w:r w:rsidR="00122EBD" w:rsidRPr="0094468F">
        <w:rPr>
          <w:rFonts w:ascii="Garamond" w:hAnsi="Garamond"/>
        </w:rPr>
        <w:t xml:space="preserve">pone un límite a esta </w:t>
      </w:r>
      <w:r w:rsidR="00EF2134" w:rsidRPr="0094468F">
        <w:rPr>
          <w:rFonts w:ascii="Garamond" w:hAnsi="Garamond"/>
        </w:rPr>
        <w:t>garantía</w:t>
      </w:r>
      <w:r w:rsidR="00122EBD" w:rsidRPr="0094468F">
        <w:rPr>
          <w:rFonts w:ascii="Garamond" w:hAnsi="Garamond"/>
        </w:rPr>
        <w:t xml:space="preserve"> constitucional</w:t>
      </w:r>
      <w:r w:rsidR="005E4473">
        <w:rPr>
          <w:rFonts w:ascii="Garamond" w:hAnsi="Garamond"/>
        </w:rPr>
        <w:t>,</w:t>
      </w:r>
      <w:r w:rsidR="00122EBD" w:rsidRPr="0094468F">
        <w:rPr>
          <w:rFonts w:ascii="Garamond" w:hAnsi="Garamond"/>
        </w:rPr>
        <w:t xml:space="preserve"> la que es afectada solo en cuanto la difusión no autorizada menoscabe en forma grave la intimidad de la persona. </w:t>
      </w:r>
    </w:p>
    <w:p w:rsidR="00262A28" w:rsidRPr="0094468F" w:rsidRDefault="00262A28" w:rsidP="007447CC">
      <w:pPr>
        <w:spacing w:line="276" w:lineRule="auto"/>
        <w:jc w:val="both"/>
        <w:rPr>
          <w:rFonts w:ascii="Garamond" w:hAnsi="Garamond"/>
        </w:rPr>
      </w:pPr>
      <w:r w:rsidRPr="0094468F">
        <w:rPr>
          <w:rFonts w:ascii="Garamond" w:hAnsi="Garamond"/>
        </w:rPr>
        <w:t xml:space="preserve">No plantea problemas concursales con la norma del art. 161-A </w:t>
      </w:r>
      <w:r w:rsidR="00014D22">
        <w:rPr>
          <w:rFonts w:ascii="Garamond" w:hAnsi="Garamond"/>
        </w:rPr>
        <w:t xml:space="preserve">CP </w:t>
      </w:r>
      <w:r w:rsidRPr="0094468F">
        <w:rPr>
          <w:rFonts w:ascii="Garamond" w:hAnsi="Garamond"/>
        </w:rPr>
        <w:t xml:space="preserve">pues hace referencia </w:t>
      </w:r>
      <w:r w:rsidR="00EF2134" w:rsidRPr="0094468F">
        <w:rPr>
          <w:rFonts w:ascii="Garamond" w:hAnsi="Garamond"/>
        </w:rPr>
        <w:t>a la</w:t>
      </w:r>
      <w:r w:rsidRPr="0094468F">
        <w:rPr>
          <w:rFonts w:ascii="Garamond" w:hAnsi="Garamond"/>
        </w:rPr>
        <w:t xml:space="preserve"> difusión de imágenes o videos obtenidos con consentimiento del afectado, consentimiento que alcanza solo a la grabación, mas no a la difusión. </w:t>
      </w:r>
      <w:r w:rsidR="00EF2134" w:rsidRPr="0094468F">
        <w:rPr>
          <w:rFonts w:ascii="Garamond" w:hAnsi="Garamond"/>
        </w:rPr>
        <w:t>Tampoco</w:t>
      </w:r>
      <w:r w:rsidRPr="0094468F">
        <w:rPr>
          <w:rFonts w:ascii="Garamond" w:hAnsi="Garamond"/>
        </w:rPr>
        <w:t xml:space="preserve"> plantea problemas concursales con la norma contenida en el art. 36 B letra d) de la Ley General de Telecomunicaciones puesto que ella hace referencia a la difusión de imágenes obtenidas a través de la interceptación, sin autorización, de señales públicas de telecomunicaciones.</w:t>
      </w:r>
    </w:p>
    <w:p w:rsidR="00262A28" w:rsidRPr="0094468F" w:rsidRDefault="00122EBD" w:rsidP="007447CC">
      <w:pPr>
        <w:spacing w:line="276" w:lineRule="auto"/>
        <w:jc w:val="both"/>
        <w:rPr>
          <w:rFonts w:ascii="Garamond" w:hAnsi="Garamond"/>
        </w:rPr>
      </w:pPr>
      <w:r w:rsidRPr="0094468F">
        <w:rPr>
          <w:rFonts w:ascii="Garamond" w:hAnsi="Garamond"/>
        </w:rPr>
        <w:t xml:space="preserve">La pena </w:t>
      </w:r>
      <w:r w:rsidR="00014D22">
        <w:rPr>
          <w:rFonts w:ascii="Garamond" w:hAnsi="Garamond"/>
        </w:rPr>
        <w:t xml:space="preserve">(multa) </w:t>
      </w:r>
      <w:r w:rsidRPr="0094468F">
        <w:rPr>
          <w:rFonts w:ascii="Garamond" w:hAnsi="Garamond"/>
        </w:rPr>
        <w:t>me parece proporcional al daño ocasionado.</w:t>
      </w:r>
    </w:p>
    <w:p w:rsidR="00122EBD" w:rsidRPr="0094468F" w:rsidRDefault="00122EBD" w:rsidP="00EF2134">
      <w:pPr>
        <w:spacing w:line="276" w:lineRule="auto"/>
        <w:jc w:val="both"/>
        <w:rPr>
          <w:rFonts w:ascii="Garamond" w:hAnsi="Garamond"/>
        </w:rPr>
      </w:pPr>
    </w:p>
    <w:p w:rsidR="00122EBD" w:rsidRPr="0094468F" w:rsidRDefault="00122EBD" w:rsidP="008F1733">
      <w:pPr>
        <w:pStyle w:val="Prrafodelista"/>
        <w:numPr>
          <w:ilvl w:val="1"/>
          <w:numId w:val="12"/>
        </w:numPr>
        <w:spacing w:line="276" w:lineRule="auto"/>
        <w:jc w:val="both"/>
        <w:rPr>
          <w:rFonts w:ascii="Garamond" w:hAnsi="Garamond"/>
        </w:rPr>
      </w:pPr>
      <w:r w:rsidRPr="0094468F">
        <w:rPr>
          <w:rFonts w:ascii="Garamond" w:hAnsi="Garamond"/>
        </w:rPr>
        <w:t>Delitos sexuales</w:t>
      </w:r>
    </w:p>
    <w:p w:rsidR="00122EBD" w:rsidRPr="0094468F" w:rsidRDefault="00122EBD" w:rsidP="00EF2134">
      <w:pPr>
        <w:spacing w:line="276" w:lineRule="auto"/>
        <w:jc w:val="both"/>
        <w:rPr>
          <w:rFonts w:ascii="Garamond" w:hAnsi="Garamond"/>
        </w:rPr>
      </w:pPr>
    </w:p>
    <w:p w:rsidR="00EA57F4" w:rsidRPr="0094468F" w:rsidRDefault="00122EBD" w:rsidP="00EF2134">
      <w:pPr>
        <w:spacing w:line="276" w:lineRule="auto"/>
        <w:jc w:val="both"/>
        <w:rPr>
          <w:rFonts w:ascii="Garamond" w:hAnsi="Garamond"/>
        </w:rPr>
      </w:pPr>
      <w:r w:rsidRPr="0094468F">
        <w:rPr>
          <w:rFonts w:ascii="Garamond" w:hAnsi="Garamond"/>
        </w:rPr>
        <w:t xml:space="preserve">En cuanto a la modificación que </w:t>
      </w:r>
      <w:r w:rsidR="00EF2134" w:rsidRPr="0094468F">
        <w:rPr>
          <w:rFonts w:ascii="Garamond" w:hAnsi="Garamond"/>
        </w:rPr>
        <w:t>se pretende</w:t>
      </w:r>
      <w:r w:rsidRPr="0094468F">
        <w:rPr>
          <w:rFonts w:ascii="Garamond" w:hAnsi="Garamond"/>
        </w:rPr>
        <w:t xml:space="preserve"> al art. </w:t>
      </w:r>
      <w:r w:rsidR="00EA57F4" w:rsidRPr="0094468F">
        <w:rPr>
          <w:rFonts w:ascii="Garamond" w:hAnsi="Garamond"/>
        </w:rPr>
        <w:t xml:space="preserve">369 </w:t>
      </w:r>
      <w:r w:rsidR="006F62F8">
        <w:rPr>
          <w:rFonts w:ascii="Garamond" w:hAnsi="Garamond"/>
        </w:rPr>
        <w:t xml:space="preserve"> CP </w:t>
      </w:r>
      <w:r w:rsidR="00EA57F4" w:rsidRPr="0094468F">
        <w:rPr>
          <w:rFonts w:ascii="Garamond" w:hAnsi="Garamond"/>
        </w:rPr>
        <w:t xml:space="preserve">en el sentido de impedir que el proceso pueda terminarse a requerimiento del ofendido cuando se trata de </w:t>
      </w:r>
      <w:r w:rsidR="00EF2134" w:rsidRPr="0094468F">
        <w:rPr>
          <w:rFonts w:ascii="Garamond" w:hAnsi="Garamond"/>
        </w:rPr>
        <w:t>cónyuge</w:t>
      </w:r>
      <w:r w:rsidR="00EA57F4" w:rsidRPr="0094468F">
        <w:rPr>
          <w:rFonts w:ascii="Garamond" w:hAnsi="Garamond"/>
        </w:rPr>
        <w:t xml:space="preserve"> o conviviente que </w:t>
      </w:r>
      <w:r w:rsidR="00EF2134" w:rsidRPr="0094468F">
        <w:rPr>
          <w:rFonts w:ascii="Garamond" w:hAnsi="Garamond"/>
        </w:rPr>
        <w:t>ha</w:t>
      </w:r>
      <w:r w:rsidR="00EA57F4" w:rsidRPr="0094468F">
        <w:rPr>
          <w:rFonts w:ascii="Garamond" w:hAnsi="Garamond"/>
        </w:rPr>
        <w:t xml:space="preserve"> denunciado un delito sexual, me parece que es avanzar un paso </w:t>
      </w:r>
      <w:r w:rsidR="00EF2134" w:rsidRPr="0094468F">
        <w:rPr>
          <w:rFonts w:ascii="Garamond" w:hAnsi="Garamond"/>
        </w:rPr>
        <w:t>más</w:t>
      </w:r>
      <w:r w:rsidR="00EA57F4" w:rsidRPr="0094468F">
        <w:rPr>
          <w:rFonts w:ascii="Garamond" w:hAnsi="Garamond"/>
        </w:rPr>
        <w:t xml:space="preserve"> allá de lo que ya se había hecho por el legislador al suprimir la imposibilidad de apreciar el delito de violación entre cónyuges y convivientes. Los delitos sexuales entre cónyuges o convivientes suelen ir acompañados de una situación de violencia que puede abarcar </w:t>
      </w:r>
      <w:r w:rsidR="00EF2134" w:rsidRPr="0094468F">
        <w:rPr>
          <w:rFonts w:ascii="Garamond" w:hAnsi="Garamond"/>
        </w:rPr>
        <w:t>malos tratos</w:t>
      </w:r>
      <w:r w:rsidR="00EA57F4" w:rsidRPr="0094468F">
        <w:rPr>
          <w:rFonts w:ascii="Garamond" w:hAnsi="Garamond"/>
        </w:rPr>
        <w:t xml:space="preserve"> físicos, psicológicos, por lo que es muy probable que la </w:t>
      </w:r>
      <w:r w:rsidR="00EF2134" w:rsidRPr="0094468F">
        <w:rPr>
          <w:rFonts w:ascii="Garamond" w:hAnsi="Garamond"/>
        </w:rPr>
        <w:t>víctima</w:t>
      </w:r>
      <w:r w:rsidR="00014D22">
        <w:rPr>
          <w:rFonts w:ascii="Garamond" w:hAnsi="Garamond"/>
        </w:rPr>
        <w:t xml:space="preserve">, presa del ciclo de violencia, </w:t>
      </w:r>
      <w:r w:rsidR="00EA57F4" w:rsidRPr="0094468F">
        <w:rPr>
          <w:rFonts w:ascii="Garamond" w:hAnsi="Garamond"/>
        </w:rPr>
        <w:t xml:space="preserve">quiera retirar la </w:t>
      </w:r>
      <w:r w:rsidR="00EF2134" w:rsidRPr="0094468F">
        <w:rPr>
          <w:rFonts w:ascii="Garamond" w:hAnsi="Garamond"/>
        </w:rPr>
        <w:t>denuncia</w:t>
      </w:r>
      <w:r w:rsidR="00EA57F4" w:rsidRPr="0094468F">
        <w:rPr>
          <w:rFonts w:ascii="Garamond" w:hAnsi="Garamond"/>
        </w:rPr>
        <w:t xml:space="preserve"> ya sea por </w:t>
      </w:r>
      <w:r w:rsidR="00014D22">
        <w:rPr>
          <w:rFonts w:ascii="Garamond" w:hAnsi="Garamond"/>
        </w:rPr>
        <w:t>haberse “reconciliado”</w:t>
      </w:r>
      <w:r w:rsidR="00014D22">
        <w:rPr>
          <w:rStyle w:val="Refdenotaalpie"/>
          <w:rFonts w:ascii="Garamond" w:hAnsi="Garamond"/>
        </w:rPr>
        <w:footnoteReference w:id="16"/>
      </w:r>
      <w:r w:rsidR="00014D22">
        <w:rPr>
          <w:rFonts w:ascii="Garamond" w:hAnsi="Garamond"/>
        </w:rPr>
        <w:t xml:space="preserve"> con el agresor</w:t>
      </w:r>
      <w:r w:rsidR="00EA57F4" w:rsidRPr="0094468F">
        <w:rPr>
          <w:rFonts w:ascii="Garamond" w:hAnsi="Garamond"/>
        </w:rPr>
        <w:t xml:space="preserve">, ya sea por temor al </w:t>
      </w:r>
      <w:r w:rsidR="00014D22">
        <w:rPr>
          <w:rFonts w:ascii="Garamond" w:hAnsi="Garamond"/>
        </w:rPr>
        <w:t>mismo</w:t>
      </w:r>
      <w:r w:rsidR="00EA57F4" w:rsidRPr="0094468F">
        <w:rPr>
          <w:rFonts w:ascii="Garamond" w:hAnsi="Garamond"/>
        </w:rPr>
        <w:t xml:space="preserve">, ya sea por necesidad económica cuando éste </w:t>
      </w:r>
      <w:r w:rsidR="005E4473">
        <w:rPr>
          <w:rFonts w:ascii="Garamond" w:hAnsi="Garamond"/>
        </w:rPr>
        <w:t xml:space="preserve">es </w:t>
      </w:r>
      <w:r w:rsidR="00EA57F4" w:rsidRPr="0094468F">
        <w:rPr>
          <w:rFonts w:ascii="Garamond" w:hAnsi="Garamond"/>
        </w:rPr>
        <w:t xml:space="preserve">el </w:t>
      </w:r>
      <w:r w:rsidR="00EF2134" w:rsidRPr="0094468F">
        <w:rPr>
          <w:rFonts w:ascii="Garamond" w:hAnsi="Garamond"/>
        </w:rPr>
        <w:t>sustentador</w:t>
      </w:r>
      <w:r w:rsidR="00EA57F4" w:rsidRPr="0094468F">
        <w:rPr>
          <w:rFonts w:ascii="Garamond" w:hAnsi="Garamond"/>
        </w:rPr>
        <w:t xml:space="preserve"> del hogar </w:t>
      </w:r>
      <w:r w:rsidR="00EF2134" w:rsidRPr="0094468F">
        <w:rPr>
          <w:rFonts w:ascii="Garamond" w:hAnsi="Garamond"/>
        </w:rPr>
        <w:t>común</w:t>
      </w:r>
      <w:r w:rsidR="00EA57F4" w:rsidRPr="0094468F">
        <w:rPr>
          <w:rFonts w:ascii="Garamond" w:hAnsi="Garamond"/>
        </w:rPr>
        <w:t xml:space="preserve">. En este sentido me parece que la norma si bien limita el </w:t>
      </w:r>
      <w:r w:rsidR="00EF2134" w:rsidRPr="0094468F">
        <w:rPr>
          <w:rFonts w:ascii="Garamond" w:hAnsi="Garamond"/>
        </w:rPr>
        <w:t>consentimiento</w:t>
      </w:r>
      <w:r w:rsidR="00EA57F4" w:rsidRPr="0094468F">
        <w:rPr>
          <w:rFonts w:ascii="Garamond" w:hAnsi="Garamond"/>
        </w:rPr>
        <w:t xml:space="preserve"> de la mujer, </w:t>
      </w:r>
      <w:r w:rsidR="00C47DCB" w:rsidRPr="0094468F">
        <w:rPr>
          <w:rFonts w:ascii="Garamond" w:hAnsi="Garamond"/>
        </w:rPr>
        <w:t xml:space="preserve">lo hace bajo la </w:t>
      </w:r>
      <w:r w:rsidR="00EF2134" w:rsidRPr="0094468F">
        <w:rPr>
          <w:rFonts w:ascii="Garamond" w:hAnsi="Garamond"/>
        </w:rPr>
        <w:t>presunción</w:t>
      </w:r>
      <w:r w:rsidR="00C47DCB" w:rsidRPr="0094468F">
        <w:rPr>
          <w:rFonts w:ascii="Garamond" w:hAnsi="Garamond"/>
        </w:rPr>
        <w:t xml:space="preserve"> de que este no será prestado en forma libre. </w:t>
      </w:r>
    </w:p>
    <w:p w:rsidR="00BB6B4E" w:rsidRPr="0094468F" w:rsidRDefault="00EF2134" w:rsidP="00EF2134">
      <w:pPr>
        <w:spacing w:line="276" w:lineRule="auto"/>
        <w:jc w:val="both"/>
        <w:rPr>
          <w:rFonts w:ascii="Garamond" w:hAnsi="Garamond" w:cs="Courier New"/>
        </w:rPr>
      </w:pPr>
      <w:r w:rsidRPr="0094468F">
        <w:rPr>
          <w:rFonts w:ascii="Garamond" w:hAnsi="Garamond"/>
        </w:rPr>
        <w:t>En relación a la modificación del art. 366</w:t>
      </w:r>
      <w:r w:rsidR="006F62F8">
        <w:rPr>
          <w:rFonts w:ascii="Garamond" w:hAnsi="Garamond"/>
        </w:rPr>
        <w:t xml:space="preserve"> CP</w:t>
      </w:r>
      <w:r w:rsidR="00AA391C">
        <w:rPr>
          <w:rFonts w:ascii="Garamond" w:hAnsi="Garamond"/>
        </w:rPr>
        <w:t xml:space="preserve"> que pretende el proyecto de ley</w:t>
      </w:r>
      <w:r w:rsidRPr="0094468F">
        <w:rPr>
          <w:rFonts w:ascii="Garamond" w:hAnsi="Garamond"/>
        </w:rPr>
        <w:t>, introduciendo una nueva figura de abuso sexual, si bien es valorable la preocupación por la indefensión de las victimas mayores de 14 años que lo sufren cuando no han existido los requisitos de la violación o del estupro, me parece que</w:t>
      </w:r>
      <w:r w:rsidR="00AA391C">
        <w:rPr>
          <w:rFonts w:ascii="Garamond" w:hAnsi="Garamond"/>
        </w:rPr>
        <w:t>, así como lo plantea el proyecto, es un</w:t>
      </w:r>
      <w:r w:rsidRPr="0094468F">
        <w:rPr>
          <w:rFonts w:ascii="Garamond" w:hAnsi="Garamond"/>
        </w:rPr>
        <w:t xml:space="preserve"> tipo penal abierto, </w:t>
      </w:r>
      <w:r w:rsidR="00AA391C">
        <w:rPr>
          <w:rFonts w:ascii="Garamond" w:hAnsi="Garamond"/>
        </w:rPr>
        <w:t>pues</w:t>
      </w:r>
      <w:r w:rsidR="00BB25F5">
        <w:rPr>
          <w:rFonts w:ascii="Garamond" w:hAnsi="Garamond"/>
        </w:rPr>
        <w:t xml:space="preserve"> </w:t>
      </w:r>
      <w:r w:rsidR="00AA391C">
        <w:rPr>
          <w:rFonts w:ascii="Garamond" w:hAnsi="Garamond"/>
        </w:rPr>
        <w:t>no puede</w:t>
      </w:r>
      <w:r w:rsidRPr="0094468F">
        <w:rPr>
          <w:rFonts w:ascii="Garamond" w:hAnsi="Garamond"/>
        </w:rPr>
        <w:t xml:space="preserve"> comprenderse hasta dónde puede llegar esa conducta, máxime cuando el mensaje del proyecto de ley considera para fundamentar esta reforma “</w:t>
      </w:r>
      <w:r w:rsidRPr="0094468F">
        <w:rPr>
          <w:rFonts w:ascii="Garamond" w:hAnsi="Garamond" w:cs="Courier New"/>
        </w:rPr>
        <w:t xml:space="preserve">los actos de connotación sexual de que las mujeres son víctimas en el ámbito de la educación o en los espacios públicos, que actualmente quedan impune”. </w:t>
      </w:r>
    </w:p>
    <w:p w:rsidR="007F74DC" w:rsidRDefault="00BB6B4E" w:rsidP="00EF2134">
      <w:pPr>
        <w:spacing w:line="276" w:lineRule="auto"/>
        <w:jc w:val="both"/>
        <w:rPr>
          <w:rFonts w:ascii="Garamond" w:hAnsi="Garamond" w:cs="Courier New"/>
        </w:rPr>
      </w:pPr>
      <w:r w:rsidRPr="0094468F">
        <w:rPr>
          <w:rFonts w:ascii="Garamond" w:hAnsi="Garamond" w:cs="Courier New"/>
        </w:rPr>
        <w:t xml:space="preserve">Quisiera que la honorable comisión comprendiera que no se trata de restar valor a la importancia de la conducta, solo que me parece que asignar básicamente la misma pena a esta conducta que </w:t>
      </w:r>
      <w:r w:rsidR="006F62F8">
        <w:rPr>
          <w:rFonts w:ascii="Garamond" w:hAnsi="Garamond" w:cs="Courier New"/>
        </w:rPr>
        <w:t xml:space="preserve">la que tienen por ejemplo el </w:t>
      </w:r>
      <w:r w:rsidRPr="0094468F">
        <w:rPr>
          <w:rFonts w:ascii="Garamond" w:hAnsi="Garamond" w:cs="Courier New"/>
        </w:rPr>
        <w:t xml:space="preserve">delito de maltrato habitual </w:t>
      </w:r>
      <w:r w:rsidR="006F62F8">
        <w:rPr>
          <w:rFonts w:ascii="Garamond" w:hAnsi="Garamond" w:cs="Courier New"/>
        </w:rPr>
        <w:t xml:space="preserve">o las lesiones leves elevadas a menos graves en contexto VIF, en su extremo inferior (presidio menor en su grado mínimo), </w:t>
      </w:r>
      <w:r w:rsidRPr="0094468F">
        <w:rPr>
          <w:rFonts w:ascii="Garamond" w:hAnsi="Garamond" w:cs="Courier New"/>
        </w:rPr>
        <w:t xml:space="preserve">contradice el espíritu de la reforma. </w:t>
      </w:r>
      <w:r w:rsidR="006F62F8">
        <w:rPr>
          <w:rFonts w:ascii="Garamond" w:hAnsi="Garamond" w:cs="Courier New"/>
        </w:rPr>
        <w:t xml:space="preserve"> </w:t>
      </w:r>
    </w:p>
    <w:p w:rsidR="00E1209E" w:rsidRDefault="00E1209E" w:rsidP="00E1209E">
      <w:pPr>
        <w:spacing w:line="276" w:lineRule="auto"/>
        <w:jc w:val="both"/>
        <w:rPr>
          <w:rFonts w:ascii="Garamond" w:hAnsi="Garamond" w:cs="Courier New"/>
        </w:rPr>
      </w:pPr>
      <w:r>
        <w:rPr>
          <w:rFonts w:ascii="Garamond" w:hAnsi="Garamond" w:cs="Courier New"/>
        </w:rPr>
        <w:t xml:space="preserve">No se entiende por ejemplo, en qué podrían consistir estos actos de connotación sexual cuya tipificación se reclama a título de delito, en circunstancias que el mismo proyecto </w:t>
      </w:r>
      <w:r w:rsidR="006F62F8">
        <w:rPr>
          <w:rFonts w:ascii="Garamond" w:hAnsi="Garamond" w:cs="Courier New"/>
        </w:rPr>
        <w:t xml:space="preserve">sanciona como falta en el art. 494 ter </w:t>
      </w:r>
      <w:r>
        <w:rPr>
          <w:rFonts w:ascii="Garamond" w:hAnsi="Garamond" w:cs="Courier New"/>
        </w:rPr>
        <w:t xml:space="preserve">el “hostigar a otra persona mediante la exhibición de sus genitales o realización de acciones de masturbación en lugares </w:t>
      </w:r>
      <w:r>
        <w:rPr>
          <w:rFonts w:ascii="Garamond" w:hAnsi="Garamond" w:cs="Courier New"/>
        </w:rPr>
        <w:lastRenderedPageBreak/>
        <w:t xml:space="preserve">públicos”. Un manoseo en el metro, el acoso sexual por parte del profesor a la alumna, </w:t>
      </w:r>
      <w:r w:rsidR="006F62F8">
        <w:rPr>
          <w:rFonts w:ascii="Garamond" w:hAnsi="Garamond" w:cs="Courier New"/>
        </w:rPr>
        <w:t xml:space="preserve">son conductas cuyo disvalor de injusto me parece muy inferior a las lesiones (clínicamente leves) o al </w:t>
      </w:r>
      <w:r>
        <w:rPr>
          <w:rFonts w:ascii="Garamond" w:hAnsi="Garamond" w:cs="Courier New"/>
        </w:rPr>
        <w:t>maltrato que habitualmente sufre la mujer en su hogar por parte del agresor</w:t>
      </w:r>
      <w:r w:rsidR="006F62F8">
        <w:rPr>
          <w:rFonts w:ascii="Garamond" w:hAnsi="Garamond" w:cs="Courier New"/>
        </w:rPr>
        <w:t>.</w:t>
      </w:r>
      <w:r>
        <w:rPr>
          <w:rFonts w:ascii="Garamond" w:hAnsi="Garamond" w:cs="Courier New"/>
        </w:rPr>
        <w:t xml:space="preserve"> </w:t>
      </w:r>
    </w:p>
    <w:p w:rsidR="00262A28" w:rsidRPr="0094468F" w:rsidRDefault="00E1209E" w:rsidP="00EF2134">
      <w:pPr>
        <w:spacing w:line="276" w:lineRule="auto"/>
        <w:jc w:val="both"/>
        <w:rPr>
          <w:rFonts w:ascii="Garamond" w:hAnsi="Garamond" w:cs="Courier New"/>
        </w:rPr>
      </w:pPr>
      <w:r>
        <w:rPr>
          <w:rFonts w:ascii="Garamond" w:hAnsi="Garamond" w:cs="Courier New"/>
        </w:rPr>
        <w:t>P</w:t>
      </w:r>
      <w:r w:rsidR="00BB6B4E" w:rsidRPr="0094468F">
        <w:rPr>
          <w:rFonts w:ascii="Garamond" w:hAnsi="Garamond" w:cs="Courier New"/>
        </w:rPr>
        <w:t xml:space="preserve">or otra parte me parece que </w:t>
      </w:r>
      <w:r w:rsidR="00C47DCB" w:rsidRPr="0094468F">
        <w:rPr>
          <w:rFonts w:ascii="Garamond" w:hAnsi="Garamond" w:cs="Courier New"/>
        </w:rPr>
        <w:t xml:space="preserve">el derecho penal puede no ser una herramienta útil a estos efectos considerando especialmente la pena, que </w:t>
      </w:r>
      <w:r w:rsidR="00EF2134" w:rsidRPr="0094468F">
        <w:rPr>
          <w:rFonts w:ascii="Garamond" w:hAnsi="Garamond" w:cs="Courier New"/>
        </w:rPr>
        <w:t>dará</w:t>
      </w:r>
      <w:r w:rsidR="00C47DCB" w:rsidRPr="0094468F">
        <w:rPr>
          <w:rFonts w:ascii="Garamond" w:hAnsi="Garamond" w:cs="Courier New"/>
        </w:rPr>
        <w:t xml:space="preserve"> lugar probablemente a archivos provisionales, decisiones de no perseverar, es decir, una puesta en marcha del sistema penal que no conducirá a una </w:t>
      </w:r>
      <w:r w:rsidR="00BB6B4E" w:rsidRPr="0094468F">
        <w:rPr>
          <w:rFonts w:ascii="Garamond" w:hAnsi="Garamond" w:cs="Courier New"/>
        </w:rPr>
        <w:t xml:space="preserve">sanción del autor y </w:t>
      </w:r>
      <w:r w:rsidR="00C47DCB" w:rsidRPr="0094468F">
        <w:rPr>
          <w:rFonts w:ascii="Garamond" w:hAnsi="Garamond" w:cs="Courier New"/>
        </w:rPr>
        <w:t>protección efectiva de la víctima</w:t>
      </w:r>
      <w:r w:rsidR="00BB6B4E" w:rsidRPr="0094468F">
        <w:rPr>
          <w:rFonts w:ascii="Garamond" w:hAnsi="Garamond" w:cs="Courier New"/>
        </w:rPr>
        <w:t>.</w:t>
      </w:r>
    </w:p>
    <w:p w:rsidR="007F74DC" w:rsidRDefault="00EE30B6" w:rsidP="00EF2134">
      <w:pPr>
        <w:spacing w:line="276" w:lineRule="auto"/>
        <w:jc w:val="both"/>
        <w:rPr>
          <w:rFonts w:ascii="Garamond" w:hAnsi="Garamond" w:cs="Courier New"/>
        </w:rPr>
      </w:pPr>
      <w:r>
        <w:rPr>
          <w:rFonts w:ascii="Garamond" w:hAnsi="Garamond" w:cs="Courier New"/>
        </w:rPr>
        <w:t>Es todo cuanto puedo informar,</w:t>
      </w:r>
    </w:p>
    <w:p w:rsidR="00EE30B6" w:rsidRDefault="00EE30B6" w:rsidP="00EF2134">
      <w:pPr>
        <w:spacing w:line="276" w:lineRule="auto"/>
        <w:jc w:val="both"/>
        <w:rPr>
          <w:rFonts w:ascii="Garamond" w:hAnsi="Garamond" w:cs="Courier New"/>
        </w:rPr>
      </w:pPr>
      <w:r>
        <w:rPr>
          <w:rFonts w:ascii="Garamond" w:hAnsi="Garamond" w:cs="Courier New"/>
        </w:rPr>
        <w:t>Saluda atentamente a la Honorable Comisión</w:t>
      </w:r>
    </w:p>
    <w:p w:rsidR="00EE30B6" w:rsidRDefault="00EE30B6" w:rsidP="00EF2134">
      <w:pPr>
        <w:spacing w:line="276" w:lineRule="auto"/>
        <w:jc w:val="both"/>
        <w:rPr>
          <w:rFonts w:ascii="Garamond" w:hAnsi="Garamond" w:cs="Courier New"/>
        </w:rPr>
      </w:pPr>
    </w:p>
    <w:p w:rsidR="00EE30B6" w:rsidRDefault="00EE30B6" w:rsidP="00EF2134">
      <w:pPr>
        <w:spacing w:line="276" w:lineRule="auto"/>
        <w:jc w:val="both"/>
        <w:rPr>
          <w:rFonts w:ascii="Garamond" w:hAnsi="Garamond" w:cs="Courier New"/>
        </w:rPr>
      </w:pPr>
    </w:p>
    <w:p w:rsidR="00EE30B6" w:rsidRDefault="00EE30B6" w:rsidP="00EF2134">
      <w:pPr>
        <w:spacing w:line="276" w:lineRule="auto"/>
        <w:jc w:val="both"/>
        <w:rPr>
          <w:rFonts w:ascii="Garamond" w:hAnsi="Garamond" w:cs="Courier New"/>
        </w:rPr>
      </w:pPr>
      <w:r>
        <w:rPr>
          <w:rFonts w:ascii="Garamond" w:hAnsi="Garamond" w:cs="Courier New"/>
        </w:rPr>
        <w:t>Profª. Dra. Myrna Villegas Díaz</w:t>
      </w:r>
    </w:p>
    <w:p w:rsidR="00EE30B6" w:rsidRDefault="00EE30B6" w:rsidP="00EF2134">
      <w:pPr>
        <w:spacing w:line="276" w:lineRule="auto"/>
        <w:jc w:val="both"/>
        <w:rPr>
          <w:rFonts w:ascii="Garamond" w:hAnsi="Garamond" w:cs="Courier New"/>
        </w:rPr>
      </w:pPr>
      <w:proofErr w:type="spellStart"/>
      <w:r>
        <w:rPr>
          <w:rFonts w:ascii="Garamond" w:hAnsi="Garamond" w:cs="Courier New"/>
        </w:rPr>
        <w:t>Depto</w:t>
      </w:r>
      <w:proofErr w:type="spellEnd"/>
      <w:r>
        <w:rPr>
          <w:rFonts w:ascii="Garamond" w:hAnsi="Garamond" w:cs="Courier New"/>
        </w:rPr>
        <w:t xml:space="preserve"> Ciencias Penales</w:t>
      </w:r>
    </w:p>
    <w:p w:rsidR="00EE30B6" w:rsidRDefault="00EE30B6" w:rsidP="00EF2134">
      <w:pPr>
        <w:spacing w:line="276" w:lineRule="auto"/>
        <w:jc w:val="both"/>
        <w:rPr>
          <w:rFonts w:ascii="Garamond" w:hAnsi="Garamond" w:cs="Courier New"/>
        </w:rPr>
      </w:pPr>
      <w:r>
        <w:rPr>
          <w:rFonts w:ascii="Garamond" w:hAnsi="Garamond" w:cs="Courier New"/>
        </w:rPr>
        <w:t>Facultad de Derecho</w:t>
      </w:r>
    </w:p>
    <w:p w:rsidR="00EE30B6" w:rsidRPr="0094468F" w:rsidRDefault="00EE30B6" w:rsidP="00EF2134">
      <w:pPr>
        <w:spacing w:line="276" w:lineRule="auto"/>
        <w:jc w:val="both"/>
        <w:rPr>
          <w:rFonts w:ascii="Garamond" w:hAnsi="Garamond" w:cs="Courier New"/>
        </w:rPr>
      </w:pPr>
      <w:r>
        <w:rPr>
          <w:rFonts w:ascii="Garamond" w:hAnsi="Garamond" w:cs="Courier New"/>
        </w:rPr>
        <w:t xml:space="preserve">Univ. De Chile. </w:t>
      </w:r>
    </w:p>
    <w:p w:rsidR="007447CC" w:rsidRPr="0094468F" w:rsidRDefault="007447CC" w:rsidP="00EF2134">
      <w:pPr>
        <w:spacing w:line="276" w:lineRule="auto"/>
        <w:jc w:val="both"/>
        <w:rPr>
          <w:rFonts w:ascii="Garamond" w:hAnsi="Garamond"/>
        </w:rPr>
      </w:pPr>
      <w:r w:rsidRPr="0094468F">
        <w:rPr>
          <w:rFonts w:ascii="Garamond" w:hAnsi="Garamond" w:cs="Courier New"/>
        </w:rPr>
        <w:t xml:space="preserve"> </w:t>
      </w:r>
    </w:p>
    <w:sectPr w:rsidR="007447CC" w:rsidRPr="0094468F">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1340" w:rsidRDefault="007E1340" w:rsidP="00B9086D">
      <w:pPr>
        <w:spacing w:after="0"/>
      </w:pPr>
      <w:r>
        <w:separator/>
      </w:r>
    </w:p>
  </w:endnote>
  <w:endnote w:type="continuationSeparator" w:id="0">
    <w:p w:rsidR="007E1340" w:rsidRDefault="007E1340" w:rsidP="00B9086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altName w:val="Garamond"/>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mn-ea">
    <w:panose1 w:val="00000000000000000000"/>
    <w:charset w:val="00"/>
    <w:family w:val="roman"/>
    <w:notTrueType/>
    <w:pitch w:val="default"/>
  </w:font>
  <w:font w:name="+mn-cs">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FrutigerLTStd-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5623559"/>
      <w:docPartObj>
        <w:docPartGallery w:val="Page Numbers (Bottom of Page)"/>
        <w:docPartUnique/>
      </w:docPartObj>
    </w:sdtPr>
    <w:sdtEndPr/>
    <w:sdtContent>
      <w:p w:rsidR="001040D8" w:rsidRDefault="001040D8">
        <w:pPr>
          <w:pStyle w:val="Piedepgina"/>
          <w:jc w:val="right"/>
        </w:pPr>
        <w:r>
          <w:fldChar w:fldCharType="begin"/>
        </w:r>
        <w:r>
          <w:instrText>PAGE   \* MERGEFORMAT</w:instrText>
        </w:r>
        <w:r>
          <w:fldChar w:fldCharType="separate"/>
        </w:r>
        <w:r w:rsidR="006D7CC2" w:rsidRPr="006D7CC2">
          <w:rPr>
            <w:noProof/>
            <w:lang w:val="es-ES"/>
          </w:rPr>
          <w:t>10</w:t>
        </w:r>
        <w:r>
          <w:fldChar w:fldCharType="end"/>
        </w:r>
      </w:p>
    </w:sdtContent>
  </w:sdt>
  <w:p w:rsidR="001040D8" w:rsidRDefault="001040D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1340" w:rsidRDefault="007E1340" w:rsidP="00B9086D">
      <w:pPr>
        <w:spacing w:after="0"/>
      </w:pPr>
      <w:r>
        <w:separator/>
      </w:r>
    </w:p>
  </w:footnote>
  <w:footnote w:type="continuationSeparator" w:id="0">
    <w:p w:rsidR="007E1340" w:rsidRDefault="007E1340" w:rsidP="00B9086D">
      <w:pPr>
        <w:spacing w:after="0"/>
      </w:pPr>
      <w:r>
        <w:continuationSeparator/>
      </w:r>
    </w:p>
  </w:footnote>
  <w:footnote w:id="1">
    <w:p w:rsidR="00FD6BDA" w:rsidRPr="000A4A31" w:rsidRDefault="00FD6BDA" w:rsidP="00E93E45">
      <w:pPr>
        <w:pStyle w:val="Textonotapie"/>
        <w:jc w:val="both"/>
        <w:rPr>
          <w:rFonts w:ascii="Garamond" w:hAnsi="Garamond"/>
          <w:lang w:val="es-CL"/>
        </w:rPr>
      </w:pPr>
      <w:r w:rsidRPr="000A4A31">
        <w:rPr>
          <w:rStyle w:val="Refdenotaalpie"/>
          <w:rFonts w:ascii="Garamond" w:hAnsi="Garamond"/>
        </w:rPr>
        <w:sym w:font="Symbol" w:char="F02A"/>
      </w:r>
      <w:r w:rsidRPr="000A4A31">
        <w:rPr>
          <w:rFonts w:ascii="Garamond" w:hAnsi="Garamond"/>
        </w:rPr>
        <w:t xml:space="preserve"> Doctora en derecho y postgraduada en criminología por la Universidad de Salamanca, España. Licenciada en Ciencias Jurídicas y sociales por la Facultad de Derecho de la Universidad de Chile. Profesora asociada</w:t>
      </w:r>
      <w:r w:rsidR="00AC60AB">
        <w:rPr>
          <w:rFonts w:ascii="Garamond" w:hAnsi="Garamond"/>
        </w:rPr>
        <w:t xml:space="preserve"> e</w:t>
      </w:r>
      <w:r w:rsidRPr="000A4A31">
        <w:rPr>
          <w:rFonts w:ascii="Garamond" w:hAnsi="Garamond"/>
        </w:rPr>
        <w:t xml:space="preserve"> investigadora  del </w:t>
      </w:r>
      <w:r w:rsidR="00AC60AB">
        <w:rPr>
          <w:rFonts w:ascii="Garamond" w:hAnsi="Garamond"/>
        </w:rPr>
        <w:t xml:space="preserve">Departamento de Ciencias Penales </w:t>
      </w:r>
      <w:r w:rsidRPr="000A4A31">
        <w:rPr>
          <w:rFonts w:ascii="Garamond" w:hAnsi="Garamond"/>
        </w:rPr>
        <w:t xml:space="preserve">de la </w:t>
      </w:r>
      <w:r w:rsidR="00AC60AB">
        <w:rPr>
          <w:rFonts w:ascii="Garamond" w:hAnsi="Garamond"/>
        </w:rPr>
        <w:t xml:space="preserve">Facultad de Derecho de la </w:t>
      </w:r>
      <w:r w:rsidRPr="000A4A31">
        <w:rPr>
          <w:rFonts w:ascii="Garamond" w:hAnsi="Garamond"/>
        </w:rPr>
        <w:t>Universidad de Chile. L</w:t>
      </w:r>
      <w:r w:rsidR="002616E3">
        <w:rPr>
          <w:rFonts w:ascii="Garamond" w:hAnsi="Garamond"/>
        </w:rPr>
        <w:t>í</w:t>
      </w:r>
      <w:r w:rsidRPr="000A4A31">
        <w:rPr>
          <w:rFonts w:ascii="Garamond" w:hAnsi="Garamond"/>
        </w:rPr>
        <w:t xml:space="preserve">neas de investigación: relaciones entre el poder punitivo, el derecho penal y los derechos humanos (género y derecho penal, pueblos originarios, terrorismo y leyes asociadas). </w:t>
      </w:r>
    </w:p>
  </w:footnote>
  <w:footnote w:id="2">
    <w:p w:rsidR="001947FD" w:rsidRPr="000A4A31" w:rsidRDefault="001947FD" w:rsidP="00E93E45">
      <w:pPr>
        <w:pStyle w:val="Textonotapie"/>
        <w:jc w:val="both"/>
        <w:rPr>
          <w:rFonts w:ascii="Garamond" w:hAnsi="Garamond"/>
        </w:rPr>
      </w:pPr>
      <w:r w:rsidRPr="000A4A31">
        <w:rPr>
          <w:rStyle w:val="Refdenotaalpie"/>
          <w:rFonts w:ascii="Garamond" w:hAnsi="Garamond"/>
        </w:rPr>
        <w:footnoteRef/>
      </w:r>
      <w:r w:rsidRPr="000A4A31">
        <w:rPr>
          <w:rFonts w:ascii="Garamond" w:hAnsi="Garamond"/>
        </w:rPr>
        <w:t xml:space="preserve"> La Convención de Belem do Pará define la violencia contra la mujer como</w:t>
      </w:r>
      <w:r w:rsidRPr="000A4A31">
        <w:rPr>
          <w:rFonts w:ascii="Garamond" w:hAnsi="Garamond" w:cs="Tahoma"/>
        </w:rPr>
        <w:t xml:space="preserve"> “cualquier acción o conducta, basada en su género, que cause muerte, daño o sufrimiento físico, sexual o psicológico a la mujer, tanto en el ámbito público como en el privado” (art. 1)</w:t>
      </w:r>
    </w:p>
  </w:footnote>
  <w:footnote w:id="3">
    <w:p w:rsidR="00D53801" w:rsidRPr="000A4A31" w:rsidRDefault="00B9086D" w:rsidP="00E93E45">
      <w:pPr>
        <w:pStyle w:val="NormalWeb"/>
        <w:shd w:val="clear" w:color="auto" w:fill="FFFFFF"/>
        <w:spacing w:before="0" w:beforeAutospacing="0" w:after="0" w:afterAutospacing="0"/>
        <w:jc w:val="both"/>
        <w:rPr>
          <w:rFonts w:ascii="Garamond" w:hAnsi="Garamond"/>
          <w:sz w:val="20"/>
          <w:szCs w:val="20"/>
        </w:rPr>
      </w:pPr>
      <w:r w:rsidRPr="000A4A31">
        <w:rPr>
          <w:rStyle w:val="Refdenotaalpie"/>
          <w:rFonts w:ascii="Garamond" w:hAnsi="Garamond"/>
          <w:sz w:val="20"/>
          <w:szCs w:val="20"/>
        </w:rPr>
        <w:footnoteRef/>
      </w:r>
      <w:r w:rsidRPr="000A4A31">
        <w:rPr>
          <w:rFonts w:ascii="Garamond" w:hAnsi="Garamond"/>
          <w:sz w:val="20"/>
          <w:szCs w:val="20"/>
        </w:rPr>
        <w:t xml:space="preserve"> </w:t>
      </w:r>
      <w:r w:rsidR="004624A8" w:rsidRPr="000A4A31">
        <w:rPr>
          <w:rFonts w:ascii="Garamond" w:hAnsi="Garamond" w:cs="Tahoma"/>
          <w:sz w:val="20"/>
          <w:szCs w:val="20"/>
        </w:rPr>
        <w:t>Los Estados partes de la presente convención […]</w:t>
      </w:r>
    </w:p>
    <w:p w:rsidR="00D53801" w:rsidRPr="000A4A31" w:rsidRDefault="004624A8" w:rsidP="00E93E45">
      <w:pPr>
        <w:pStyle w:val="NormalWeb"/>
        <w:shd w:val="clear" w:color="auto" w:fill="FFFFFF"/>
        <w:spacing w:before="0" w:beforeAutospacing="0" w:after="0" w:afterAutospacing="0"/>
        <w:jc w:val="both"/>
        <w:rPr>
          <w:rFonts w:ascii="Garamond" w:hAnsi="Garamond"/>
          <w:sz w:val="20"/>
          <w:szCs w:val="20"/>
        </w:rPr>
      </w:pPr>
      <w:r w:rsidRPr="000A4A31">
        <w:rPr>
          <w:rFonts w:ascii="Garamond" w:hAnsi="Garamond" w:cs="Tahoma"/>
          <w:sz w:val="20"/>
          <w:szCs w:val="20"/>
        </w:rPr>
        <w:t> Afirmando</w:t>
      </w:r>
      <w:r w:rsidR="00D53801" w:rsidRPr="000A4A31">
        <w:rPr>
          <w:rFonts w:ascii="Garamond" w:hAnsi="Garamond" w:cs="Tahoma"/>
          <w:sz w:val="20"/>
          <w:szCs w:val="20"/>
        </w:rPr>
        <w:t xml:space="preserve"> que la violencia contra la mujer constituye una violación de los derechos humanos y las libertades fundamentales y limita total o parcialmente a la mujer el reconocimiento, goce y ejercicio de tales derechos y libertades;</w:t>
      </w:r>
    </w:p>
    <w:p w:rsidR="00D53801" w:rsidRPr="000A4A31" w:rsidRDefault="00D53801" w:rsidP="00E93E45">
      <w:pPr>
        <w:pStyle w:val="NormalWeb"/>
        <w:shd w:val="clear" w:color="auto" w:fill="FFFFFF"/>
        <w:spacing w:before="0" w:beforeAutospacing="0" w:after="0" w:afterAutospacing="0"/>
        <w:jc w:val="both"/>
        <w:rPr>
          <w:rFonts w:ascii="Garamond" w:hAnsi="Garamond"/>
          <w:sz w:val="20"/>
          <w:szCs w:val="20"/>
        </w:rPr>
      </w:pPr>
      <w:r w:rsidRPr="000A4A31">
        <w:rPr>
          <w:rFonts w:ascii="Garamond" w:hAnsi="Garamond" w:cs="Tahoma"/>
          <w:sz w:val="20"/>
          <w:szCs w:val="20"/>
        </w:rPr>
        <w:t> </w:t>
      </w:r>
      <w:r w:rsidR="004624A8" w:rsidRPr="000A4A31">
        <w:rPr>
          <w:rFonts w:ascii="Garamond" w:hAnsi="Garamond" w:cs="Tahoma"/>
          <w:sz w:val="20"/>
          <w:szCs w:val="20"/>
        </w:rPr>
        <w:t>Preocupados</w:t>
      </w:r>
      <w:r w:rsidRPr="000A4A31">
        <w:rPr>
          <w:rFonts w:ascii="Garamond" w:hAnsi="Garamond" w:cs="Tahoma"/>
          <w:sz w:val="20"/>
          <w:szCs w:val="20"/>
        </w:rPr>
        <w:t xml:space="preserve"> </w:t>
      </w:r>
      <w:r w:rsidRPr="000A4A31">
        <w:rPr>
          <w:rFonts w:ascii="Garamond" w:hAnsi="Garamond" w:cs="Tahoma"/>
          <w:sz w:val="20"/>
          <w:szCs w:val="20"/>
          <w:u w:val="single"/>
        </w:rPr>
        <w:t>porque la violencia contra la mujer es una ofensa a la dignidad humana y una manifestación de las relaciones de poder históricamente desiguales entre mujeres y hombres</w:t>
      </w:r>
      <w:r w:rsidRPr="000A4A31">
        <w:rPr>
          <w:rFonts w:ascii="Garamond" w:hAnsi="Garamond" w:cs="Tahoma"/>
          <w:sz w:val="20"/>
          <w:szCs w:val="20"/>
        </w:rPr>
        <w:t xml:space="preserve"> […]</w:t>
      </w:r>
    </w:p>
    <w:p w:rsidR="00B9086D" w:rsidRPr="000A4A31" w:rsidRDefault="00B9086D" w:rsidP="00E93E45">
      <w:pPr>
        <w:pStyle w:val="Textonotapie"/>
        <w:jc w:val="both"/>
        <w:rPr>
          <w:rFonts w:ascii="Garamond" w:hAnsi="Garamond"/>
          <w:lang w:val="es-CL"/>
        </w:rPr>
      </w:pPr>
    </w:p>
  </w:footnote>
  <w:footnote w:id="4">
    <w:p w:rsidR="0009670B" w:rsidRPr="000A4A31" w:rsidRDefault="0009670B" w:rsidP="00E93E45">
      <w:pPr>
        <w:pStyle w:val="NormalWeb"/>
        <w:shd w:val="clear" w:color="auto" w:fill="FFFFFF"/>
        <w:spacing w:before="0" w:beforeAutospacing="0" w:after="0" w:afterAutospacing="0"/>
        <w:jc w:val="both"/>
        <w:rPr>
          <w:rFonts w:ascii="Garamond" w:hAnsi="Garamond"/>
          <w:sz w:val="20"/>
          <w:szCs w:val="20"/>
        </w:rPr>
      </w:pPr>
      <w:r w:rsidRPr="000A4A31">
        <w:rPr>
          <w:rStyle w:val="Refdenotaalpie"/>
          <w:rFonts w:ascii="Garamond" w:hAnsi="Garamond"/>
          <w:sz w:val="20"/>
          <w:szCs w:val="20"/>
        </w:rPr>
        <w:footnoteRef/>
      </w:r>
      <w:r w:rsidRPr="000A4A31">
        <w:rPr>
          <w:rFonts w:ascii="Garamond" w:hAnsi="Garamond"/>
          <w:sz w:val="20"/>
          <w:szCs w:val="20"/>
        </w:rPr>
        <w:t xml:space="preserve"> </w:t>
      </w:r>
      <w:r w:rsidRPr="000A4A31">
        <w:rPr>
          <w:rFonts w:ascii="Garamond" w:hAnsi="Garamond" w:cs="Tahoma"/>
          <w:sz w:val="20"/>
          <w:szCs w:val="20"/>
        </w:rPr>
        <w:t>Artículo 2.  Se entenderá que violencia contra la mujer incluye la violencia física, sexual y psicológica:</w:t>
      </w:r>
    </w:p>
    <w:p w:rsidR="0009670B" w:rsidRPr="000A4A31" w:rsidRDefault="0009670B" w:rsidP="00E93E45">
      <w:pPr>
        <w:pStyle w:val="NormalWeb"/>
        <w:shd w:val="clear" w:color="auto" w:fill="FFFFFF"/>
        <w:spacing w:before="0" w:beforeAutospacing="0" w:after="0" w:afterAutospacing="0"/>
        <w:jc w:val="both"/>
        <w:rPr>
          <w:rFonts w:ascii="Garamond" w:hAnsi="Garamond"/>
          <w:sz w:val="20"/>
          <w:szCs w:val="20"/>
        </w:rPr>
      </w:pPr>
      <w:r w:rsidRPr="000A4A31">
        <w:rPr>
          <w:rFonts w:ascii="Garamond" w:hAnsi="Garamond" w:cs="Tahoma"/>
          <w:sz w:val="20"/>
          <w:szCs w:val="20"/>
        </w:rPr>
        <w:t> a. que tenga lugar dentro de la familia o unidad doméstica o en cualquier otra relación interpersonal, ya sea que el agresor comparta o haya compartido el mismo domicilio que la mujer, y que comprende, entre otros, violación, maltrato y abuso sexual;  b. que tenga lugar en la comunidad y sea perpetrada por cualquier persona y que comprende, entre otros, violación, abuso sexual, tortura, trata de personas, prostitución forzada, secuestro y acoso sexual en el lugar de trabajo, así como en instituciones educativas, establecimientos de salud o cualquier otro lugar, y  c. que sea perpetrada o tolerada por el Estado o sus agentes, donde quiera que ocurra.</w:t>
      </w:r>
    </w:p>
  </w:footnote>
  <w:footnote w:id="5">
    <w:p w:rsidR="008B5BD3" w:rsidRPr="000A4A31" w:rsidRDefault="008B5BD3" w:rsidP="00E93E45">
      <w:pPr>
        <w:spacing w:after="0"/>
        <w:jc w:val="both"/>
        <w:textAlignment w:val="baseline"/>
        <w:rPr>
          <w:rFonts w:ascii="Garamond" w:hAnsi="Garamond"/>
          <w:sz w:val="20"/>
          <w:szCs w:val="20"/>
          <w:lang w:val="es-CL"/>
        </w:rPr>
      </w:pPr>
      <w:r w:rsidRPr="000A4A31">
        <w:rPr>
          <w:rStyle w:val="Refdenotaalpie"/>
          <w:rFonts w:ascii="Garamond" w:hAnsi="Garamond"/>
          <w:sz w:val="20"/>
          <w:szCs w:val="20"/>
        </w:rPr>
        <w:footnoteRef/>
      </w:r>
      <w:r w:rsidRPr="000A4A31">
        <w:rPr>
          <w:rFonts w:ascii="Garamond" w:hAnsi="Garamond"/>
          <w:sz w:val="20"/>
          <w:szCs w:val="20"/>
        </w:rPr>
        <w:t xml:space="preserve"> </w:t>
      </w:r>
      <w:r w:rsidRPr="000A4A31">
        <w:rPr>
          <w:rFonts w:ascii="Garamond" w:eastAsiaTheme="minorEastAsia" w:hAnsi="Garamond" w:cstheme="minorBidi"/>
          <w:bCs/>
          <w:sz w:val="20"/>
          <w:szCs w:val="20"/>
          <w:lang w:val="es-AR"/>
        </w:rPr>
        <w:t>IV. Violencia económica.- Es toda acción u omisión del Agresor que afecta la supervivencia económica de la víctima. Se manifiesta a través de limitaciones encaminadas a controlar el ingreso de sus percepciones económicas, así como la percepción de un salario menor por igual trabajo, dentro de un mismo centro laboral;</w:t>
      </w:r>
    </w:p>
  </w:footnote>
  <w:footnote w:id="6">
    <w:p w:rsidR="008B5BD3" w:rsidRPr="000A4A31" w:rsidRDefault="008B5BD3" w:rsidP="00E93E45">
      <w:pPr>
        <w:spacing w:after="0"/>
        <w:jc w:val="both"/>
        <w:textAlignment w:val="baseline"/>
        <w:rPr>
          <w:rFonts w:ascii="Garamond" w:hAnsi="Garamond"/>
          <w:sz w:val="20"/>
          <w:szCs w:val="20"/>
          <w:lang w:val="es-CL"/>
        </w:rPr>
      </w:pPr>
      <w:r w:rsidRPr="000A4A31">
        <w:rPr>
          <w:rStyle w:val="Refdenotaalpie"/>
          <w:rFonts w:ascii="Garamond" w:hAnsi="Garamond"/>
          <w:sz w:val="20"/>
          <w:szCs w:val="20"/>
        </w:rPr>
        <w:footnoteRef/>
      </w:r>
      <w:r w:rsidRPr="000A4A31">
        <w:rPr>
          <w:rFonts w:ascii="Garamond" w:hAnsi="Garamond"/>
          <w:sz w:val="20"/>
          <w:szCs w:val="20"/>
        </w:rPr>
        <w:t xml:space="preserve"> </w:t>
      </w:r>
      <w:r w:rsidR="00031E2C" w:rsidRPr="000A4A31">
        <w:rPr>
          <w:rFonts w:ascii="Garamond" w:eastAsiaTheme="minorEastAsia" w:hAnsi="Garamond" w:cstheme="minorBidi"/>
          <w:color w:val="000000" w:themeColor="text1"/>
          <w:sz w:val="20"/>
          <w:szCs w:val="20"/>
          <w:lang w:val="es-AR"/>
        </w:rPr>
        <w:t>III. La violencia patrimonial.- Es cualquier acto u omisión que afecta la supervivencia de la víctima. Se manifiesta en: la transformación, sustracción, destrucción, retención o distracción de objetos, documentos personales, bienes y valores, derechos patrimoniales o recursos económicos destinados a satisfacer sus necesidades y puede abarcar los daños a los bienes comunes o propios de la víctima;</w:t>
      </w:r>
    </w:p>
  </w:footnote>
  <w:footnote w:id="7">
    <w:p w:rsidR="00BD619C" w:rsidRPr="000A4A31" w:rsidRDefault="00BD619C" w:rsidP="00E93E45">
      <w:pPr>
        <w:autoSpaceDE w:val="0"/>
        <w:autoSpaceDN w:val="0"/>
        <w:adjustRightInd w:val="0"/>
        <w:spacing w:after="0"/>
        <w:jc w:val="both"/>
        <w:rPr>
          <w:rFonts w:ascii="Garamond" w:hAnsi="Garamond"/>
          <w:sz w:val="20"/>
          <w:szCs w:val="20"/>
          <w:lang w:val="es-CL"/>
        </w:rPr>
      </w:pPr>
      <w:r w:rsidRPr="000A4A31">
        <w:rPr>
          <w:rStyle w:val="Refdenotaalpie"/>
          <w:rFonts w:ascii="Garamond" w:hAnsi="Garamond"/>
          <w:sz w:val="20"/>
          <w:szCs w:val="20"/>
        </w:rPr>
        <w:footnoteRef/>
      </w:r>
      <w:r w:rsidRPr="000A4A31">
        <w:rPr>
          <w:rFonts w:ascii="Garamond" w:hAnsi="Garamond"/>
          <w:sz w:val="20"/>
          <w:szCs w:val="20"/>
        </w:rPr>
        <w:t xml:space="preserve"> </w:t>
      </w:r>
      <w:r w:rsidRPr="000A4A31">
        <w:rPr>
          <w:rFonts w:ascii="Garamond" w:eastAsiaTheme="minorHAnsi" w:hAnsi="Garamond" w:cs="FrutigerLTStd-Light"/>
          <w:sz w:val="20"/>
          <w:szCs w:val="20"/>
          <w:lang w:val="es-CL"/>
        </w:rPr>
        <w:t>Comisión Interamericana de Derechos Humanos (en adelante CIDH). Acceso a la Justicia para Mujeres víctimas de Violencia en las Américas OEA/</w:t>
      </w:r>
      <w:proofErr w:type="spellStart"/>
      <w:r w:rsidRPr="000A4A31">
        <w:rPr>
          <w:rFonts w:ascii="Garamond" w:eastAsiaTheme="minorHAnsi" w:hAnsi="Garamond" w:cs="FrutigerLTStd-Light"/>
          <w:sz w:val="20"/>
          <w:szCs w:val="20"/>
          <w:lang w:val="es-CL"/>
        </w:rPr>
        <w:t>Ser.L</w:t>
      </w:r>
      <w:proofErr w:type="spellEnd"/>
      <w:r w:rsidRPr="000A4A31">
        <w:rPr>
          <w:rFonts w:ascii="Garamond" w:eastAsiaTheme="minorHAnsi" w:hAnsi="Garamond" w:cs="FrutigerLTStd-Light"/>
          <w:sz w:val="20"/>
          <w:szCs w:val="20"/>
          <w:lang w:val="es-CL"/>
        </w:rPr>
        <w:t xml:space="preserve">/V/II. Doc. 68, 20 enero 2007. </w:t>
      </w:r>
      <w:proofErr w:type="spellStart"/>
      <w:r w:rsidRPr="000A4A31">
        <w:rPr>
          <w:rFonts w:ascii="Garamond" w:eastAsiaTheme="minorHAnsi" w:hAnsi="Garamond" w:cs="FrutigerLTStd-Light"/>
          <w:sz w:val="20"/>
          <w:szCs w:val="20"/>
          <w:lang w:val="es-CL"/>
        </w:rPr>
        <w:t>Párrs</w:t>
      </w:r>
      <w:proofErr w:type="spellEnd"/>
      <w:r w:rsidRPr="000A4A31">
        <w:rPr>
          <w:rFonts w:ascii="Garamond" w:eastAsiaTheme="minorHAnsi" w:hAnsi="Garamond" w:cs="FrutigerLTStd-Light"/>
          <w:sz w:val="20"/>
          <w:szCs w:val="20"/>
          <w:lang w:val="es-CL"/>
        </w:rPr>
        <w:t>. 40 y 41.</w:t>
      </w:r>
    </w:p>
  </w:footnote>
  <w:footnote w:id="8">
    <w:p w:rsidR="00EF4532" w:rsidRPr="000A4A31" w:rsidRDefault="00EF4532" w:rsidP="00E93E45">
      <w:pPr>
        <w:pStyle w:val="Textonotapie"/>
        <w:jc w:val="both"/>
        <w:rPr>
          <w:rFonts w:ascii="Garamond" w:hAnsi="Garamond"/>
          <w:lang w:val="es-CL"/>
        </w:rPr>
      </w:pPr>
      <w:r w:rsidRPr="000A4A31">
        <w:rPr>
          <w:rStyle w:val="Refdenotaalpie"/>
          <w:rFonts w:ascii="Garamond" w:hAnsi="Garamond"/>
        </w:rPr>
        <w:footnoteRef/>
      </w:r>
      <w:r w:rsidRPr="000A4A31">
        <w:rPr>
          <w:rFonts w:ascii="Garamond" w:hAnsi="Garamond"/>
        </w:rPr>
        <w:t xml:space="preserve"> </w:t>
      </w:r>
      <w:r w:rsidRPr="000A4A31">
        <w:rPr>
          <w:rFonts w:ascii="Garamond" w:hAnsi="Garamond"/>
          <w:lang w:val="es-CL"/>
        </w:rPr>
        <w:t xml:space="preserve">Recordemos que el delito de femicidio existe a partir de la ley 20.480 de 2010. </w:t>
      </w:r>
    </w:p>
  </w:footnote>
  <w:footnote w:id="9">
    <w:p w:rsidR="00264C6A" w:rsidRPr="000A4A31" w:rsidRDefault="00264C6A" w:rsidP="00E93E45">
      <w:pPr>
        <w:pStyle w:val="Textonotapie"/>
        <w:jc w:val="both"/>
        <w:rPr>
          <w:rFonts w:ascii="Garamond" w:hAnsi="Garamond"/>
          <w:lang w:val="es-CL"/>
        </w:rPr>
      </w:pPr>
      <w:r w:rsidRPr="000A4A31">
        <w:rPr>
          <w:rStyle w:val="Refdenotaalpie"/>
          <w:rFonts w:ascii="Garamond" w:hAnsi="Garamond"/>
        </w:rPr>
        <w:footnoteRef/>
      </w:r>
      <w:r w:rsidRPr="000A4A31">
        <w:rPr>
          <w:rFonts w:ascii="Garamond" w:hAnsi="Garamond"/>
        </w:rPr>
        <w:t xml:space="preserve"> </w:t>
      </w:r>
      <w:r w:rsidRPr="000A4A31">
        <w:rPr>
          <w:rFonts w:ascii="Garamond" w:hAnsi="Garamond"/>
          <w:color w:val="000000"/>
          <w:shd w:val="clear" w:color="auto" w:fill="FFFFFF"/>
        </w:rPr>
        <w:t>MERA FIGUEROA, Jorge (2009) "Femicidio". En Red chilena contra violencia doméstica y sexual (Dir.)</w:t>
      </w:r>
      <w:r w:rsidRPr="000A4A31">
        <w:rPr>
          <w:rStyle w:val="apple-converted-space"/>
          <w:rFonts w:ascii="Garamond" w:hAnsi="Garamond"/>
          <w:color w:val="000000"/>
          <w:shd w:val="clear" w:color="auto" w:fill="FFFFFF"/>
        </w:rPr>
        <w:t> </w:t>
      </w:r>
      <w:r w:rsidRPr="000A4A31">
        <w:rPr>
          <w:rFonts w:ascii="Garamond" w:hAnsi="Garamond"/>
          <w:i/>
          <w:iCs/>
          <w:color w:val="000000"/>
          <w:shd w:val="clear" w:color="auto" w:fill="FFFFFF"/>
        </w:rPr>
        <w:t>Tipificación del femicidio en Chile: un debate abierto.</w:t>
      </w:r>
      <w:r w:rsidRPr="000A4A31">
        <w:rPr>
          <w:rStyle w:val="apple-converted-space"/>
          <w:rFonts w:ascii="Garamond" w:hAnsi="Garamond"/>
          <w:color w:val="000000"/>
          <w:shd w:val="clear" w:color="auto" w:fill="FFFFFF"/>
        </w:rPr>
        <w:t> </w:t>
      </w:r>
      <w:r w:rsidRPr="000A4A31">
        <w:rPr>
          <w:rFonts w:ascii="Garamond" w:hAnsi="Garamond"/>
          <w:color w:val="000000"/>
          <w:shd w:val="clear" w:color="auto" w:fill="FFFFFF"/>
        </w:rPr>
        <w:t>Santiago de Chile. Disponible en:</w:t>
      </w:r>
      <w:r w:rsidRPr="000A4A31">
        <w:rPr>
          <w:rStyle w:val="apple-converted-space"/>
          <w:rFonts w:ascii="Garamond" w:hAnsi="Garamond"/>
          <w:color w:val="000000"/>
          <w:shd w:val="clear" w:color="auto" w:fill="FFFFFF"/>
        </w:rPr>
        <w:t> </w:t>
      </w:r>
      <w:r w:rsidRPr="000A4A31">
        <w:rPr>
          <w:rFonts w:ascii="Garamond" w:hAnsi="Garamond"/>
          <w:lang w:val="es-CL"/>
        </w:rPr>
        <w:t xml:space="preserve"> </w:t>
      </w:r>
      <w:hyperlink r:id="rId1" w:history="1">
        <w:r w:rsidR="00E93E45" w:rsidRPr="000A4A31">
          <w:rPr>
            <w:rStyle w:val="Hipervnculo"/>
            <w:rFonts w:ascii="Garamond" w:hAnsi="Garamond"/>
            <w:lang w:val="es-CL"/>
          </w:rPr>
          <w:t>http://www.nomasviolenciacontramujeres.cl/wp-content/uploads/2015/11/Tipificar-el-femicidio-un-debate-abierto.pdf</w:t>
        </w:r>
      </w:hyperlink>
      <w:r w:rsidR="00E93E45" w:rsidRPr="000A4A31">
        <w:rPr>
          <w:rFonts w:ascii="Garamond" w:hAnsi="Garamond"/>
          <w:lang w:val="es-CL"/>
        </w:rPr>
        <w:t xml:space="preserve"> </w:t>
      </w:r>
      <w:r w:rsidR="00E93E45" w:rsidRPr="000A4A31">
        <w:rPr>
          <w:rFonts w:ascii="Garamond" w:hAnsi="Garamond" w:cs="Arial"/>
          <w:color w:val="000000"/>
        </w:rPr>
        <w:t>[fecha consulta: 2017-04-10]</w:t>
      </w:r>
    </w:p>
  </w:footnote>
  <w:footnote w:id="10">
    <w:p w:rsidR="00F10AD8" w:rsidRPr="000A4A31" w:rsidRDefault="00F10AD8">
      <w:pPr>
        <w:pStyle w:val="Textonotapie"/>
        <w:rPr>
          <w:rFonts w:ascii="Garamond" w:hAnsi="Garamond"/>
          <w:lang w:val="es-CL"/>
        </w:rPr>
      </w:pPr>
      <w:r w:rsidRPr="000A4A31">
        <w:rPr>
          <w:rStyle w:val="Refdenotaalpie"/>
          <w:rFonts w:ascii="Garamond" w:hAnsi="Garamond"/>
        </w:rPr>
        <w:footnoteRef/>
      </w:r>
      <w:r w:rsidRPr="000A4A31">
        <w:rPr>
          <w:rFonts w:ascii="Garamond" w:hAnsi="Garamond"/>
        </w:rPr>
        <w:t xml:space="preserve"> </w:t>
      </w:r>
      <w:r w:rsidRPr="000A4A31">
        <w:rPr>
          <w:rFonts w:ascii="Garamond" w:hAnsi="Garamond"/>
          <w:color w:val="000000"/>
          <w:shd w:val="clear" w:color="auto" w:fill="FFFFFF"/>
        </w:rPr>
        <w:t>Doctor en Derecho Penal por la Universidad de Trento (Italia) y Salamanca (España). Investigador Asociado adscrito a la Facultad de Ciencias Jurídicas y Sociales de</w:t>
      </w:r>
      <w:r w:rsidRPr="000A4A31">
        <w:rPr>
          <w:rStyle w:val="apple-converted-space"/>
          <w:rFonts w:ascii="Garamond" w:hAnsi="Garamond"/>
          <w:color w:val="000000"/>
          <w:shd w:val="clear" w:color="auto" w:fill="FFFFFF"/>
        </w:rPr>
        <w:t> </w:t>
      </w:r>
      <w:r w:rsidRPr="000A4A31">
        <w:rPr>
          <w:rFonts w:ascii="Garamond" w:hAnsi="Garamond"/>
          <w:color w:val="000000"/>
        </w:rPr>
        <w:br/>
      </w:r>
      <w:r w:rsidRPr="000A4A31">
        <w:rPr>
          <w:rFonts w:ascii="Garamond" w:hAnsi="Garamond"/>
          <w:color w:val="000000"/>
          <w:shd w:val="clear" w:color="auto" w:fill="FFFFFF"/>
        </w:rPr>
        <w:t>la Universidad Autónoma de Chile (Chile). Ex profesor e investigador Facultad de Derecho. Universidad de Valparaíso.</w:t>
      </w:r>
    </w:p>
  </w:footnote>
  <w:footnote w:id="11">
    <w:p w:rsidR="00E93E45" w:rsidRPr="000A4A31" w:rsidRDefault="00E93E45" w:rsidP="00E93E45">
      <w:pPr>
        <w:pStyle w:val="Textonotapie"/>
        <w:jc w:val="both"/>
        <w:rPr>
          <w:rFonts w:ascii="Garamond" w:hAnsi="Garamond"/>
          <w:lang w:val="es-CL"/>
        </w:rPr>
      </w:pPr>
      <w:r w:rsidRPr="000A4A31">
        <w:rPr>
          <w:rStyle w:val="Refdenotaalpie"/>
          <w:rFonts w:ascii="Garamond" w:hAnsi="Garamond"/>
        </w:rPr>
        <w:footnoteRef/>
      </w:r>
      <w:r w:rsidRPr="000A4A31">
        <w:rPr>
          <w:rFonts w:ascii="Garamond" w:hAnsi="Garamond"/>
        </w:rPr>
        <w:t xml:space="preserve"> </w:t>
      </w:r>
      <w:r w:rsidRPr="000A4A31">
        <w:rPr>
          <w:rFonts w:ascii="Garamond" w:hAnsi="Garamond" w:cs="Arial"/>
          <w:color w:val="000000"/>
        </w:rPr>
        <w:t>CORN, EMANUELE (2014).</w:t>
      </w:r>
      <w:r w:rsidRPr="000A4A31">
        <w:rPr>
          <w:rStyle w:val="apple-converted-space"/>
          <w:rFonts w:ascii="Garamond" w:hAnsi="Garamond" w:cs="Arial"/>
          <w:color w:val="000000"/>
        </w:rPr>
        <w:t> “</w:t>
      </w:r>
      <w:r w:rsidRPr="000A4A31">
        <w:rPr>
          <w:rStyle w:val="article-title"/>
          <w:rFonts w:ascii="Garamond" w:hAnsi="Garamond" w:cs="Arial"/>
          <w:color w:val="000000"/>
        </w:rPr>
        <w:t xml:space="preserve">La revolución tímida: el tipo de femicidio introducido en Chile por la ley n°20.480 desde una perspectiva comparada”, en </w:t>
      </w:r>
      <w:r w:rsidRPr="000A4A31">
        <w:rPr>
          <w:rFonts w:ascii="Garamond" w:hAnsi="Garamond" w:cs="Arial"/>
          <w:i/>
          <w:iCs/>
          <w:color w:val="000000"/>
        </w:rPr>
        <w:t>Revista de Derecho de la Universidad Católica del Norte</w:t>
      </w:r>
      <w:r w:rsidRPr="000A4A31">
        <w:rPr>
          <w:rStyle w:val="apple-converted-space"/>
          <w:rFonts w:ascii="Garamond" w:hAnsi="Garamond" w:cs="Arial"/>
          <w:color w:val="000000"/>
        </w:rPr>
        <w:t> </w:t>
      </w:r>
      <w:r w:rsidRPr="000A4A31">
        <w:rPr>
          <w:rFonts w:ascii="Garamond" w:hAnsi="Garamond" w:cs="Arial"/>
          <w:color w:val="000000"/>
        </w:rPr>
        <w:t>[online]. 2014, vol.21, n.2, pp.103-136. Disponible en: &lt;http://www.scielo.cl/scielo.php?script=sci_arttext&amp;pid=S0718-97532014000200004&amp;lng=es&amp;nrm=iso&gt;. ISSN 0718-9753.  http://dx.doi.org/10.4067/S0718-97532014000200004. [fecha consulta: 201</w:t>
      </w:r>
      <w:r w:rsidR="002616E3">
        <w:rPr>
          <w:rFonts w:ascii="Garamond" w:hAnsi="Garamond" w:cs="Arial"/>
          <w:color w:val="000000"/>
        </w:rPr>
        <w:t>9</w:t>
      </w:r>
      <w:r w:rsidRPr="000A4A31">
        <w:rPr>
          <w:rFonts w:ascii="Garamond" w:hAnsi="Garamond" w:cs="Arial"/>
          <w:color w:val="000000"/>
        </w:rPr>
        <w:t>-04-0</w:t>
      </w:r>
      <w:r w:rsidR="002616E3">
        <w:rPr>
          <w:rFonts w:ascii="Garamond" w:hAnsi="Garamond" w:cs="Arial"/>
          <w:color w:val="000000"/>
        </w:rPr>
        <w:t>1</w:t>
      </w:r>
      <w:r w:rsidRPr="000A4A31">
        <w:rPr>
          <w:rFonts w:ascii="Garamond" w:hAnsi="Garamond" w:cs="Arial"/>
          <w:color w:val="000000"/>
        </w:rPr>
        <w:t>]</w:t>
      </w:r>
    </w:p>
  </w:footnote>
  <w:footnote w:id="12">
    <w:p w:rsidR="00E93E45" w:rsidRPr="000A4A31" w:rsidRDefault="00E93E45">
      <w:pPr>
        <w:pStyle w:val="Textonotapie"/>
        <w:rPr>
          <w:rFonts w:ascii="Garamond" w:hAnsi="Garamond"/>
          <w:lang w:val="es-CL"/>
        </w:rPr>
      </w:pPr>
      <w:r w:rsidRPr="000A4A31">
        <w:rPr>
          <w:rStyle w:val="Refdenotaalpie"/>
          <w:rFonts w:ascii="Garamond" w:hAnsi="Garamond"/>
        </w:rPr>
        <w:footnoteRef/>
      </w:r>
      <w:r w:rsidRPr="000A4A31">
        <w:rPr>
          <w:rFonts w:ascii="Garamond" w:hAnsi="Garamond"/>
        </w:rPr>
        <w:t xml:space="preserve"> </w:t>
      </w:r>
      <w:r w:rsidRPr="000A4A31">
        <w:rPr>
          <w:rFonts w:ascii="Garamond" w:hAnsi="Garamond"/>
          <w:lang w:val="es-CL"/>
        </w:rPr>
        <w:t xml:space="preserve">Sobre este concepto </w:t>
      </w:r>
      <w:r w:rsidRPr="000A4A31">
        <w:rPr>
          <w:rFonts w:ascii="Garamond" w:hAnsi="Garamond"/>
          <w:color w:val="000000"/>
          <w:shd w:val="clear" w:color="auto" w:fill="FFFFFF"/>
        </w:rPr>
        <w:t xml:space="preserve">TOLEDO VÁSQUEZ, </w:t>
      </w:r>
      <w:proofErr w:type="spellStart"/>
      <w:r w:rsidRPr="000A4A31">
        <w:rPr>
          <w:rFonts w:ascii="Garamond" w:hAnsi="Garamond"/>
          <w:color w:val="000000"/>
          <w:shd w:val="clear" w:color="auto" w:fill="FFFFFF"/>
        </w:rPr>
        <w:t>Patsilí</w:t>
      </w:r>
      <w:proofErr w:type="spellEnd"/>
      <w:r w:rsidRPr="000A4A31">
        <w:rPr>
          <w:rFonts w:ascii="Garamond" w:hAnsi="Garamond"/>
          <w:color w:val="000000"/>
          <w:shd w:val="clear" w:color="auto" w:fill="FFFFFF"/>
        </w:rPr>
        <w:t xml:space="preserve"> (2008) "¿Tipificar el femicidio?". </w:t>
      </w:r>
      <w:r w:rsidRPr="000A4A31">
        <w:rPr>
          <w:rFonts w:ascii="Garamond" w:hAnsi="Garamond"/>
          <w:i/>
          <w:iCs/>
          <w:color w:val="000000"/>
          <w:shd w:val="clear" w:color="auto" w:fill="FFFFFF"/>
        </w:rPr>
        <w:t>Anuario Derechos Humanos Universidad de Chile.,</w:t>
      </w:r>
      <w:r w:rsidRPr="000A4A31">
        <w:rPr>
          <w:rFonts w:ascii="Garamond" w:hAnsi="Garamond"/>
          <w:color w:val="000000"/>
          <w:shd w:val="clear" w:color="auto" w:fill="FFFFFF"/>
        </w:rPr>
        <w:t> 4, pp. 213 ss.  Disponible en:   http://www.anuariocdh.uchile.cl/index.php/ADH/issue/view/1132  </w:t>
      </w:r>
      <w:r w:rsidRPr="000A4A31">
        <w:rPr>
          <w:rFonts w:ascii="Garamond" w:hAnsi="Garamond" w:cs="Arial"/>
          <w:color w:val="000000"/>
        </w:rPr>
        <w:t>[fecha consulta: 201</w:t>
      </w:r>
      <w:r w:rsidR="002616E3">
        <w:rPr>
          <w:rFonts w:ascii="Garamond" w:hAnsi="Garamond" w:cs="Arial"/>
          <w:color w:val="000000"/>
        </w:rPr>
        <w:t>9</w:t>
      </w:r>
      <w:r w:rsidRPr="000A4A31">
        <w:rPr>
          <w:rFonts w:ascii="Garamond" w:hAnsi="Garamond" w:cs="Arial"/>
          <w:color w:val="000000"/>
        </w:rPr>
        <w:t>-04-</w:t>
      </w:r>
      <w:r w:rsidR="002616E3">
        <w:rPr>
          <w:rFonts w:ascii="Garamond" w:hAnsi="Garamond" w:cs="Arial"/>
          <w:color w:val="000000"/>
        </w:rPr>
        <w:t>01</w:t>
      </w:r>
      <w:r w:rsidRPr="000A4A31">
        <w:rPr>
          <w:rFonts w:ascii="Garamond" w:hAnsi="Garamond" w:cs="Arial"/>
          <w:color w:val="000000"/>
        </w:rPr>
        <w:t>]</w:t>
      </w:r>
      <w:r w:rsidRPr="000A4A31">
        <w:rPr>
          <w:rFonts w:ascii="Garamond" w:hAnsi="Garamond"/>
          <w:color w:val="000000"/>
          <w:shd w:val="clear" w:color="auto" w:fill="FFFFFF"/>
        </w:rPr>
        <w:t>   </w:t>
      </w:r>
    </w:p>
  </w:footnote>
  <w:footnote w:id="13">
    <w:p w:rsidR="0036162A" w:rsidRPr="000A4A31" w:rsidRDefault="0036162A" w:rsidP="00E93E45">
      <w:pPr>
        <w:pStyle w:val="Textonotapie"/>
        <w:jc w:val="both"/>
        <w:rPr>
          <w:rFonts w:ascii="Garamond" w:hAnsi="Garamond"/>
          <w:lang w:val="es-CL"/>
        </w:rPr>
      </w:pPr>
      <w:r w:rsidRPr="000A4A31">
        <w:rPr>
          <w:rStyle w:val="Refdenotaalpie"/>
          <w:rFonts w:ascii="Garamond" w:hAnsi="Garamond"/>
        </w:rPr>
        <w:footnoteRef/>
      </w:r>
      <w:r w:rsidRPr="000A4A31">
        <w:rPr>
          <w:rFonts w:ascii="Garamond" w:hAnsi="Garamond"/>
        </w:rPr>
        <w:t xml:space="preserve"> </w:t>
      </w:r>
      <w:r w:rsidR="00264C6A" w:rsidRPr="000A4A31">
        <w:rPr>
          <w:rFonts w:ascii="Garamond" w:hAnsi="Garamond"/>
          <w:color w:val="000000"/>
          <w:shd w:val="clear" w:color="auto" w:fill="FFFFFF"/>
        </w:rPr>
        <w:t xml:space="preserve">MERA, Jorge, </w:t>
      </w:r>
      <w:proofErr w:type="spellStart"/>
      <w:r w:rsidR="00264C6A" w:rsidRPr="000A4A31">
        <w:rPr>
          <w:rFonts w:ascii="Garamond" w:hAnsi="Garamond"/>
          <w:color w:val="000000"/>
          <w:shd w:val="clear" w:color="auto" w:fill="FFFFFF"/>
        </w:rPr>
        <w:t>ob.cit</w:t>
      </w:r>
      <w:proofErr w:type="spellEnd"/>
      <w:r w:rsidR="00264C6A" w:rsidRPr="000A4A31">
        <w:rPr>
          <w:rFonts w:ascii="Garamond" w:hAnsi="Garamond"/>
          <w:color w:val="000000"/>
          <w:shd w:val="clear" w:color="auto" w:fill="FFFFFF"/>
        </w:rPr>
        <w:t>.</w:t>
      </w:r>
    </w:p>
  </w:footnote>
  <w:footnote w:id="14">
    <w:p w:rsidR="00A50DE7" w:rsidRPr="000A4A31" w:rsidRDefault="00A50DE7" w:rsidP="00E93E45">
      <w:pPr>
        <w:pStyle w:val="Textonotapie"/>
        <w:jc w:val="both"/>
        <w:rPr>
          <w:rFonts w:ascii="Garamond" w:hAnsi="Garamond"/>
          <w:lang w:val="es-CL"/>
        </w:rPr>
      </w:pPr>
      <w:r w:rsidRPr="000A4A31">
        <w:rPr>
          <w:rStyle w:val="Refdenotaalpie"/>
          <w:rFonts w:ascii="Garamond" w:hAnsi="Garamond"/>
        </w:rPr>
        <w:footnoteRef/>
      </w:r>
      <w:r w:rsidRPr="000A4A31">
        <w:rPr>
          <w:rFonts w:ascii="Garamond" w:hAnsi="Garamond"/>
        </w:rPr>
        <w:t xml:space="preserve"> </w:t>
      </w:r>
      <w:r w:rsidRPr="000A4A31">
        <w:rPr>
          <w:rFonts w:ascii="Garamond" w:hAnsi="Garamond"/>
          <w:lang w:val="es-CL"/>
        </w:rPr>
        <w:t>Fuente: Boletín Estadístico Ministerio Público año 2016. Disponible en: http://www.fiscaliadechile.cl/Fiscalia/estadisticas/index.do</w:t>
      </w:r>
    </w:p>
  </w:footnote>
  <w:footnote w:id="15">
    <w:p w:rsidR="005E2B68" w:rsidRPr="000A4A31" w:rsidRDefault="005E2B68">
      <w:pPr>
        <w:pStyle w:val="Textonotapie"/>
        <w:rPr>
          <w:rFonts w:ascii="Garamond" w:hAnsi="Garamond"/>
          <w:lang w:val="es-CL"/>
        </w:rPr>
      </w:pPr>
      <w:r w:rsidRPr="000A4A31">
        <w:rPr>
          <w:rStyle w:val="Refdenotaalpie"/>
          <w:rFonts w:ascii="Garamond" w:hAnsi="Garamond"/>
        </w:rPr>
        <w:footnoteRef/>
      </w:r>
      <w:r w:rsidRPr="000A4A31">
        <w:rPr>
          <w:rFonts w:ascii="Garamond" w:hAnsi="Garamond"/>
        </w:rPr>
        <w:t xml:space="preserve"> </w:t>
      </w:r>
      <w:r w:rsidRPr="000A4A31">
        <w:rPr>
          <w:rFonts w:ascii="Garamond" w:hAnsi="Garamond"/>
          <w:lang w:val="es-CL"/>
        </w:rPr>
        <w:t>Boletines estadísticos del Ministerio Publico años 2015 y 2016. Disponibles en: www.fiscaliadechile.cl</w:t>
      </w:r>
    </w:p>
  </w:footnote>
  <w:footnote w:id="16">
    <w:p w:rsidR="00014D22" w:rsidRPr="00014D22" w:rsidRDefault="00014D22">
      <w:pPr>
        <w:pStyle w:val="Textonotapie"/>
        <w:rPr>
          <w:lang w:val="es-ES"/>
        </w:rPr>
      </w:pPr>
      <w:r>
        <w:rPr>
          <w:rStyle w:val="Refdenotaalpie"/>
        </w:rPr>
        <w:footnoteRef/>
      </w:r>
      <w:r>
        <w:t xml:space="preserve"> </w:t>
      </w:r>
      <w:r>
        <w:rPr>
          <w:lang w:val="es-ES"/>
        </w:rPr>
        <w:t>La reconciliación de la pareja forma parte del ciclo de violencia intrafamiliar</w:t>
      </w:r>
      <w:r w:rsidR="008C36C6">
        <w:rPr>
          <w:lang w:val="es-ES"/>
        </w:rPr>
        <w:t xml:space="preserve"> en el cual se encuentran inmersos tanto la victima como el agresor.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4696" w:rsidRDefault="00AC60AB" w:rsidP="002D4696">
    <w:pPr>
      <w:pStyle w:val="Encabezado"/>
    </w:pPr>
    <w:r w:rsidRPr="00AC60AB">
      <w:rPr>
        <w:noProof/>
        <w:lang w:val="es-CL" w:eastAsia="es-CL"/>
      </w:rPr>
      <w:drawing>
        <wp:inline distT="0" distB="0" distL="0" distR="0">
          <wp:extent cx="1333500" cy="550069"/>
          <wp:effectExtent l="0" t="0" r="0" b="2540"/>
          <wp:docPr id="2" name="Imagen 2" descr="C:\Users\mvillegas\Documents\PROYECTOS EN EJECUCION\Fondecyt 2014\rinde gastos fondecyt\Correo de Facultad de Derecho Universidad de Chile - Versión digital Documentos Gastos Observados Fondecyt N°1140040_files\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villegas\Documents\PROYECTOS EN EJECUCION\Fondecyt 2014\rinde gastos fondecyt\Correo de Facultad de Derecho Universidad de Chile - Versión digital Documentos Gastos Observados Fondecyt N°1140040_files\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5349" cy="5590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81AC4"/>
    <w:multiLevelType w:val="hybridMultilevel"/>
    <w:tmpl w:val="00201402"/>
    <w:lvl w:ilvl="0" w:tplc="FAF05E26">
      <w:start w:val="1"/>
      <w:numFmt w:val="bullet"/>
      <w:lvlText w:val=""/>
      <w:lvlJc w:val="left"/>
      <w:pPr>
        <w:tabs>
          <w:tab w:val="num" w:pos="720"/>
        </w:tabs>
        <w:ind w:left="720" w:hanging="360"/>
      </w:pPr>
      <w:rPr>
        <w:rFonts w:ascii="Wingdings" w:hAnsi="Wingdings" w:hint="default"/>
      </w:rPr>
    </w:lvl>
    <w:lvl w:ilvl="1" w:tplc="52747F5E" w:tentative="1">
      <w:start w:val="1"/>
      <w:numFmt w:val="bullet"/>
      <w:lvlText w:val=""/>
      <w:lvlJc w:val="left"/>
      <w:pPr>
        <w:tabs>
          <w:tab w:val="num" w:pos="1440"/>
        </w:tabs>
        <w:ind w:left="1440" w:hanging="360"/>
      </w:pPr>
      <w:rPr>
        <w:rFonts w:ascii="Wingdings" w:hAnsi="Wingdings" w:hint="default"/>
      </w:rPr>
    </w:lvl>
    <w:lvl w:ilvl="2" w:tplc="AE8484EA" w:tentative="1">
      <w:start w:val="1"/>
      <w:numFmt w:val="bullet"/>
      <w:lvlText w:val=""/>
      <w:lvlJc w:val="left"/>
      <w:pPr>
        <w:tabs>
          <w:tab w:val="num" w:pos="2160"/>
        </w:tabs>
        <w:ind w:left="2160" w:hanging="360"/>
      </w:pPr>
      <w:rPr>
        <w:rFonts w:ascii="Wingdings" w:hAnsi="Wingdings" w:hint="default"/>
      </w:rPr>
    </w:lvl>
    <w:lvl w:ilvl="3" w:tplc="95ECE630" w:tentative="1">
      <w:start w:val="1"/>
      <w:numFmt w:val="bullet"/>
      <w:lvlText w:val=""/>
      <w:lvlJc w:val="left"/>
      <w:pPr>
        <w:tabs>
          <w:tab w:val="num" w:pos="2880"/>
        </w:tabs>
        <w:ind w:left="2880" w:hanging="360"/>
      </w:pPr>
      <w:rPr>
        <w:rFonts w:ascii="Wingdings" w:hAnsi="Wingdings" w:hint="default"/>
      </w:rPr>
    </w:lvl>
    <w:lvl w:ilvl="4" w:tplc="7E52A97E" w:tentative="1">
      <w:start w:val="1"/>
      <w:numFmt w:val="bullet"/>
      <w:lvlText w:val=""/>
      <w:lvlJc w:val="left"/>
      <w:pPr>
        <w:tabs>
          <w:tab w:val="num" w:pos="3600"/>
        </w:tabs>
        <w:ind w:left="3600" w:hanging="360"/>
      </w:pPr>
      <w:rPr>
        <w:rFonts w:ascii="Wingdings" w:hAnsi="Wingdings" w:hint="default"/>
      </w:rPr>
    </w:lvl>
    <w:lvl w:ilvl="5" w:tplc="FB2EC146" w:tentative="1">
      <w:start w:val="1"/>
      <w:numFmt w:val="bullet"/>
      <w:lvlText w:val=""/>
      <w:lvlJc w:val="left"/>
      <w:pPr>
        <w:tabs>
          <w:tab w:val="num" w:pos="4320"/>
        </w:tabs>
        <w:ind w:left="4320" w:hanging="360"/>
      </w:pPr>
      <w:rPr>
        <w:rFonts w:ascii="Wingdings" w:hAnsi="Wingdings" w:hint="default"/>
      </w:rPr>
    </w:lvl>
    <w:lvl w:ilvl="6" w:tplc="145E9B32" w:tentative="1">
      <w:start w:val="1"/>
      <w:numFmt w:val="bullet"/>
      <w:lvlText w:val=""/>
      <w:lvlJc w:val="left"/>
      <w:pPr>
        <w:tabs>
          <w:tab w:val="num" w:pos="5040"/>
        </w:tabs>
        <w:ind w:left="5040" w:hanging="360"/>
      </w:pPr>
      <w:rPr>
        <w:rFonts w:ascii="Wingdings" w:hAnsi="Wingdings" w:hint="default"/>
      </w:rPr>
    </w:lvl>
    <w:lvl w:ilvl="7" w:tplc="66F06B54" w:tentative="1">
      <w:start w:val="1"/>
      <w:numFmt w:val="bullet"/>
      <w:lvlText w:val=""/>
      <w:lvlJc w:val="left"/>
      <w:pPr>
        <w:tabs>
          <w:tab w:val="num" w:pos="5760"/>
        </w:tabs>
        <w:ind w:left="5760" w:hanging="360"/>
      </w:pPr>
      <w:rPr>
        <w:rFonts w:ascii="Wingdings" w:hAnsi="Wingdings" w:hint="default"/>
      </w:rPr>
    </w:lvl>
    <w:lvl w:ilvl="8" w:tplc="E7C045F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1D095D"/>
    <w:multiLevelType w:val="hybridMultilevel"/>
    <w:tmpl w:val="B4941450"/>
    <w:lvl w:ilvl="0" w:tplc="811C9D7C">
      <w:start w:val="1"/>
      <w:numFmt w:val="bullet"/>
      <w:lvlText w:val=""/>
      <w:lvlJc w:val="left"/>
      <w:pPr>
        <w:tabs>
          <w:tab w:val="num" w:pos="720"/>
        </w:tabs>
        <w:ind w:left="720" w:hanging="360"/>
      </w:pPr>
      <w:rPr>
        <w:rFonts w:ascii="Wingdings" w:hAnsi="Wingdings" w:hint="default"/>
      </w:rPr>
    </w:lvl>
    <w:lvl w:ilvl="1" w:tplc="2F2ACC26" w:tentative="1">
      <w:start w:val="1"/>
      <w:numFmt w:val="bullet"/>
      <w:lvlText w:val=""/>
      <w:lvlJc w:val="left"/>
      <w:pPr>
        <w:tabs>
          <w:tab w:val="num" w:pos="1440"/>
        </w:tabs>
        <w:ind w:left="1440" w:hanging="360"/>
      </w:pPr>
      <w:rPr>
        <w:rFonts w:ascii="Wingdings" w:hAnsi="Wingdings" w:hint="default"/>
      </w:rPr>
    </w:lvl>
    <w:lvl w:ilvl="2" w:tplc="5192B6A0" w:tentative="1">
      <w:start w:val="1"/>
      <w:numFmt w:val="bullet"/>
      <w:lvlText w:val=""/>
      <w:lvlJc w:val="left"/>
      <w:pPr>
        <w:tabs>
          <w:tab w:val="num" w:pos="2160"/>
        </w:tabs>
        <w:ind w:left="2160" w:hanging="360"/>
      </w:pPr>
      <w:rPr>
        <w:rFonts w:ascii="Wingdings" w:hAnsi="Wingdings" w:hint="default"/>
      </w:rPr>
    </w:lvl>
    <w:lvl w:ilvl="3" w:tplc="C98EE8D8" w:tentative="1">
      <w:start w:val="1"/>
      <w:numFmt w:val="bullet"/>
      <w:lvlText w:val=""/>
      <w:lvlJc w:val="left"/>
      <w:pPr>
        <w:tabs>
          <w:tab w:val="num" w:pos="2880"/>
        </w:tabs>
        <w:ind w:left="2880" w:hanging="360"/>
      </w:pPr>
      <w:rPr>
        <w:rFonts w:ascii="Wingdings" w:hAnsi="Wingdings" w:hint="default"/>
      </w:rPr>
    </w:lvl>
    <w:lvl w:ilvl="4" w:tplc="6306678C" w:tentative="1">
      <w:start w:val="1"/>
      <w:numFmt w:val="bullet"/>
      <w:lvlText w:val=""/>
      <w:lvlJc w:val="left"/>
      <w:pPr>
        <w:tabs>
          <w:tab w:val="num" w:pos="3600"/>
        </w:tabs>
        <w:ind w:left="3600" w:hanging="360"/>
      </w:pPr>
      <w:rPr>
        <w:rFonts w:ascii="Wingdings" w:hAnsi="Wingdings" w:hint="default"/>
      </w:rPr>
    </w:lvl>
    <w:lvl w:ilvl="5" w:tplc="EF6EF06E" w:tentative="1">
      <w:start w:val="1"/>
      <w:numFmt w:val="bullet"/>
      <w:lvlText w:val=""/>
      <w:lvlJc w:val="left"/>
      <w:pPr>
        <w:tabs>
          <w:tab w:val="num" w:pos="4320"/>
        </w:tabs>
        <w:ind w:left="4320" w:hanging="360"/>
      </w:pPr>
      <w:rPr>
        <w:rFonts w:ascii="Wingdings" w:hAnsi="Wingdings" w:hint="default"/>
      </w:rPr>
    </w:lvl>
    <w:lvl w:ilvl="6" w:tplc="5818F52C" w:tentative="1">
      <w:start w:val="1"/>
      <w:numFmt w:val="bullet"/>
      <w:lvlText w:val=""/>
      <w:lvlJc w:val="left"/>
      <w:pPr>
        <w:tabs>
          <w:tab w:val="num" w:pos="5040"/>
        </w:tabs>
        <w:ind w:left="5040" w:hanging="360"/>
      </w:pPr>
      <w:rPr>
        <w:rFonts w:ascii="Wingdings" w:hAnsi="Wingdings" w:hint="default"/>
      </w:rPr>
    </w:lvl>
    <w:lvl w:ilvl="7" w:tplc="540A9CD4" w:tentative="1">
      <w:start w:val="1"/>
      <w:numFmt w:val="bullet"/>
      <w:lvlText w:val=""/>
      <w:lvlJc w:val="left"/>
      <w:pPr>
        <w:tabs>
          <w:tab w:val="num" w:pos="5760"/>
        </w:tabs>
        <w:ind w:left="5760" w:hanging="360"/>
      </w:pPr>
      <w:rPr>
        <w:rFonts w:ascii="Wingdings" w:hAnsi="Wingdings" w:hint="default"/>
      </w:rPr>
    </w:lvl>
    <w:lvl w:ilvl="8" w:tplc="F56E3F2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D32776"/>
    <w:multiLevelType w:val="hybridMultilevel"/>
    <w:tmpl w:val="475615A0"/>
    <w:lvl w:ilvl="0" w:tplc="046AD056">
      <w:start w:val="1"/>
      <w:numFmt w:val="bullet"/>
      <w:lvlText w:val=""/>
      <w:lvlJc w:val="left"/>
      <w:pPr>
        <w:tabs>
          <w:tab w:val="num" w:pos="720"/>
        </w:tabs>
        <w:ind w:left="720" w:hanging="360"/>
      </w:pPr>
      <w:rPr>
        <w:rFonts w:ascii="Wingdings" w:hAnsi="Wingdings" w:hint="default"/>
      </w:rPr>
    </w:lvl>
    <w:lvl w:ilvl="1" w:tplc="F5844B74" w:tentative="1">
      <w:start w:val="1"/>
      <w:numFmt w:val="bullet"/>
      <w:lvlText w:val=""/>
      <w:lvlJc w:val="left"/>
      <w:pPr>
        <w:tabs>
          <w:tab w:val="num" w:pos="1440"/>
        </w:tabs>
        <w:ind w:left="1440" w:hanging="360"/>
      </w:pPr>
      <w:rPr>
        <w:rFonts w:ascii="Wingdings" w:hAnsi="Wingdings" w:hint="default"/>
      </w:rPr>
    </w:lvl>
    <w:lvl w:ilvl="2" w:tplc="1CA675AC" w:tentative="1">
      <w:start w:val="1"/>
      <w:numFmt w:val="bullet"/>
      <w:lvlText w:val=""/>
      <w:lvlJc w:val="left"/>
      <w:pPr>
        <w:tabs>
          <w:tab w:val="num" w:pos="2160"/>
        </w:tabs>
        <w:ind w:left="2160" w:hanging="360"/>
      </w:pPr>
      <w:rPr>
        <w:rFonts w:ascii="Wingdings" w:hAnsi="Wingdings" w:hint="default"/>
      </w:rPr>
    </w:lvl>
    <w:lvl w:ilvl="3" w:tplc="C7C8BA00" w:tentative="1">
      <w:start w:val="1"/>
      <w:numFmt w:val="bullet"/>
      <w:lvlText w:val=""/>
      <w:lvlJc w:val="left"/>
      <w:pPr>
        <w:tabs>
          <w:tab w:val="num" w:pos="2880"/>
        </w:tabs>
        <w:ind w:left="2880" w:hanging="360"/>
      </w:pPr>
      <w:rPr>
        <w:rFonts w:ascii="Wingdings" w:hAnsi="Wingdings" w:hint="default"/>
      </w:rPr>
    </w:lvl>
    <w:lvl w:ilvl="4" w:tplc="32BE2442" w:tentative="1">
      <w:start w:val="1"/>
      <w:numFmt w:val="bullet"/>
      <w:lvlText w:val=""/>
      <w:lvlJc w:val="left"/>
      <w:pPr>
        <w:tabs>
          <w:tab w:val="num" w:pos="3600"/>
        </w:tabs>
        <w:ind w:left="3600" w:hanging="360"/>
      </w:pPr>
      <w:rPr>
        <w:rFonts w:ascii="Wingdings" w:hAnsi="Wingdings" w:hint="default"/>
      </w:rPr>
    </w:lvl>
    <w:lvl w:ilvl="5" w:tplc="6E4241B8" w:tentative="1">
      <w:start w:val="1"/>
      <w:numFmt w:val="bullet"/>
      <w:lvlText w:val=""/>
      <w:lvlJc w:val="left"/>
      <w:pPr>
        <w:tabs>
          <w:tab w:val="num" w:pos="4320"/>
        </w:tabs>
        <w:ind w:left="4320" w:hanging="360"/>
      </w:pPr>
      <w:rPr>
        <w:rFonts w:ascii="Wingdings" w:hAnsi="Wingdings" w:hint="default"/>
      </w:rPr>
    </w:lvl>
    <w:lvl w:ilvl="6" w:tplc="AE6858D6" w:tentative="1">
      <w:start w:val="1"/>
      <w:numFmt w:val="bullet"/>
      <w:lvlText w:val=""/>
      <w:lvlJc w:val="left"/>
      <w:pPr>
        <w:tabs>
          <w:tab w:val="num" w:pos="5040"/>
        </w:tabs>
        <w:ind w:left="5040" w:hanging="360"/>
      </w:pPr>
      <w:rPr>
        <w:rFonts w:ascii="Wingdings" w:hAnsi="Wingdings" w:hint="default"/>
      </w:rPr>
    </w:lvl>
    <w:lvl w:ilvl="7" w:tplc="A3962DE2" w:tentative="1">
      <w:start w:val="1"/>
      <w:numFmt w:val="bullet"/>
      <w:lvlText w:val=""/>
      <w:lvlJc w:val="left"/>
      <w:pPr>
        <w:tabs>
          <w:tab w:val="num" w:pos="5760"/>
        </w:tabs>
        <w:ind w:left="5760" w:hanging="360"/>
      </w:pPr>
      <w:rPr>
        <w:rFonts w:ascii="Wingdings" w:hAnsi="Wingdings" w:hint="default"/>
      </w:rPr>
    </w:lvl>
    <w:lvl w:ilvl="8" w:tplc="8056E82A"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7A6E3E"/>
    <w:multiLevelType w:val="hybridMultilevel"/>
    <w:tmpl w:val="29E6C03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2F6738EF"/>
    <w:multiLevelType w:val="hybridMultilevel"/>
    <w:tmpl w:val="DC28A1C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38542C10"/>
    <w:multiLevelType w:val="hybridMultilevel"/>
    <w:tmpl w:val="17242142"/>
    <w:lvl w:ilvl="0" w:tplc="2BE67D16">
      <w:start w:val="1"/>
      <w:numFmt w:val="bullet"/>
      <w:lvlText w:val=""/>
      <w:lvlJc w:val="left"/>
      <w:pPr>
        <w:tabs>
          <w:tab w:val="num" w:pos="720"/>
        </w:tabs>
        <w:ind w:left="720" w:hanging="360"/>
      </w:pPr>
      <w:rPr>
        <w:rFonts w:ascii="Wingdings" w:hAnsi="Wingdings" w:hint="default"/>
      </w:rPr>
    </w:lvl>
    <w:lvl w:ilvl="1" w:tplc="1122B02A" w:tentative="1">
      <w:start w:val="1"/>
      <w:numFmt w:val="bullet"/>
      <w:lvlText w:val=""/>
      <w:lvlJc w:val="left"/>
      <w:pPr>
        <w:tabs>
          <w:tab w:val="num" w:pos="1440"/>
        </w:tabs>
        <w:ind w:left="1440" w:hanging="360"/>
      </w:pPr>
      <w:rPr>
        <w:rFonts w:ascii="Wingdings" w:hAnsi="Wingdings" w:hint="default"/>
      </w:rPr>
    </w:lvl>
    <w:lvl w:ilvl="2" w:tplc="C25AA97E" w:tentative="1">
      <w:start w:val="1"/>
      <w:numFmt w:val="bullet"/>
      <w:lvlText w:val=""/>
      <w:lvlJc w:val="left"/>
      <w:pPr>
        <w:tabs>
          <w:tab w:val="num" w:pos="2160"/>
        </w:tabs>
        <w:ind w:left="2160" w:hanging="360"/>
      </w:pPr>
      <w:rPr>
        <w:rFonts w:ascii="Wingdings" w:hAnsi="Wingdings" w:hint="default"/>
      </w:rPr>
    </w:lvl>
    <w:lvl w:ilvl="3" w:tplc="AFD612DC" w:tentative="1">
      <w:start w:val="1"/>
      <w:numFmt w:val="bullet"/>
      <w:lvlText w:val=""/>
      <w:lvlJc w:val="left"/>
      <w:pPr>
        <w:tabs>
          <w:tab w:val="num" w:pos="2880"/>
        </w:tabs>
        <w:ind w:left="2880" w:hanging="360"/>
      </w:pPr>
      <w:rPr>
        <w:rFonts w:ascii="Wingdings" w:hAnsi="Wingdings" w:hint="default"/>
      </w:rPr>
    </w:lvl>
    <w:lvl w:ilvl="4" w:tplc="EC96ECA0" w:tentative="1">
      <w:start w:val="1"/>
      <w:numFmt w:val="bullet"/>
      <w:lvlText w:val=""/>
      <w:lvlJc w:val="left"/>
      <w:pPr>
        <w:tabs>
          <w:tab w:val="num" w:pos="3600"/>
        </w:tabs>
        <w:ind w:left="3600" w:hanging="360"/>
      </w:pPr>
      <w:rPr>
        <w:rFonts w:ascii="Wingdings" w:hAnsi="Wingdings" w:hint="default"/>
      </w:rPr>
    </w:lvl>
    <w:lvl w:ilvl="5" w:tplc="37E242F6" w:tentative="1">
      <w:start w:val="1"/>
      <w:numFmt w:val="bullet"/>
      <w:lvlText w:val=""/>
      <w:lvlJc w:val="left"/>
      <w:pPr>
        <w:tabs>
          <w:tab w:val="num" w:pos="4320"/>
        </w:tabs>
        <w:ind w:left="4320" w:hanging="360"/>
      </w:pPr>
      <w:rPr>
        <w:rFonts w:ascii="Wingdings" w:hAnsi="Wingdings" w:hint="default"/>
      </w:rPr>
    </w:lvl>
    <w:lvl w:ilvl="6" w:tplc="2CF0378E" w:tentative="1">
      <w:start w:val="1"/>
      <w:numFmt w:val="bullet"/>
      <w:lvlText w:val=""/>
      <w:lvlJc w:val="left"/>
      <w:pPr>
        <w:tabs>
          <w:tab w:val="num" w:pos="5040"/>
        </w:tabs>
        <w:ind w:left="5040" w:hanging="360"/>
      </w:pPr>
      <w:rPr>
        <w:rFonts w:ascii="Wingdings" w:hAnsi="Wingdings" w:hint="default"/>
      </w:rPr>
    </w:lvl>
    <w:lvl w:ilvl="7" w:tplc="A74E0FC4" w:tentative="1">
      <w:start w:val="1"/>
      <w:numFmt w:val="bullet"/>
      <w:lvlText w:val=""/>
      <w:lvlJc w:val="left"/>
      <w:pPr>
        <w:tabs>
          <w:tab w:val="num" w:pos="5760"/>
        </w:tabs>
        <w:ind w:left="5760" w:hanging="360"/>
      </w:pPr>
      <w:rPr>
        <w:rFonts w:ascii="Wingdings" w:hAnsi="Wingdings" w:hint="default"/>
      </w:rPr>
    </w:lvl>
    <w:lvl w:ilvl="8" w:tplc="126E658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45A4A93"/>
    <w:multiLevelType w:val="hybridMultilevel"/>
    <w:tmpl w:val="46BAD57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5A9541F6"/>
    <w:multiLevelType w:val="hybridMultilevel"/>
    <w:tmpl w:val="6E925CA6"/>
    <w:lvl w:ilvl="0" w:tplc="AE1E5854">
      <w:start w:val="1"/>
      <w:numFmt w:val="bullet"/>
      <w:lvlText w:val=""/>
      <w:lvlJc w:val="left"/>
      <w:pPr>
        <w:tabs>
          <w:tab w:val="num" w:pos="720"/>
        </w:tabs>
        <w:ind w:left="720" w:hanging="360"/>
      </w:pPr>
      <w:rPr>
        <w:rFonts w:ascii="Wingdings" w:hAnsi="Wingdings" w:hint="default"/>
      </w:rPr>
    </w:lvl>
    <w:lvl w:ilvl="1" w:tplc="17D46294" w:tentative="1">
      <w:start w:val="1"/>
      <w:numFmt w:val="bullet"/>
      <w:lvlText w:val=""/>
      <w:lvlJc w:val="left"/>
      <w:pPr>
        <w:tabs>
          <w:tab w:val="num" w:pos="1440"/>
        </w:tabs>
        <w:ind w:left="1440" w:hanging="360"/>
      </w:pPr>
      <w:rPr>
        <w:rFonts w:ascii="Wingdings" w:hAnsi="Wingdings" w:hint="default"/>
      </w:rPr>
    </w:lvl>
    <w:lvl w:ilvl="2" w:tplc="67D600D2" w:tentative="1">
      <w:start w:val="1"/>
      <w:numFmt w:val="bullet"/>
      <w:lvlText w:val=""/>
      <w:lvlJc w:val="left"/>
      <w:pPr>
        <w:tabs>
          <w:tab w:val="num" w:pos="2160"/>
        </w:tabs>
        <w:ind w:left="2160" w:hanging="360"/>
      </w:pPr>
      <w:rPr>
        <w:rFonts w:ascii="Wingdings" w:hAnsi="Wingdings" w:hint="default"/>
      </w:rPr>
    </w:lvl>
    <w:lvl w:ilvl="3" w:tplc="EE4ED0B6" w:tentative="1">
      <w:start w:val="1"/>
      <w:numFmt w:val="bullet"/>
      <w:lvlText w:val=""/>
      <w:lvlJc w:val="left"/>
      <w:pPr>
        <w:tabs>
          <w:tab w:val="num" w:pos="2880"/>
        </w:tabs>
        <w:ind w:left="2880" w:hanging="360"/>
      </w:pPr>
      <w:rPr>
        <w:rFonts w:ascii="Wingdings" w:hAnsi="Wingdings" w:hint="default"/>
      </w:rPr>
    </w:lvl>
    <w:lvl w:ilvl="4" w:tplc="92D0B0F4" w:tentative="1">
      <w:start w:val="1"/>
      <w:numFmt w:val="bullet"/>
      <w:lvlText w:val=""/>
      <w:lvlJc w:val="left"/>
      <w:pPr>
        <w:tabs>
          <w:tab w:val="num" w:pos="3600"/>
        </w:tabs>
        <w:ind w:left="3600" w:hanging="360"/>
      </w:pPr>
      <w:rPr>
        <w:rFonts w:ascii="Wingdings" w:hAnsi="Wingdings" w:hint="default"/>
      </w:rPr>
    </w:lvl>
    <w:lvl w:ilvl="5" w:tplc="1ED41E06" w:tentative="1">
      <w:start w:val="1"/>
      <w:numFmt w:val="bullet"/>
      <w:lvlText w:val=""/>
      <w:lvlJc w:val="left"/>
      <w:pPr>
        <w:tabs>
          <w:tab w:val="num" w:pos="4320"/>
        </w:tabs>
        <w:ind w:left="4320" w:hanging="360"/>
      </w:pPr>
      <w:rPr>
        <w:rFonts w:ascii="Wingdings" w:hAnsi="Wingdings" w:hint="default"/>
      </w:rPr>
    </w:lvl>
    <w:lvl w:ilvl="6" w:tplc="19D8C448" w:tentative="1">
      <w:start w:val="1"/>
      <w:numFmt w:val="bullet"/>
      <w:lvlText w:val=""/>
      <w:lvlJc w:val="left"/>
      <w:pPr>
        <w:tabs>
          <w:tab w:val="num" w:pos="5040"/>
        </w:tabs>
        <w:ind w:left="5040" w:hanging="360"/>
      </w:pPr>
      <w:rPr>
        <w:rFonts w:ascii="Wingdings" w:hAnsi="Wingdings" w:hint="default"/>
      </w:rPr>
    </w:lvl>
    <w:lvl w:ilvl="7" w:tplc="B39ABFE8" w:tentative="1">
      <w:start w:val="1"/>
      <w:numFmt w:val="bullet"/>
      <w:lvlText w:val=""/>
      <w:lvlJc w:val="left"/>
      <w:pPr>
        <w:tabs>
          <w:tab w:val="num" w:pos="5760"/>
        </w:tabs>
        <w:ind w:left="5760" w:hanging="360"/>
      </w:pPr>
      <w:rPr>
        <w:rFonts w:ascii="Wingdings" w:hAnsi="Wingdings" w:hint="default"/>
      </w:rPr>
    </w:lvl>
    <w:lvl w:ilvl="8" w:tplc="C86C56B4"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B5925C5"/>
    <w:multiLevelType w:val="hybridMultilevel"/>
    <w:tmpl w:val="676C2304"/>
    <w:lvl w:ilvl="0" w:tplc="A48876B0">
      <w:start w:val="1"/>
      <w:numFmt w:val="bullet"/>
      <w:lvlText w:val=""/>
      <w:lvlJc w:val="left"/>
      <w:pPr>
        <w:tabs>
          <w:tab w:val="num" w:pos="720"/>
        </w:tabs>
        <w:ind w:left="720" w:hanging="360"/>
      </w:pPr>
      <w:rPr>
        <w:rFonts w:ascii="Wingdings" w:hAnsi="Wingdings" w:hint="default"/>
      </w:rPr>
    </w:lvl>
    <w:lvl w:ilvl="1" w:tplc="CC741D6A" w:tentative="1">
      <w:start w:val="1"/>
      <w:numFmt w:val="bullet"/>
      <w:lvlText w:val=""/>
      <w:lvlJc w:val="left"/>
      <w:pPr>
        <w:tabs>
          <w:tab w:val="num" w:pos="1440"/>
        </w:tabs>
        <w:ind w:left="1440" w:hanging="360"/>
      </w:pPr>
      <w:rPr>
        <w:rFonts w:ascii="Wingdings" w:hAnsi="Wingdings" w:hint="default"/>
      </w:rPr>
    </w:lvl>
    <w:lvl w:ilvl="2" w:tplc="DDAA786C" w:tentative="1">
      <w:start w:val="1"/>
      <w:numFmt w:val="bullet"/>
      <w:lvlText w:val=""/>
      <w:lvlJc w:val="left"/>
      <w:pPr>
        <w:tabs>
          <w:tab w:val="num" w:pos="2160"/>
        </w:tabs>
        <w:ind w:left="2160" w:hanging="360"/>
      </w:pPr>
      <w:rPr>
        <w:rFonts w:ascii="Wingdings" w:hAnsi="Wingdings" w:hint="default"/>
      </w:rPr>
    </w:lvl>
    <w:lvl w:ilvl="3" w:tplc="682495BA" w:tentative="1">
      <w:start w:val="1"/>
      <w:numFmt w:val="bullet"/>
      <w:lvlText w:val=""/>
      <w:lvlJc w:val="left"/>
      <w:pPr>
        <w:tabs>
          <w:tab w:val="num" w:pos="2880"/>
        </w:tabs>
        <w:ind w:left="2880" w:hanging="360"/>
      </w:pPr>
      <w:rPr>
        <w:rFonts w:ascii="Wingdings" w:hAnsi="Wingdings" w:hint="default"/>
      </w:rPr>
    </w:lvl>
    <w:lvl w:ilvl="4" w:tplc="A198ABA2" w:tentative="1">
      <w:start w:val="1"/>
      <w:numFmt w:val="bullet"/>
      <w:lvlText w:val=""/>
      <w:lvlJc w:val="left"/>
      <w:pPr>
        <w:tabs>
          <w:tab w:val="num" w:pos="3600"/>
        </w:tabs>
        <w:ind w:left="3600" w:hanging="360"/>
      </w:pPr>
      <w:rPr>
        <w:rFonts w:ascii="Wingdings" w:hAnsi="Wingdings" w:hint="default"/>
      </w:rPr>
    </w:lvl>
    <w:lvl w:ilvl="5" w:tplc="FE44100E" w:tentative="1">
      <w:start w:val="1"/>
      <w:numFmt w:val="bullet"/>
      <w:lvlText w:val=""/>
      <w:lvlJc w:val="left"/>
      <w:pPr>
        <w:tabs>
          <w:tab w:val="num" w:pos="4320"/>
        </w:tabs>
        <w:ind w:left="4320" w:hanging="360"/>
      </w:pPr>
      <w:rPr>
        <w:rFonts w:ascii="Wingdings" w:hAnsi="Wingdings" w:hint="default"/>
      </w:rPr>
    </w:lvl>
    <w:lvl w:ilvl="6" w:tplc="6874B06A" w:tentative="1">
      <w:start w:val="1"/>
      <w:numFmt w:val="bullet"/>
      <w:lvlText w:val=""/>
      <w:lvlJc w:val="left"/>
      <w:pPr>
        <w:tabs>
          <w:tab w:val="num" w:pos="5040"/>
        </w:tabs>
        <w:ind w:left="5040" w:hanging="360"/>
      </w:pPr>
      <w:rPr>
        <w:rFonts w:ascii="Wingdings" w:hAnsi="Wingdings" w:hint="default"/>
      </w:rPr>
    </w:lvl>
    <w:lvl w:ilvl="7" w:tplc="891EE7EE" w:tentative="1">
      <w:start w:val="1"/>
      <w:numFmt w:val="bullet"/>
      <w:lvlText w:val=""/>
      <w:lvlJc w:val="left"/>
      <w:pPr>
        <w:tabs>
          <w:tab w:val="num" w:pos="5760"/>
        </w:tabs>
        <w:ind w:left="5760" w:hanging="360"/>
      </w:pPr>
      <w:rPr>
        <w:rFonts w:ascii="Wingdings" w:hAnsi="Wingdings" w:hint="default"/>
      </w:rPr>
    </w:lvl>
    <w:lvl w:ilvl="8" w:tplc="2AEAB81C"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7C117B7"/>
    <w:multiLevelType w:val="multilevel"/>
    <w:tmpl w:val="B9AA465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68432FE2"/>
    <w:multiLevelType w:val="hybridMultilevel"/>
    <w:tmpl w:val="75BC102C"/>
    <w:lvl w:ilvl="0" w:tplc="EED4005E">
      <w:start w:val="1"/>
      <w:numFmt w:val="bullet"/>
      <w:lvlText w:val=""/>
      <w:lvlJc w:val="left"/>
      <w:pPr>
        <w:tabs>
          <w:tab w:val="num" w:pos="720"/>
        </w:tabs>
        <w:ind w:left="720" w:hanging="360"/>
      </w:pPr>
      <w:rPr>
        <w:rFonts w:ascii="Wingdings 2" w:hAnsi="Wingdings 2" w:hint="default"/>
      </w:rPr>
    </w:lvl>
    <w:lvl w:ilvl="1" w:tplc="7A907A18" w:tentative="1">
      <w:start w:val="1"/>
      <w:numFmt w:val="bullet"/>
      <w:lvlText w:val=""/>
      <w:lvlJc w:val="left"/>
      <w:pPr>
        <w:tabs>
          <w:tab w:val="num" w:pos="1440"/>
        </w:tabs>
        <w:ind w:left="1440" w:hanging="360"/>
      </w:pPr>
      <w:rPr>
        <w:rFonts w:ascii="Wingdings 2" w:hAnsi="Wingdings 2" w:hint="default"/>
      </w:rPr>
    </w:lvl>
    <w:lvl w:ilvl="2" w:tplc="5E984942" w:tentative="1">
      <w:start w:val="1"/>
      <w:numFmt w:val="bullet"/>
      <w:lvlText w:val=""/>
      <w:lvlJc w:val="left"/>
      <w:pPr>
        <w:tabs>
          <w:tab w:val="num" w:pos="2160"/>
        </w:tabs>
        <w:ind w:left="2160" w:hanging="360"/>
      </w:pPr>
      <w:rPr>
        <w:rFonts w:ascii="Wingdings 2" w:hAnsi="Wingdings 2" w:hint="default"/>
      </w:rPr>
    </w:lvl>
    <w:lvl w:ilvl="3" w:tplc="F0BAC972" w:tentative="1">
      <w:start w:val="1"/>
      <w:numFmt w:val="bullet"/>
      <w:lvlText w:val=""/>
      <w:lvlJc w:val="left"/>
      <w:pPr>
        <w:tabs>
          <w:tab w:val="num" w:pos="2880"/>
        </w:tabs>
        <w:ind w:left="2880" w:hanging="360"/>
      </w:pPr>
      <w:rPr>
        <w:rFonts w:ascii="Wingdings 2" w:hAnsi="Wingdings 2" w:hint="default"/>
      </w:rPr>
    </w:lvl>
    <w:lvl w:ilvl="4" w:tplc="D868A906" w:tentative="1">
      <w:start w:val="1"/>
      <w:numFmt w:val="bullet"/>
      <w:lvlText w:val=""/>
      <w:lvlJc w:val="left"/>
      <w:pPr>
        <w:tabs>
          <w:tab w:val="num" w:pos="3600"/>
        </w:tabs>
        <w:ind w:left="3600" w:hanging="360"/>
      </w:pPr>
      <w:rPr>
        <w:rFonts w:ascii="Wingdings 2" w:hAnsi="Wingdings 2" w:hint="default"/>
      </w:rPr>
    </w:lvl>
    <w:lvl w:ilvl="5" w:tplc="EAC4EDFE" w:tentative="1">
      <w:start w:val="1"/>
      <w:numFmt w:val="bullet"/>
      <w:lvlText w:val=""/>
      <w:lvlJc w:val="left"/>
      <w:pPr>
        <w:tabs>
          <w:tab w:val="num" w:pos="4320"/>
        </w:tabs>
        <w:ind w:left="4320" w:hanging="360"/>
      </w:pPr>
      <w:rPr>
        <w:rFonts w:ascii="Wingdings 2" w:hAnsi="Wingdings 2" w:hint="default"/>
      </w:rPr>
    </w:lvl>
    <w:lvl w:ilvl="6" w:tplc="E7761F38" w:tentative="1">
      <w:start w:val="1"/>
      <w:numFmt w:val="bullet"/>
      <w:lvlText w:val=""/>
      <w:lvlJc w:val="left"/>
      <w:pPr>
        <w:tabs>
          <w:tab w:val="num" w:pos="5040"/>
        </w:tabs>
        <w:ind w:left="5040" w:hanging="360"/>
      </w:pPr>
      <w:rPr>
        <w:rFonts w:ascii="Wingdings 2" w:hAnsi="Wingdings 2" w:hint="default"/>
      </w:rPr>
    </w:lvl>
    <w:lvl w:ilvl="7" w:tplc="1486ABC0" w:tentative="1">
      <w:start w:val="1"/>
      <w:numFmt w:val="bullet"/>
      <w:lvlText w:val=""/>
      <w:lvlJc w:val="left"/>
      <w:pPr>
        <w:tabs>
          <w:tab w:val="num" w:pos="5760"/>
        </w:tabs>
        <w:ind w:left="5760" w:hanging="360"/>
      </w:pPr>
      <w:rPr>
        <w:rFonts w:ascii="Wingdings 2" w:hAnsi="Wingdings 2" w:hint="default"/>
      </w:rPr>
    </w:lvl>
    <w:lvl w:ilvl="8" w:tplc="501A7C0A" w:tentative="1">
      <w:start w:val="1"/>
      <w:numFmt w:val="bullet"/>
      <w:lvlText w:val=""/>
      <w:lvlJc w:val="left"/>
      <w:pPr>
        <w:tabs>
          <w:tab w:val="num" w:pos="6480"/>
        </w:tabs>
        <w:ind w:left="6480" w:hanging="360"/>
      </w:pPr>
      <w:rPr>
        <w:rFonts w:ascii="Wingdings 2" w:hAnsi="Wingdings 2" w:hint="default"/>
      </w:rPr>
    </w:lvl>
  </w:abstractNum>
  <w:abstractNum w:abstractNumId="11" w15:restartNumberingAfterBreak="0">
    <w:nsid w:val="71046EE1"/>
    <w:multiLevelType w:val="hybridMultilevel"/>
    <w:tmpl w:val="E5B637FC"/>
    <w:lvl w:ilvl="0" w:tplc="4134EBA2">
      <w:start w:val="1"/>
      <w:numFmt w:val="bullet"/>
      <w:lvlText w:val=""/>
      <w:lvlJc w:val="left"/>
      <w:pPr>
        <w:tabs>
          <w:tab w:val="num" w:pos="720"/>
        </w:tabs>
        <w:ind w:left="720" w:hanging="360"/>
      </w:pPr>
      <w:rPr>
        <w:rFonts w:ascii="Wingdings" w:hAnsi="Wingdings" w:hint="default"/>
      </w:rPr>
    </w:lvl>
    <w:lvl w:ilvl="1" w:tplc="55C873EE" w:tentative="1">
      <w:start w:val="1"/>
      <w:numFmt w:val="bullet"/>
      <w:lvlText w:val=""/>
      <w:lvlJc w:val="left"/>
      <w:pPr>
        <w:tabs>
          <w:tab w:val="num" w:pos="1440"/>
        </w:tabs>
        <w:ind w:left="1440" w:hanging="360"/>
      </w:pPr>
      <w:rPr>
        <w:rFonts w:ascii="Wingdings" w:hAnsi="Wingdings" w:hint="default"/>
      </w:rPr>
    </w:lvl>
    <w:lvl w:ilvl="2" w:tplc="DC64A1CC" w:tentative="1">
      <w:start w:val="1"/>
      <w:numFmt w:val="bullet"/>
      <w:lvlText w:val=""/>
      <w:lvlJc w:val="left"/>
      <w:pPr>
        <w:tabs>
          <w:tab w:val="num" w:pos="2160"/>
        </w:tabs>
        <w:ind w:left="2160" w:hanging="360"/>
      </w:pPr>
      <w:rPr>
        <w:rFonts w:ascii="Wingdings" w:hAnsi="Wingdings" w:hint="default"/>
      </w:rPr>
    </w:lvl>
    <w:lvl w:ilvl="3" w:tplc="99C6B834" w:tentative="1">
      <w:start w:val="1"/>
      <w:numFmt w:val="bullet"/>
      <w:lvlText w:val=""/>
      <w:lvlJc w:val="left"/>
      <w:pPr>
        <w:tabs>
          <w:tab w:val="num" w:pos="2880"/>
        </w:tabs>
        <w:ind w:left="2880" w:hanging="360"/>
      </w:pPr>
      <w:rPr>
        <w:rFonts w:ascii="Wingdings" w:hAnsi="Wingdings" w:hint="default"/>
      </w:rPr>
    </w:lvl>
    <w:lvl w:ilvl="4" w:tplc="36D888C4" w:tentative="1">
      <w:start w:val="1"/>
      <w:numFmt w:val="bullet"/>
      <w:lvlText w:val=""/>
      <w:lvlJc w:val="left"/>
      <w:pPr>
        <w:tabs>
          <w:tab w:val="num" w:pos="3600"/>
        </w:tabs>
        <w:ind w:left="3600" w:hanging="360"/>
      </w:pPr>
      <w:rPr>
        <w:rFonts w:ascii="Wingdings" w:hAnsi="Wingdings" w:hint="default"/>
      </w:rPr>
    </w:lvl>
    <w:lvl w:ilvl="5" w:tplc="606C99DC" w:tentative="1">
      <w:start w:val="1"/>
      <w:numFmt w:val="bullet"/>
      <w:lvlText w:val=""/>
      <w:lvlJc w:val="left"/>
      <w:pPr>
        <w:tabs>
          <w:tab w:val="num" w:pos="4320"/>
        </w:tabs>
        <w:ind w:left="4320" w:hanging="360"/>
      </w:pPr>
      <w:rPr>
        <w:rFonts w:ascii="Wingdings" w:hAnsi="Wingdings" w:hint="default"/>
      </w:rPr>
    </w:lvl>
    <w:lvl w:ilvl="6" w:tplc="FD3C73F8" w:tentative="1">
      <w:start w:val="1"/>
      <w:numFmt w:val="bullet"/>
      <w:lvlText w:val=""/>
      <w:lvlJc w:val="left"/>
      <w:pPr>
        <w:tabs>
          <w:tab w:val="num" w:pos="5040"/>
        </w:tabs>
        <w:ind w:left="5040" w:hanging="360"/>
      </w:pPr>
      <w:rPr>
        <w:rFonts w:ascii="Wingdings" w:hAnsi="Wingdings" w:hint="default"/>
      </w:rPr>
    </w:lvl>
    <w:lvl w:ilvl="7" w:tplc="61BAAF06" w:tentative="1">
      <w:start w:val="1"/>
      <w:numFmt w:val="bullet"/>
      <w:lvlText w:val=""/>
      <w:lvlJc w:val="left"/>
      <w:pPr>
        <w:tabs>
          <w:tab w:val="num" w:pos="5760"/>
        </w:tabs>
        <w:ind w:left="5760" w:hanging="360"/>
      </w:pPr>
      <w:rPr>
        <w:rFonts w:ascii="Wingdings" w:hAnsi="Wingdings" w:hint="default"/>
      </w:rPr>
    </w:lvl>
    <w:lvl w:ilvl="8" w:tplc="190673E8"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
  </w:num>
  <w:num w:numId="3">
    <w:abstractNumId w:val="0"/>
  </w:num>
  <w:num w:numId="4">
    <w:abstractNumId w:val="4"/>
  </w:num>
  <w:num w:numId="5">
    <w:abstractNumId w:val="6"/>
  </w:num>
  <w:num w:numId="6">
    <w:abstractNumId w:val="10"/>
  </w:num>
  <w:num w:numId="7">
    <w:abstractNumId w:val="11"/>
  </w:num>
  <w:num w:numId="8">
    <w:abstractNumId w:val="3"/>
  </w:num>
  <w:num w:numId="9">
    <w:abstractNumId w:val="1"/>
  </w:num>
  <w:num w:numId="10">
    <w:abstractNumId w:val="5"/>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64AB"/>
    <w:rsid w:val="00014D22"/>
    <w:rsid w:val="000203E3"/>
    <w:rsid w:val="00031E2C"/>
    <w:rsid w:val="0009670B"/>
    <w:rsid w:val="000A0981"/>
    <w:rsid w:val="000A4A31"/>
    <w:rsid w:val="000F592F"/>
    <w:rsid w:val="001040D8"/>
    <w:rsid w:val="00122EBD"/>
    <w:rsid w:val="001947FD"/>
    <w:rsid w:val="001F38F5"/>
    <w:rsid w:val="00207413"/>
    <w:rsid w:val="00226CC7"/>
    <w:rsid w:val="00233ECA"/>
    <w:rsid w:val="002616E3"/>
    <w:rsid w:val="00262A28"/>
    <w:rsid w:val="00264C6A"/>
    <w:rsid w:val="002C64AB"/>
    <w:rsid w:val="002D4696"/>
    <w:rsid w:val="002F50E3"/>
    <w:rsid w:val="003449C2"/>
    <w:rsid w:val="0035386F"/>
    <w:rsid w:val="0036162A"/>
    <w:rsid w:val="003C6578"/>
    <w:rsid w:val="00442392"/>
    <w:rsid w:val="004509E5"/>
    <w:rsid w:val="004624A8"/>
    <w:rsid w:val="00465346"/>
    <w:rsid w:val="00473815"/>
    <w:rsid w:val="005E2B68"/>
    <w:rsid w:val="005E4473"/>
    <w:rsid w:val="0064479D"/>
    <w:rsid w:val="006A57A2"/>
    <w:rsid w:val="006D7CC2"/>
    <w:rsid w:val="006F62F8"/>
    <w:rsid w:val="007164E6"/>
    <w:rsid w:val="007447CC"/>
    <w:rsid w:val="00784118"/>
    <w:rsid w:val="00792C91"/>
    <w:rsid w:val="007E1340"/>
    <w:rsid w:val="007F74DC"/>
    <w:rsid w:val="00887FAF"/>
    <w:rsid w:val="008B5BD3"/>
    <w:rsid w:val="008C36C6"/>
    <w:rsid w:val="008F1733"/>
    <w:rsid w:val="0094468F"/>
    <w:rsid w:val="00980534"/>
    <w:rsid w:val="009E114D"/>
    <w:rsid w:val="009E75ED"/>
    <w:rsid w:val="00A01436"/>
    <w:rsid w:val="00A12FDC"/>
    <w:rsid w:val="00A141D7"/>
    <w:rsid w:val="00A50DE7"/>
    <w:rsid w:val="00AA391C"/>
    <w:rsid w:val="00AC60AB"/>
    <w:rsid w:val="00AF5F55"/>
    <w:rsid w:val="00B50D89"/>
    <w:rsid w:val="00B53577"/>
    <w:rsid w:val="00B7434C"/>
    <w:rsid w:val="00B9086D"/>
    <w:rsid w:val="00BB25F5"/>
    <w:rsid w:val="00BB6B4E"/>
    <w:rsid w:val="00BD619C"/>
    <w:rsid w:val="00C03B99"/>
    <w:rsid w:val="00C14E02"/>
    <w:rsid w:val="00C23220"/>
    <w:rsid w:val="00C47DCB"/>
    <w:rsid w:val="00C766CE"/>
    <w:rsid w:val="00C907E8"/>
    <w:rsid w:val="00C932A0"/>
    <w:rsid w:val="00C95BCC"/>
    <w:rsid w:val="00CD4AFF"/>
    <w:rsid w:val="00D274B3"/>
    <w:rsid w:val="00D3011E"/>
    <w:rsid w:val="00D53801"/>
    <w:rsid w:val="00D53D00"/>
    <w:rsid w:val="00DB199B"/>
    <w:rsid w:val="00E101C2"/>
    <w:rsid w:val="00E1209E"/>
    <w:rsid w:val="00E168E2"/>
    <w:rsid w:val="00E31BB5"/>
    <w:rsid w:val="00E64626"/>
    <w:rsid w:val="00E84D72"/>
    <w:rsid w:val="00E91D04"/>
    <w:rsid w:val="00E93E45"/>
    <w:rsid w:val="00EA57F4"/>
    <w:rsid w:val="00EE30B6"/>
    <w:rsid w:val="00EF2134"/>
    <w:rsid w:val="00EF4532"/>
    <w:rsid w:val="00F10AD8"/>
    <w:rsid w:val="00FD6BD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3C120"/>
  <w15:docId w15:val="{1CAD6287-F1F5-4534-B222-BE6B9ECE7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64AB"/>
    <w:pPr>
      <w:spacing w:line="240" w:lineRule="auto"/>
    </w:pPr>
    <w:rPr>
      <w:rFonts w:ascii="Cambria" w:eastAsia="Cambria" w:hAnsi="Cambria" w:cs="Times New Roman"/>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nhideWhenUsed/>
    <w:rsid w:val="00B9086D"/>
    <w:pPr>
      <w:spacing w:after="0"/>
    </w:pPr>
    <w:rPr>
      <w:sz w:val="20"/>
      <w:szCs w:val="20"/>
    </w:rPr>
  </w:style>
  <w:style w:type="character" w:customStyle="1" w:styleId="TextonotapieCar">
    <w:name w:val="Texto nota pie Car"/>
    <w:basedOn w:val="Fuentedeprrafopredeter"/>
    <w:link w:val="Textonotapie"/>
    <w:rsid w:val="00B9086D"/>
    <w:rPr>
      <w:rFonts w:ascii="Cambria" w:eastAsia="Cambria" w:hAnsi="Cambria" w:cs="Times New Roman"/>
      <w:sz w:val="20"/>
      <w:szCs w:val="20"/>
      <w:lang w:val="es-ES_tradnl"/>
    </w:rPr>
  </w:style>
  <w:style w:type="character" w:styleId="Refdenotaalpie">
    <w:name w:val="footnote reference"/>
    <w:basedOn w:val="Fuentedeprrafopredeter"/>
    <w:unhideWhenUsed/>
    <w:rsid w:val="00B9086D"/>
    <w:rPr>
      <w:vertAlign w:val="superscript"/>
    </w:rPr>
  </w:style>
  <w:style w:type="paragraph" w:styleId="NormalWeb">
    <w:name w:val="Normal (Web)"/>
    <w:basedOn w:val="Normal"/>
    <w:uiPriority w:val="99"/>
    <w:unhideWhenUsed/>
    <w:rsid w:val="00B9086D"/>
    <w:pPr>
      <w:spacing w:before="100" w:beforeAutospacing="1" w:after="100" w:afterAutospacing="1"/>
    </w:pPr>
    <w:rPr>
      <w:rFonts w:ascii="Times New Roman" w:eastAsia="Times New Roman" w:hAnsi="Times New Roman"/>
      <w:lang w:val="es-CL" w:eastAsia="es-CL"/>
    </w:rPr>
  </w:style>
  <w:style w:type="paragraph" w:styleId="Prrafodelista">
    <w:name w:val="List Paragraph"/>
    <w:basedOn w:val="Normal"/>
    <w:uiPriority w:val="34"/>
    <w:qFormat/>
    <w:rsid w:val="008B5BD3"/>
    <w:pPr>
      <w:spacing w:after="0"/>
      <w:ind w:left="720"/>
      <w:contextualSpacing/>
    </w:pPr>
    <w:rPr>
      <w:rFonts w:ascii="Times New Roman" w:eastAsia="Times New Roman" w:hAnsi="Times New Roman"/>
      <w:lang w:val="es-CL" w:eastAsia="es-CL"/>
    </w:rPr>
  </w:style>
  <w:style w:type="paragraph" w:styleId="Encabezado">
    <w:name w:val="header"/>
    <w:basedOn w:val="Normal"/>
    <w:link w:val="EncabezadoCar"/>
    <w:uiPriority w:val="99"/>
    <w:unhideWhenUsed/>
    <w:rsid w:val="002D4696"/>
    <w:pPr>
      <w:tabs>
        <w:tab w:val="center" w:pos="4419"/>
        <w:tab w:val="right" w:pos="8838"/>
      </w:tabs>
      <w:spacing w:after="0"/>
    </w:pPr>
  </w:style>
  <w:style w:type="character" w:customStyle="1" w:styleId="EncabezadoCar">
    <w:name w:val="Encabezado Car"/>
    <w:basedOn w:val="Fuentedeprrafopredeter"/>
    <w:link w:val="Encabezado"/>
    <w:uiPriority w:val="99"/>
    <w:rsid w:val="002D4696"/>
    <w:rPr>
      <w:rFonts w:ascii="Cambria" w:eastAsia="Cambria" w:hAnsi="Cambria" w:cs="Times New Roman"/>
      <w:sz w:val="24"/>
      <w:szCs w:val="24"/>
      <w:lang w:val="es-ES_tradnl"/>
    </w:rPr>
  </w:style>
  <w:style w:type="paragraph" w:styleId="Piedepgina">
    <w:name w:val="footer"/>
    <w:basedOn w:val="Normal"/>
    <w:link w:val="PiedepginaCar"/>
    <w:uiPriority w:val="99"/>
    <w:unhideWhenUsed/>
    <w:rsid w:val="002D4696"/>
    <w:pPr>
      <w:tabs>
        <w:tab w:val="center" w:pos="4419"/>
        <w:tab w:val="right" w:pos="8838"/>
      </w:tabs>
      <w:spacing w:after="0"/>
    </w:pPr>
  </w:style>
  <w:style w:type="character" w:customStyle="1" w:styleId="PiedepginaCar">
    <w:name w:val="Pie de página Car"/>
    <w:basedOn w:val="Fuentedeprrafopredeter"/>
    <w:link w:val="Piedepgina"/>
    <w:uiPriority w:val="99"/>
    <w:rsid w:val="002D4696"/>
    <w:rPr>
      <w:rFonts w:ascii="Cambria" w:eastAsia="Cambria" w:hAnsi="Cambria" w:cs="Times New Roman"/>
      <w:sz w:val="24"/>
      <w:szCs w:val="24"/>
      <w:lang w:val="es-ES_tradnl"/>
    </w:rPr>
  </w:style>
  <w:style w:type="paragraph" w:styleId="Textodeglobo">
    <w:name w:val="Balloon Text"/>
    <w:basedOn w:val="Normal"/>
    <w:link w:val="TextodegloboCar"/>
    <w:uiPriority w:val="99"/>
    <w:semiHidden/>
    <w:unhideWhenUsed/>
    <w:rsid w:val="002D4696"/>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D4696"/>
    <w:rPr>
      <w:rFonts w:ascii="Tahoma" w:eastAsia="Cambria" w:hAnsi="Tahoma" w:cs="Tahoma"/>
      <w:sz w:val="16"/>
      <w:szCs w:val="16"/>
      <w:lang w:val="es-ES_tradnl"/>
    </w:rPr>
  </w:style>
  <w:style w:type="character" w:customStyle="1" w:styleId="apple-converted-space">
    <w:name w:val="apple-converted-space"/>
    <w:basedOn w:val="Fuentedeprrafopredeter"/>
    <w:rsid w:val="00264C6A"/>
  </w:style>
  <w:style w:type="character" w:styleId="Hipervnculo">
    <w:name w:val="Hyperlink"/>
    <w:basedOn w:val="Fuentedeprrafopredeter"/>
    <w:uiPriority w:val="99"/>
    <w:unhideWhenUsed/>
    <w:rsid w:val="00264C6A"/>
    <w:rPr>
      <w:color w:val="0000FF"/>
      <w:u w:val="single"/>
    </w:rPr>
  </w:style>
  <w:style w:type="character" w:customStyle="1" w:styleId="article-title">
    <w:name w:val="article-title"/>
    <w:basedOn w:val="Fuentedeprrafopredeter"/>
    <w:rsid w:val="00E93E45"/>
  </w:style>
  <w:style w:type="paragraph" w:styleId="Sinespaciado">
    <w:name w:val="No Spacing"/>
    <w:uiPriority w:val="1"/>
    <w:qFormat/>
    <w:rsid w:val="006A57A2"/>
    <w:pPr>
      <w:tabs>
        <w:tab w:val="left" w:pos="2835"/>
      </w:tabs>
      <w:spacing w:after="0" w:line="240" w:lineRule="auto"/>
      <w:jc w:val="both"/>
    </w:pPr>
    <w:rPr>
      <w:rFonts w:ascii="Arial" w:eastAsia="Times New Roman" w:hAnsi="Arial" w:cs="Times New Roman"/>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49808">
      <w:bodyDiv w:val="1"/>
      <w:marLeft w:val="0"/>
      <w:marRight w:val="0"/>
      <w:marTop w:val="0"/>
      <w:marBottom w:val="0"/>
      <w:divBdr>
        <w:top w:val="none" w:sz="0" w:space="0" w:color="auto"/>
        <w:left w:val="none" w:sz="0" w:space="0" w:color="auto"/>
        <w:bottom w:val="none" w:sz="0" w:space="0" w:color="auto"/>
        <w:right w:val="none" w:sz="0" w:space="0" w:color="auto"/>
      </w:divBdr>
    </w:div>
    <w:div w:id="105542841">
      <w:bodyDiv w:val="1"/>
      <w:marLeft w:val="0"/>
      <w:marRight w:val="0"/>
      <w:marTop w:val="0"/>
      <w:marBottom w:val="0"/>
      <w:divBdr>
        <w:top w:val="none" w:sz="0" w:space="0" w:color="auto"/>
        <w:left w:val="none" w:sz="0" w:space="0" w:color="auto"/>
        <w:bottom w:val="none" w:sz="0" w:space="0" w:color="auto"/>
        <w:right w:val="none" w:sz="0" w:space="0" w:color="auto"/>
      </w:divBdr>
      <w:divsChild>
        <w:div w:id="158542594">
          <w:marLeft w:val="547"/>
          <w:marRight w:val="0"/>
          <w:marTop w:val="91"/>
          <w:marBottom w:val="0"/>
          <w:divBdr>
            <w:top w:val="none" w:sz="0" w:space="0" w:color="auto"/>
            <w:left w:val="none" w:sz="0" w:space="0" w:color="auto"/>
            <w:bottom w:val="none" w:sz="0" w:space="0" w:color="auto"/>
            <w:right w:val="none" w:sz="0" w:space="0" w:color="auto"/>
          </w:divBdr>
        </w:div>
      </w:divsChild>
    </w:div>
    <w:div w:id="105656479">
      <w:bodyDiv w:val="1"/>
      <w:marLeft w:val="0"/>
      <w:marRight w:val="0"/>
      <w:marTop w:val="0"/>
      <w:marBottom w:val="0"/>
      <w:divBdr>
        <w:top w:val="none" w:sz="0" w:space="0" w:color="auto"/>
        <w:left w:val="none" w:sz="0" w:space="0" w:color="auto"/>
        <w:bottom w:val="none" w:sz="0" w:space="0" w:color="auto"/>
        <w:right w:val="none" w:sz="0" w:space="0" w:color="auto"/>
      </w:divBdr>
      <w:divsChild>
        <w:div w:id="119540960">
          <w:marLeft w:val="547"/>
          <w:marRight w:val="0"/>
          <w:marTop w:val="86"/>
          <w:marBottom w:val="0"/>
          <w:divBdr>
            <w:top w:val="none" w:sz="0" w:space="0" w:color="auto"/>
            <w:left w:val="none" w:sz="0" w:space="0" w:color="auto"/>
            <w:bottom w:val="none" w:sz="0" w:space="0" w:color="auto"/>
            <w:right w:val="none" w:sz="0" w:space="0" w:color="auto"/>
          </w:divBdr>
        </w:div>
      </w:divsChild>
    </w:div>
    <w:div w:id="133835387">
      <w:bodyDiv w:val="1"/>
      <w:marLeft w:val="0"/>
      <w:marRight w:val="0"/>
      <w:marTop w:val="0"/>
      <w:marBottom w:val="0"/>
      <w:divBdr>
        <w:top w:val="none" w:sz="0" w:space="0" w:color="auto"/>
        <w:left w:val="none" w:sz="0" w:space="0" w:color="auto"/>
        <w:bottom w:val="none" w:sz="0" w:space="0" w:color="auto"/>
        <w:right w:val="none" w:sz="0" w:space="0" w:color="auto"/>
      </w:divBdr>
      <w:divsChild>
        <w:div w:id="621349205">
          <w:marLeft w:val="547"/>
          <w:marRight w:val="0"/>
          <w:marTop w:val="96"/>
          <w:marBottom w:val="0"/>
          <w:divBdr>
            <w:top w:val="none" w:sz="0" w:space="0" w:color="auto"/>
            <w:left w:val="none" w:sz="0" w:space="0" w:color="auto"/>
            <w:bottom w:val="none" w:sz="0" w:space="0" w:color="auto"/>
            <w:right w:val="none" w:sz="0" w:space="0" w:color="auto"/>
          </w:divBdr>
        </w:div>
      </w:divsChild>
    </w:div>
    <w:div w:id="705443668">
      <w:bodyDiv w:val="1"/>
      <w:marLeft w:val="0"/>
      <w:marRight w:val="0"/>
      <w:marTop w:val="0"/>
      <w:marBottom w:val="0"/>
      <w:divBdr>
        <w:top w:val="none" w:sz="0" w:space="0" w:color="auto"/>
        <w:left w:val="none" w:sz="0" w:space="0" w:color="auto"/>
        <w:bottom w:val="none" w:sz="0" w:space="0" w:color="auto"/>
        <w:right w:val="none" w:sz="0" w:space="0" w:color="auto"/>
      </w:divBdr>
    </w:div>
    <w:div w:id="840705056">
      <w:bodyDiv w:val="1"/>
      <w:marLeft w:val="0"/>
      <w:marRight w:val="0"/>
      <w:marTop w:val="0"/>
      <w:marBottom w:val="0"/>
      <w:divBdr>
        <w:top w:val="none" w:sz="0" w:space="0" w:color="auto"/>
        <w:left w:val="none" w:sz="0" w:space="0" w:color="auto"/>
        <w:bottom w:val="none" w:sz="0" w:space="0" w:color="auto"/>
        <w:right w:val="none" w:sz="0" w:space="0" w:color="auto"/>
      </w:divBdr>
      <w:divsChild>
        <w:div w:id="855386770">
          <w:marLeft w:val="547"/>
          <w:marRight w:val="0"/>
          <w:marTop w:val="86"/>
          <w:marBottom w:val="0"/>
          <w:divBdr>
            <w:top w:val="none" w:sz="0" w:space="0" w:color="auto"/>
            <w:left w:val="none" w:sz="0" w:space="0" w:color="auto"/>
            <w:bottom w:val="none" w:sz="0" w:space="0" w:color="auto"/>
            <w:right w:val="none" w:sz="0" w:space="0" w:color="auto"/>
          </w:divBdr>
        </w:div>
      </w:divsChild>
    </w:div>
    <w:div w:id="1062563382">
      <w:bodyDiv w:val="1"/>
      <w:marLeft w:val="0"/>
      <w:marRight w:val="0"/>
      <w:marTop w:val="0"/>
      <w:marBottom w:val="0"/>
      <w:divBdr>
        <w:top w:val="none" w:sz="0" w:space="0" w:color="auto"/>
        <w:left w:val="none" w:sz="0" w:space="0" w:color="auto"/>
        <w:bottom w:val="none" w:sz="0" w:space="0" w:color="auto"/>
        <w:right w:val="none" w:sz="0" w:space="0" w:color="auto"/>
      </w:divBdr>
      <w:divsChild>
        <w:div w:id="329915986">
          <w:marLeft w:val="547"/>
          <w:marRight w:val="0"/>
          <w:marTop w:val="120"/>
          <w:marBottom w:val="0"/>
          <w:divBdr>
            <w:top w:val="none" w:sz="0" w:space="0" w:color="auto"/>
            <w:left w:val="none" w:sz="0" w:space="0" w:color="auto"/>
            <w:bottom w:val="none" w:sz="0" w:space="0" w:color="auto"/>
            <w:right w:val="none" w:sz="0" w:space="0" w:color="auto"/>
          </w:divBdr>
        </w:div>
      </w:divsChild>
    </w:div>
    <w:div w:id="1125856166">
      <w:bodyDiv w:val="1"/>
      <w:marLeft w:val="0"/>
      <w:marRight w:val="0"/>
      <w:marTop w:val="0"/>
      <w:marBottom w:val="0"/>
      <w:divBdr>
        <w:top w:val="none" w:sz="0" w:space="0" w:color="auto"/>
        <w:left w:val="none" w:sz="0" w:space="0" w:color="auto"/>
        <w:bottom w:val="none" w:sz="0" w:space="0" w:color="auto"/>
        <w:right w:val="none" w:sz="0" w:space="0" w:color="auto"/>
      </w:divBdr>
      <w:divsChild>
        <w:div w:id="991906139">
          <w:marLeft w:val="547"/>
          <w:marRight w:val="0"/>
          <w:marTop w:val="101"/>
          <w:marBottom w:val="0"/>
          <w:divBdr>
            <w:top w:val="none" w:sz="0" w:space="0" w:color="auto"/>
            <w:left w:val="none" w:sz="0" w:space="0" w:color="auto"/>
            <w:bottom w:val="none" w:sz="0" w:space="0" w:color="auto"/>
            <w:right w:val="none" w:sz="0" w:space="0" w:color="auto"/>
          </w:divBdr>
        </w:div>
      </w:divsChild>
    </w:div>
    <w:div w:id="1251887501">
      <w:bodyDiv w:val="1"/>
      <w:marLeft w:val="0"/>
      <w:marRight w:val="0"/>
      <w:marTop w:val="0"/>
      <w:marBottom w:val="0"/>
      <w:divBdr>
        <w:top w:val="none" w:sz="0" w:space="0" w:color="auto"/>
        <w:left w:val="none" w:sz="0" w:space="0" w:color="auto"/>
        <w:bottom w:val="none" w:sz="0" w:space="0" w:color="auto"/>
        <w:right w:val="none" w:sz="0" w:space="0" w:color="auto"/>
      </w:divBdr>
    </w:div>
    <w:div w:id="1255897872">
      <w:bodyDiv w:val="1"/>
      <w:marLeft w:val="0"/>
      <w:marRight w:val="0"/>
      <w:marTop w:val="0"/>
      <w:marBottom w:val="0"/>
      <w:divBdr>
        <w:top w:val="none" w:sz="0" w:space="0" w:color="auto"/>
        <w:left w:val="none" w:sz="0" w:space="0" w:color="auto"/>
        <w:bottom w:val="none" w:sz="0" w:space="0" w:color="auto"/>
        <w:right w:val="none" w:sz="0" w:space="0" w:color="auto"/>
      </w:divBdr>
      <w:divsChild>
        <w:div w:id="393043706">
          <w:marLeft w:val="547"/>
          <w:marRight w:val="0"/>
          <w:marTop w:val="72"/>
          <w:marBottom w:val="0"/>
          <w:divBdr>
            <w:top w:val="none" w:sz="0" w:space="0" w:color="auto"/>
            <w:left w:val="none" w:sz="0" w:space="0" w:color="auto"/>
            <w:bottom w:val="none" w:sz="0" w:space="0" w:color="auto"/>
            <w:right w:val="none" w:sz="0" w:space="0" w:color="auto"/>
          </w:divBdr>
        </w:div>
      </w:divsChild>
    </w:div>
    <w:div w:id="1397312587">
      <w:bodyDiv w:val="1"/>
      <w:marLeft w:val="0"/>
      <w:marRight w:val="0"/>
      <w:marTop w:val="0"/>
      <w:marBottom w:val="0"/>
      <w:divBdr>
        <w:top w:val="none" w:sz="0" w:space="0" w:color="auto"/>
        <w:left w:val="none" w:sz="0" w:space="0" w:color="auto"/>
        <w:bottom w:val="none" w:sz="0" w:space="0" w:color="auto"/>
        <w:right w:val="none" w:sz="0" w:space="0" w:color="auto"/>
      </w:divBdr>
    </w:div>
    <w:div w:id="1430857668">
      <w:bodyDiv w:val="1"/>
      <w:marLeft w:val="0"/>
      <w:marRight w:val="0"/>
      <w:marTop w:val="0"/>
      <w:marBottom w:val="0"/>
      <w:divBdr>
        <w:top w:val="none" w:sz="0" w:space="0" w:color="auto"/>
        <w:left w:val="none" w:sz="0" w:space="0" w:color="auto"/>
        <w:bottom w:val="none" w:sz="0" w:space="0" w:color="auto"/>
        <w:right w:val="none" w:sz="0" w:space="0" w:color="auto"/>
      </w:divBdr>
      <w:divsChild>
        <w:div w:id="478960334">
          <w:marLeft w:val="576"/>
          <w:marRight w:val="0"/>
          <w:marTop w:val="120"/>
          <w:marBottom w:val="0"/>
          <w:divBdr>
            <w:top w:val="none" w:sz="0" w:space="0" w:color="auto"/>
            <w:left w:val="none" w:sz="0" w:space="0" w:color="auto"/>
            <w:bottom w:val="none" w:sz="0" w:space="0" w:color="auto"/>
            <w:right w:val="none" w:sz="0" w:space="0" w:color="auto"/>
          </w:divBdr>
        </w:div>
        <w:div w:id="1686131753">
          <w:marLeft w:val="576"/>
          <w:marRight w:val="0"/>
          <w:marTop w:val="120"/>
          <w:marBottom w:val="0"/>
          <w:divBdr>
            <w:top w:val="none" w:sz="0" w:space="0" w:color="auto"/>
            <w:left w:val="none" w:sz="0" w:space="0" w:color="auto"/>
            <w:bottom w:val="none" w:sz="0" w:space="0" w:color="auto"/>
            <w:right w:val="none" w:sz="0" w:space="0" w:color="auto"/>
          </w:divBdr>
        </w:div>
      </w:divsChild>
    </w:div>
    <w:div w:id="1794057114">
      <w:bodyDiv w:val="1"/>
      <w:marLeft w:val="0"/>
      <w:marRight w:val="0"/>
      <w:marTop w:val="0"/>
      <w:marBottom w:val="0"/>
      <w:divBdr>
        <w:top w:val="none" w:sz="0" w:space="0" w:color="auto"/>
        <w:left w:val="none" w:sz="0" w:space="0" w:color="auto"/>
        <w:bottom w:val="none" w:sz="0" w:space="0" w:color="auto"/>
        <w:right w:val="none" w:sz="0" w:space="0" w:color="auto"/>
      </w:divBdr>
    </w:div>
    <w:div w:id="1938295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nomasviolenciacontramujeres.cl/wp-content/uploads/2015/11/Tipificar-el-femicidio-un-debate-abierto.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623B40-77E2-4940-B973-C0EF5CF1A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4054</Words>
  <Characters>22301</Characters>
  <Application>Microsoft Office Word</Application>
  <DocSecurity>0</DocSecurity>
  <Lines>185</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mvillegas</dc:creator>
  <cp:lastModifiedBy>Myrna Villegas</cp:lastModifiedBy>
  <cp:revision>3</cp:revision>
  <cp:lastPrinted>2017-04-12T13:05:00Z</cp:lastPrinted>
  <dcterms:created xsi:type="dcterms:W3CDTF">2019-04-03T16:54:00Z</dcterms:created>
  <dcterms:modified xsi:type="dcterms:W3CDTF">2019-04-03T16:56:00Z</dcterms:modified>
</cp:coreProperties>
</file>