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76FE" w14:textId="77777777" w:rsidR="006426E6" w:rsidRPr="00E3535E" w:rsidRDefault="009A46ED" w:rsidP="00E27F44">
      <w:pPr>
        <w:pBdr>
          <w:bottom w:val="single" w:sz="4" w:space="1" w:color="auto"/>
        </w:pBdr>
        <w:spacing w:after="0"/>
        <w:jc w:val="center"/>
        <w:rPr>
          <w:rFonts w:ascii="Trebuchet MS" w:hAnsi="Trebuchet MS"/>
          <w:b/>
          <w:lang w:val="es-ES"/>
        </w:rPr>
      </w:pPr>
      <w:r w:rsidRPr="00E3535E">
        <w:rPr>
          <w:rFonts w:ascii="Trebuchet MS" w:hAnsi="Trebuchet MS"/>
          <w:b/>
          <w:lang w:val="es-ES"/>
        </w:rPr>
        <w:t xml:space="preserve">MINUTA </w:t>
      </w:r>
    </w:p>
    <w:p w14:paraId="2189B1C2" w14:textId="77777777" w:rsidR="00CF4861" w:rsidRPr="00E3535E" w:rsidRDefault="006426E6" w:rsidP="00E27F44">
      <w:pPr>
        <w:pBdr>
          <w:bottom w:val="single" w:sz="4" w:space="1" w:color="auto"/>
        </w:pBdr>
        <w:spacing w:after="0"/>
        <w:jc w:val="center"/>
        <w:rPr>
          <w:rFonts w:ascii="Trebuchet MS" w:hAnsi="Trebuchet MS"/>
          <w:b/>
          <w:lang w:val="es-ES"/>
        </w:rPr>
      </w:pPr>
      <w:r w:rsidRPr="00E3535E">
        <w:rPr>
          <w:rFonts w:ascii="Trebuchet MS" w:hAnsi="Trebuchet MS"/>
          <w:b/>
          <w:lang w:val="es-ES"/>
        </w:rPr>
        <w:t>NUEVO ART.</w:t>
      </w:r>
      <w:r w:rsidR="009A46ED" w:rsidRPr="00E3535E">
        <w:rPr>
          <w:rFonts w:ascii="Trebuchet MS" w:hAnsi="Trebuchet MS"/>
          <w:b/>
          <w:lang w:val="es-ES"/>
        </w:rPr>
        <w:t xml:space="preserve"> 27 </w:t>
      </w:r>
      <w:r w:rsidRPr="00E3535E">
        <w:rPr>
          <w:rFonts w:ascii="Trebuchet MS" w:hAnsi="Trebuchet MS"/>
          <w:b/>
          <w:lang w:val="es-ES"/>
        </w:rPr>
        <w:t>A</w:t>
      </w:r>
      <w:r w:rsidR="009A46ED" w:rsidRPr="00E3535E">
        <w:rPr>
          <w:rFonts w:ascii="Trebuchet MS" w:hAnsi="Trebuchet MS"/>
          <w:b/>
          <w:lang w:val="es-ES"/>
        </w:rPr>
        <w:t xml:space="preserve"> LA LEY CORTA DE PESCA</w:t>
      </w:r>
      <w:r w:rsidRPr="00E3535E">
        <w:rPr>
          <w:rFonts w:ascii="Trebuchet MS" w:hAnsi="Trebuchet MS"/>
          <w:b/>
          <w:lang w:val="es-ES"/>
        </w:rPr>
        <w:t xml:space="preserve"> </w:t>
      </w:r>
    </w:p>
    <w:p w14:paraId="4654B71B" w14:textId="3A7530ED" w:rsidR="00D86B3B" w:rsidRPr="00E3535E" w:rsidRDefault="006426E6" w:rsidP="00E27F44">
      <w:pPr>
        <w:pBdr>
          <w:bottom w:val="single" w:sz="4" w:space="1" w:color="auto"/>
        </w:pBdr>
        <w:spacing w:after="0"/>
        <w:jc w:val="center"/>
        <w:rPr>
          <w:rFonts w:ascii="Trebuchet MS" w:hAnsi="Trebuchet MS"/>
          <w:b/>
          <w:lang w:val="es-ES"/>
        </w:rPr>
      </w:pPr>
      <w:r w:rsidRPr="00E3535E">
        <w:rPr>
          <w:rFonts w:ascii="Trebuchet MS" w:hAnsi="Trebuchet MS"/>
          <w:b/>
          <w:lang w:val="es-ES"/>
        </w:rPr>
        <w:t>(Boletín N° 11.704-21, refundido con 10.190-21, 11.642-21 y 7.926-03)</w:t>
      </w:r>
    </w:p>
    <w:p w14:paraId="3B014F91" w14:textId="77777777" w:rsidR="006426E6" w:rsidRPr="00E3535E" w:rsidRDefault="006426E6" w:rsidP="00E27F44">
      <w:pPr>
        <w:pBdr>
          <w:bottom w:val="single" w:sz="4" w:space="1" w:color="auto"/>
        </w:pBdr>
        <w:spacing w:after="0"/>
        <w:jc w:val="center"/>
        <w:rPr>
          <w:rFonts w:ascii="Trebuchet MS" w:hAnsi="Trebuchet MS"/>
          <w:b/>
          <w:lang w:val="es-ES"/>
        </w:rPr>
      </w:pPr>
      <w:r w:rsidRPr="00E3535E">
        <w:rPr>
          <w:rFonts w:ascii="Trebuchet MS" w:hAnsi="Trebuchet MS"/>
          <w:b/>
          <w:lang w:val="es-ES"/>
        </w:rPr>
        <w:t>Comisión de Intereses Marítimos, Pesca y Acuicultura del Senado</w:t>
      </w:r>
    </w:p>
    <w:p w14:paraId="3C562F77" w14:textId="77777777" w:rsidR="006426E6" w:rsidRPr="00E3535E" w:rsidRDefault="006426E6" w:rsidP="00551AA0">
      <w:pPr>
        <w:spacing w:after="0"/>
        <w:ind w:firstLine="708"/>
        <w:jc w:val="both"/>
        <w:rPr>
          <w:rFonts w:ascii="Trebuchet MS" w:hAnsi="Trebuchet MS"/>
          <w:lang w:val="es-ES"/>
        </w:rPr>
      </w:pPr>
    </w:p>
    <w:p w14:paraId="3CCD739D" w14:textId="7B008C6A" w:rsidR="00E3535E" w:rsidRPr="002B167B" w:rsidRDefault="00E3535E" w:rsidP="00E3535E">
      <w:pPr>
        <w:pStyle w:val="Prrafodelista"/>
        <w:numPr>
          <w:ilvl w:val="0"/>
          <w:numId w:val="1"/>
        </w:numPr>
        <w:spacing w:after="0"/>
        <w:rPr>
          <w:rFonts w:ascii="Trebuchet MS" w:hAnsi="Trebuchet MS"/>
          <w:b/>
          <w:smallCaps/>
          <w:lang w:val="es-ES"/>
        </w:rPr>
      </w:pPr>
      <w:r>
        <w:rPr>
          <w:rFonts w:ascii="Trebuchet MS" w:hAnsi="Trebuchet MS"/>
          <w:b/>
          <w:smallCaps/>
          <w:lang w:val="es-ES"/>
        </w:rPr>
        <w:t xml:space="preserve">Antecedentes </w:t>
      </w:r>
    </w:p>
    <w:p w14:paraId="774F3F31" w14:textId="77777777" w:rsidR="00E3535E" w:rsidRDefault="00E3535E" w:rsidP="00551AA0">
      <w:pPr>
        <w:spacing w:after="0"/>
        <w:ind w:firstLine="708"/>
        <w:jc w:val="both"/>
        <w:rPr>
          <w:rFonts w:ascii="Trebuchet MS" w:hAnsi="Trebuchet MS"/>
          <w:lang w:val="es-ES"/>
        </w:rPr>
      </w:pPr>
    </w:p>
    <w:p w14:paraId="1190609D" w14:textId="38D3CDC9" w:rsidR="0090436E" w:rsidRDefault="0090436E" w:rsidP="00551AA0">
      <w:pPr>
        <w:spacing w:after="0"/>
        <w:ind w:firstLine="708"/>
        <w:jc w:val="both"/>
        <w:rPr>
          <w:rFonts w:ascii="Trebuchet MS" w:hAnsi="Trebuchet MS"/>
          <w:lang w:val="es-ES"/>
        </w:rPr>
      </w:pPr>
      <w:r w:rsidRPr="00E3535E">
        <w:rPr>
          <w:rFonts w:ascii="Trebuchet MS" w:hAnsi="Trebuchet MS"/>
          <w:lang w:val="es-ES"/>
        </w:rPr>
        <w:t>En el marco de la discusión del proyecto de ley que “modifica la Ley General de Pesca y Acuicultura</w:t>
      </w:r>
      <w:r w:rsidRPr="00E3535E">
        <w:rPr>
          <w:rStyle w:val="Refdenotaalpie"/>
          <w:rFonts w:ascii="Trebuchet MS" w:hAnsi="Trebuchet MS"/>
          <w:lang w:val="es-ES"/>
        </w:rPr>
        <w:footnoteReference w:id="1"/>
      </w:r>
      <w:r w:rsidRPr="00E3535E">
        <w:rPr>
          <w:rFonts w:ascii="Trebuchet MS" w:hAnsi="Trebuchet MS"/>
          <w:lang w:val="es-ES"/>
        </w:rPr>
        <w:t xml:space="preserve">, en lo relativo a las licencias transables de pesca e incorpora normas para prevenir la pesca ilegal” (Boletín N° 11.704-21, refundido con 10.190-21, 11.642-21 y 7.926-03), </w:t>
      </w:r>
      <w:r w:rsidR="0054343A">
        <w:rPr>
          <w:rFonts w:ascii="Trebuchet MS" w:hAnsi="Trebuchet MS"/>
          <w:lang w:val="es-ES"/>
        </w:rPr>
        <w:t>se encuentra pendiente la aprobación de uno de los incisos del nuevo artículo 27.</w:t>
      </w:r>
    </w:p>
    <w:p w14:paraId="308A7C0D" w14:textId="446466B5" w:rsidR="0054343A" w:rsidRDefault="0054343A" w:rsidP="00551AA0">
      <w:pPr>
        <w:spacing w:after="0"/>
        <w:ind w:firstLine="708"/>
        <w:jc w:val="both"/>
        <w:rPr>
          <w:rFonts w:ascii="Trebuchet MS" w:hAnsi="Trebuchet MS"/>
          <w:lang w:val="es-ES"/>
        </w:rPr>
      </w:pPr>
    </w:p>
    <w:p w14:paraId="5AC51754" w14:textId="0C1EE252" w:rsidR="0054343A" w:rsidRDefault="0054343A" w:rsidP="00551AA0">
      <w:pPr>
        <w:spacing w:after="0"/>
        <w:ind w:firstLine="708"/>
        <w:jc w:val="both"/>
        <w:rPr>
          <w:rFonts w:ascii="Trebuchet MS" w:hAnsi="Trebuchet MS"/>
          <w:lang w:val="es-ES"/>
        </w:rPr>
      </w:pPr>
      <w:r>
        <w:rPr>
          <w:rFonts w:ascii="Trebuchet MS" w:hAnsi="Trebuchet MS"/>
          <w:lang w:val="es-ES"/>
        </w:rPr>
        <w:t>“</w:t>
      </w:r>
      <w:r w:rsidRPr="0054343A">
        <w:rPr>
          <w:rFonts w:ascii="Trebuchet MS" w:hAnsi="Trebuchet MS"/>
          <w:lang w:val="es-ES"/>
        </w:rPr>
        <w:t>La Subsecretaría aprobará mediante resolución exenta las bases administrativas de la subasta, las que deberán ser remitidas por única vez a la Fiscalía Nacional Económica, para que, en el plazo de treinta días contado desde su recepción, emita un pronunciamiento al respecto, dando cuenta del cumplimiento del objetivo de promoción de la libre competencia establecido en el inciso cuarto del presente artículo. Recogiendo lo anterior, la Subsecretaría elaborará un modelo de Bases de Licitación Tipo, el que incorporará las recomendaciones efectuadas por la Fiscalía Nacional Económica.</w:t>
      </w:r>
      <w:r>
        <w:rPr>
          <w:rFonts w:ascii="Trebuchet MS" w:hAnsi="Trebuchet MS"/>
          <w:lang w:val="es-ES"/>
        </w:rPr>
        <w:t>”</w:t>
      </w:r>
    </w:p>
    <w:p w14:paraId="7FAB597B" w14:textId="77777777" w:rsidR="00756CDA" w:rsidRPr="00E3535E" w:rsidRDefault="00756CDA" w:rsidP="00756CDA">
      <w:pPr>
        <w:spacing w:after="0"/>
        <w:ind w:firstLine="708"/>
        <w:jc w:val="both"/>
        <w:rPr>
          <w:rFonts w:ascii="Trebuchet MS" w:hAnsi="Trebuchet MS"/>
          <w:lang w:val="es-ES"/>
        </w:rPr>
      </w:pPr>
    </w:p>
    <w:p w14:paraId="6B94BE0A" w14:textId="02C54A94" w:rsidR="00756CDA" w:rsidRPr="00E3535E" w:rsidRDefault="00704BD0" w:rsidP="00756CDA">
      <w:pPr>
        <w:spacing w:after="0"/>
        <w:ind w:firstLine="708"/>
        <w:jc w:val="both"/>
        <w:rPr>
          <w:rFonts w:ascii="Trebuchet MS" w:hAnsi="Trebuchet MS"/>
          <w:lang w:val="es-ES"/>
        </w:rPr>
      </w:pPr>
      <w:r w:rsidRPr="00E3535E">
        <w:rPr>
          <w:rFonts w:ascii="Trebuchet MS" w:hAnsi="Trebuchet MS"/>
          <w:lang w:val="es-ES"/>
        </w:rPr>
        <w:t>Sobre este punto</w:t>
      </w:r>
      <w:r w:rsidR="00756CDA" w:rsidRPr="00E3535E">
        <w:rPr>
          <w:rFonts w:ascii="Trebuchet MS" w:hAnsi="Trebuchet MS"/>
          <w:lang w:val="es-ES"/>
        </w:rPr>
        <w:t xml:space="preserve">, </w:t>
      </w:r>
      <w:r w:rsidRPr="00E3535E">
        <w:rPr>
          <w:rFonts w:ascii="Trebuchet MS" w:hAnsi="Trebuchet MS"/>
          <w:lang w:val="es-ES"/>
        </w:rPr>
        <w:t xml:space="preserve">se </w:t>
      </w:r>
      <w:r w:rsidR="0054343A">
        <w:rPr>
          <w:rFonts w:ascii="Trebuchet MS" w:hAnsi="Trebuchet MS"/>
          <w:lang w:val="es-ES"/>
        </w:rPr>
        <w:t>ha discutido el órgano idóneo</w:t>
      </w:r>
      <w:r w:rsidR="00756CDA" w:rsidRPr="00E3535E">
        <w:rPr>
          <w:rFonts w:ascii="Trebuchet MS" w:hAnsi="Trebuchet MS"/>
          <w:lang w:val="es-ES"/>
        </w:rPr>
        <w:t xml:space="preserve"> de la consulta previa de las bases administrativas, </w:t>
      </w:r>
      <w:r w:rsidR="0054343A">
        <w:rPr>
          <w:rFonts w:ascii="Trebuchet MS" w:hAnsi="Trebuchet MS"/>
          <w:lang w:val="es-ES"/>
        </w:rPr>
        <w:t xml:space="preserve">planteando la posibilidad de </w:t>
      </w:r>
      <w:r w:rsidR="00756CDA" w:rsidRPr="00E3535E">
        <w:rPr>
          <w:rFonts w:ascii="Trebuchet MS" w:hAnsi="Trebuchet MS"/>
          <w:lang w:val="es-ES"/>
        </w:rPr>
        <w:t>asign</w:t>
      </w:r>
      <w:r w:rsidR="0054343A">
        <w:rPr>
          <w:rFonts w:ascii="Trebuchet MS" w:hAnsi="Trebuchet MS"/>
          <w:lang w:val="es-ES"/>
        </w:rPr>
        <w:t>ar</w:t>
      </w:r>
      <w:r w:rsidRPr="00E3535E">
        <w:rPr>
          <w:rFonts w:ascii="Trebuchet MS" w:hAnsi="Trebuchet MS"/>
          <w:lang w:val="es-ES"/>
        </w:rPr>
        <w:t xml:space="preserve"> dicha facultad </w:t>
      </w:r>
      <w:r w:rsidR="00756CDA" w:rsidRPr="00E3535E">
        <w:rPr>
          <w:rFonts w:ascii="Trebuchet MS" w:hAnsi="Trebuchet MS"/>
          <w:lang w:val="es-ES"/>
        </w:rPr>
        <w:t xml:space="preserve">al Tribunal de Defensa de la Libre Competencia (“Tribunal” o “TDLC”), en vez de la FNE, por estimar que ésta podría no ser un órgano imparcial, habida cuenta de su </w:t>
      </w:r>
      <w:r w:rsidR="0054343A">
        <w:rPr>
          <w:rFonts w:ascii="Trebuchet MS" w:hAnsi="Trebuchet MS"/>
          <w:lang w:val="es-ES"/>
        </w:rPr>
        <w:t xml:space="preserve">supuesta </w:t>
      </w:r>
      <w:r w:rsidR="00756CDA" w:rsidRPr="00E3535E">
        <w:rPr>
          <w:rFonts w:ascii="Trebuchet MS" w:hAnsi="Trebuchet MS"/>
          <w:lang w:val="es-ES"/>
        </w:rPr>
        <w:t xml:space="preserve">dependencia del Ministerio de Economía, Fomento y Turismo (el “Ministerio”).  </w:t>
      </w:r>
    </w:p>
    <w:p w14:paraId="444B774D" w14:textId="77777777" w:rsidR="009A46ED" w:rsidRPr="00206B37" w:rsidRDefault="009A46ED" w:rsidP="00852393">
      <w:pPr>
        <w:spacing w:after="0"/>
        <w:rPr>
          <w:rFonts w:ascii="Trebuchet MS" w:hAnsi="Trebuchet MS"/>
          <w:lang w:val="es-ES"/>
        </w:rPr>
      </w:pPr>
    </w:p>
    <w:p w14:paraId="1E2C8D95" w14:textId="77777777" w:rsidR="006426E6" w:rsidRPr="00206B37" w:rsidRDefault="006426E6" w:rsidP="006426E6">
      <w:pPr>
        <w:pStyle w:val="Prrafodelista"/>
        <w:numPr>
          <w:ilvl w:val="0"/>
          <w:numId w:val="1"/>
        </w:numPr>
        <w:spacing w:after="0"/>
        <w:rPr>
          <w:rFonts w:ascii="Trebuchet MS" w:hAnsi="Trebuchet MS"/>
          <w:b/>
          <w:smallCaps/>
          <w:lang w:val="es-ES"/>
        </w:rPr>
      </w:pPr>
      <w:r w:rsidRPr="00206B37">
        <w:rPr>
          <w:rFonts w:ascii="Trebuchet MS" w:hAnsi="Trebuchet MS"/>
          <w:b/>
          <w:smallCaps/>
          <w:lang w:val="es-ES"/>
        </w:rPr>
        <w:t xml:space="preserve">Facultades FNE y TDLC </w:t>
      </w:r>
    </w:p>
    <w:p w14:paraId="2E4040FB" w14:textId="77777777" w:rsidR="006426E6" w:rsidRPr="00206B37" w:rsidRDefault="006426E6" w:rsidP="006426E6">
      <w:pPr>
        <w:spacing w:after="0"/>
        <w:jc w:val="both"/>
        <w:rPr>
          <w:rFonts w:ascii="Trebuchet MS" w:hAnsi="Trebuchet MS"/>
          <w:lang w:val="es-ES"/>
        </w:rPr>
      </w:pPr>
      <w:r w:rsidRPr="00206B37">
        <w:rPr>
          <w:rFonts w:ascii="Trebuchet MS" w:hAnsi="Trebuchet MS"/>
          <w:lang w:val="es-ES"/>
        </w:rPr>
        <w:t xml:space="preserve"> </w:t>
      </w:r>
    </w:p>
    <w:p w14:paraId="7209AB55" w14:textId="697B5ACE" w:rsidR="006426E6" w:rsidRPr="00206B37" w:rsidRDefault="006426E6" w:rsidP="006426E6">
      <w:pPr>
        <w:spacing w:after="0"/>
        <w:ind w:firstLine="708"/>
        <w:jc w:val="both"/>
        <w:rPr>
          <w:rFonts w:ascii="Trebuchet MS" w:hAnsi="Trebuchet MS"/>
          <w:lang w:val="es-ES"/>
        </w:rPr>
      </w:pPr>
      <w:r w:rsidRPr="00206B37">
        <w:rPr>
          <w:rFonts w:ascii="Trebuchet MS" w:hAnsi="Trebuchet MS"/>
          <w:lang w:val="es-ES"/>
        </w:rPr>
        <w:t>La institucionalidad de libre competencia en Chile está co</w:t>
      </w:r>
      <w:r w:rsidR="007346A5">
        <w:rPr>
          <w:rFonts w:ascii="Trebuchet MS" w:hAnsi="Trebuchet MS"/>
          <w:lang w:val="es-ES"/>
        </w:rPr>
        <w:t>nformada</w:t>
      </w:r>
      <w:r w:rsidRPr="00206B37">
        <w:rPr>
          <w:rFonts w:ascii="Trebuchet MS" w:hAnsi="Trebuchet MS"/>
          <w:lang w:val="es-ES"/>
        </w:rPr>
        <w:t xml:space="preserve"> por la </w:t>
      </w:r>
      <w:r w:rsidR="00756CDA" w:rsidRPr="00206B37">
        <w:rPr>
          <w:rFonts w:ascii="Trebuchet MS" w:hAnsi="Trebuchet MS"/>
          <w:lang w:val="es-ES"/>
        </w:rPr>
        <w:t>FNE</w:t>
      </w:r>
      <w:r w:rsidRPr="00206B37">
        <w:rPr>
          <w:rFonts w:ascii="Trebuchet MS" w:hAnsi="Trebuchet MS"/>
          <w:lang w:val="es-ES"/>
        </w:rPr>
        <w:t xml:space="preserve">, el </w:t>
      </w:r>
      <w:r w:rsidR="00756CDA" w:rsidRPr="00206B37">
        <w:rPr>
          <w:rFonts w:ascii="Trebuchet MS" w:hAnsi="Trebuchet MS"/>
          <w:lang w:val="es-ES"/>
        </w:rPr>
        <w:t>TDLC</w:t>
      </w:r>
      <w:r w:rsidRPr="00206B37">
        <w:rPr>
          <w:rFonts w:ascii="Trebuchet MS" w:hAnsi="Trebuchet MS"/>
          <w:lang w:val="es-ES"/>
        </w:rPr>
        <w:t xml:space="preserve"> y la Corte Suprema.</w:t>
      </w:r>
      <w:r w:rsidR="00CF0A73" w:rsidRPr="00206B37">
        <w:rPr>
          <w:rFonts w:ascii="Trebuchet MS" w:hAnsi="Trebuchet MS"/>
          <w:lang w:val="es-ES"/>
        </w:rPr>
        <w:t xml:space="preserve"> La normativa aplicable es el DL N° 211, de 1973, cuyo texto refundido, coordinado y sistematizado fue fijado por el DFL N° 1, de 2004, del Ministerio de Economía, Fomento y Turismo (“DL N° 211”).</w:t>
      </w:r>
    </w:p>
    <w:p w14:paraId="77FEC706" w14:textId="77777777" w:rsidR="00756CDA" w:rsidRPr="00206B37" w:rsidRDefault="00756CDA" w:rsidP="00756CDA">
      <w:pPr>
        <w:spacing w:after="0"/>
        <w:rPr>
          <w:rFonts w:ascii="Trebuchet MS" w:hAnsi="Trebuchet MS"/>
          <w:lang w:val="es-ES"/>
        </w:rPr>
      </w:pPr>
    </w:p>
    <w:p w14:paraId="042627CC" w14:textId="77777777" w:rsidR="00756CDA" w:rsidRPr="00206B37" w:rsidRDefault="00756CDA" w:rsidP="00756CDA">
      <w:pPr>
        <w:pStyle w:val="Prrafodelista"/>
        <w:numPr>
          <w:ilvl w:val="0"/>
          <w:numId w:val="2"/>
        </w:numPr>
        <w:spacing w:after="0"/>
        <w:jc w:val="both"/>
        <w:rPr>
          <w:rFonts w:ascii="Trebuchet MS" w:hAnsi="Trebuchet MS"/>
          <w:b/>
          <w:lang w:val="es-ES"/>
        </w:rPr>
      </w:pPr>
      <w:r w:rsidRPr="00206B37">
        <w:rPr>
          <w:rFonts w:ascii="Trebuchet MS" w:hAnsi="Trebuchet MS"/>
          <w:b/>
          <w:lang w:val="es-ES"/>
        </w:rPr>
        <w:t>FNE</w:t>
      </w:r>
    </w:p>
    <w:p w14:paraId="46D15EE7" w14:textId="77777777" w:rsidR="00756CDA" w:rsidRPr="00206B37" w:rsidRDefault="00756CDA" w:rsidP="00756CDA">
      <w:pPr>
        <w:spacing w:after="0"/>
        <w:jc w:val="both"/>
        <w:rPr>
          <w:rFonts w:ascii="Trebuchet MS" w:hAnsi="Trebuchet MS"/>
          <w:lang w:val="es-ES"/>
        </w:rPr>
      </w:pPr>
    </w:p>
    <w:p w14:paraId="69329AAF" w14:textId="7EB9A319" w:rsidR="00756CDA" w:rsidRPr="00206B37" w:rsidRDefault="00756CDA" w:rsidP="00756CDA">
      <w:pPr>
        <w:spacing w:after="0"/>
        <w:ind w:firstLine="708"/>
        <w:jc w:val="both"/>
        <w:rPr>
          <w:rFonts w:ascii="Trebuchet MS" w:hAnsi="Trebuchet MS"/>
          <w:lang w:val="es-ES"/>
        </w:rPr>
      </w:pPr>
      <w:r w:rsidRPr="00206B37">
        <w:rPr>
          <w:rFonts w:ascii="Trebuchet MS" w:hAnsi="Trebuchet MS"/>
          <w:lang w:val="es-ES"/>
        </w:rPr>
        <w:t xml:space="preserve">La FNE es la agencia encargada de defender y promover la libre competencia en todos los mercados o sectores productivos de la economía chilena. Es un servicio público </w:t>
      </w:r>
      <w:r w:rsidRPr="0054343A">
        <w:rPr>
          <w:rFonts w:ascii="Trebuchet MS" w:hAnsi="Trebuchet MS"/>
          <w:u w:val="single"/>
          <w:lang w:val="es-ES"/>
        </w:rPr>
        <w:t xml:space="preserve">descentralizado, con personalidad jurídica y patrimonio propio, independiente de todo organismo o servicio, que se encuentra sometida a la supervigilancia del Presidente de la </w:t>
      </w:r>
      <w:r w:rsidRPr="0054343A">
        <w:rPr>
          <w:rFonts w:ascii="Trebuchet MS" w:hAnsi="Trebuchet MS"/>
          <w:u w:val="single"/>
          <w:lang w:val="es-ES"/>
        </w:rPr>
        <w:lastRenderedPageBreak/>
        <w:t>República a través del Ministerio</w:t>
      </w:r>
      <w:r w:rsidRPr="00206B37">
        <w:rPr>
          <w:rFonts w:ascii="Trebuchet MS" w:hAnsi="Trebuchet MS"/>
          <w:lang w:val="es-ES"/>
        </w:rPr>
        <w:t>. Su dirección corresponde al Fiscal Nacional Económico, quien es nombrado por el Presidente de la República mediante el proceso de selección de altos directivos del sector público. Dura cuatro años en su cargo, pudiendo ser reelegido por un nuevo período.</w:t>
      </w:r>
      <w:r w:rsidR="00CF0A73" w:rsidRPr="00206B37">
        <w:rPr>
          <w:rFonts w:ascii="Trebuchet MS" w:hAnsi="Trebuchet MS"/>
          <w:lang w:val="es-ES"/>
        </w:rPr>
        <w:t xml:space="preserve"> A diferencia de otros cargos nombrados bajo el Sistema de Alta Dirección Pública, el cese de funciones del Fiscal Nacional Económico se rige por las reglas que señala el artículo 33 del DL N° 211, no pudiendo ser libremente removido por el Presidente de la República. </w:t>
      </w:r>
    </w:p>
    <w:p w14:paraId="55651273" w14:textId="77777777" w:rsidR="0090436E" w:rsidRPr="00206B37" w:rsidRDefault="0090436E" w:rsidP="00756CDA">
      <w:pPr>
        <w:spacing w:after="0"/>
        <w:ind w:firstLine="708"/>
        <w:jc w:val="both"/>
        <w:rPr>
          <w:rFonts w:ascii="Trebuchet MS" w:hAnsi="Trebuchet MS"/>
          <w:lang w:val="es-ES"/>
        </w:rPr>
      </w:pPr>
    </w:p>
    <w:p w14:paraId="2181AEAE" w14:textId="3C578041" w:rsidR="00756CDA" w:rsidRPr="00206B37" w:rsidRDefault="00756CDA" w:rsidP="00756CDA">
      <w:pPr>
        <w:spacing w:after="0"/>
        <w:ind w:firstLine="708"/>
        <w:jc w:val="both"/>
        <w:rPr>
          <w:rFonts w:ascii="Trebuchet MS" w:hAnsi="Trebuchet MS"/>
          <w:lang w:val="es-ES"/>
        </w:rPr>
      </w:pPr>
      <w:r w:rsidRPr="00206B37">
        <w:rPr>
          <w:rFonts w:ascii="Trebuchet MS" w:hAnsi="Trebuchet MS"/>
          <w:lang w:val="es-ES"/>
        </w:rPr>
        <w:t>Las at</w:t>
      </w:r>
      <w:r w:rsidR="00665260" w:rsidRPr="00206B37">
        <w:rPr>
          <w:rFonts w:ascii="Trebuchet MS" w:hAnsi="Trebuchet MS"/>
          <w:lang w:val="es-ES"/>
        </w:rPr>
        <w:t xml:space="preserve">ribuciones y deberes de la FNE </w:t>
      </w:r>
      <w:r w:rsidRPr="00206B37">
        <w:rPr>
          <w:rFonts w:ascii="Trebuchet MS" w:hAnsi="Trebuchet MS"/>
          <w:lang w:val="es-ES"/>
        </w:rPr>
        <w:t>están establecidos en el artículo 39 del DL N° 21</w:t>
      </w:r>
      <w:r w:rsidR="00C22E0F" w:rsidRPr="00206B37">
        <w:rPr>
          <w:rFonts w:ascii="Trebuchet MS" w:hAnsi="Trebuchet MS"/>
          <w:lang w:val="es-ES"/>
        </w:rPr>
        <w:t>1. Entre ellas se encuentran la</w:t>
      </w:r>
      <w:r w:rsidRPr="00206B37">
        <w:rPr>
          <w:rFonts w:ascii="Trebuchet MS" w:hAnsi="Trebuchet MS"/>
          <w:lang w:val="es-ES"/>
        </w:rPr>
        <w:t xml:space="preserve"> de instruir investigaciones que estime procedentes para comprobar las infracciones a esta ley; actuar como parte, representando el interés general </w:t>
      </w:r>
      <w:r w:rsidR="00C22E0F" w:rsidRPr="00206B37">
        <w:rPr>
          <w:rFonts w:ascii="Trebuchet MS" w:hAnsi="Trebuchet MS"/>
          <w:lang w:val="es-ES"/>
        </w:rPr>
        <w:t xml:space="preserve">en el orden económico </w:t>
      </w:r>
      <w:r w:rsidRPr="00206B37">
        <w:rPr>
          <w:rFonts w:ascii="Trebuchet MS" w:hAnsi="Trebuchet MS"/>
          <w:lang w:val="es-ES"/>
        </w:rPr>
        <w:t>ante el TDLC; velar por el cumplimiento de las decisiones adoptadas por el TDLC; emitir informes en causas contenciosas en las que no sea parte y suscribir acuerdos extrajudiciales, entre otras. Con la dictación de la Ley N° 20.945 se le confirió, además, la facultad de conocer las operaciones de concentración que deban ser notificadas a dicho organismo; la facultad de realizar estudios sobre la evolución competitiva de los mercados y, al igual que el TDLC, la de formular recomendaciones normativas al Poder Ejecutivo.</w:t>
      </w:r>
    </w:p>
    <w:p w14:paraId="07170814" w14:textId="77777777" w:rsidR="00756CDA" w:rsidRPr="00206B37" w:rsidRDefault="00756CDA" w:rsidP="00756CDA">
      <w:pPr>
        <w:spacing w:after="0"/>
        <w:rPr>
          <w:rFonts w:ascii="Trebuchet MS" w:hAnsi="Trebuchet MS"/>
          <w:lang w:val="es-ES"/>
        </w:rPr>
      </w:pPr>
    </w:p>
    <w:p w14:paraId="199DA9F4" w14:textId="77777777" w:rsidR="00756CDA" w:rsidRPr="00206B37" w:rsidRDefault="00756CDA" w:rsidP="00756CDA">
      <w:pPr>
        <w:pStyle w:val="Prrafodelista"/>
        <w:numPr>
          <w:ilvl w:val="0"/>
          <w:numId w:val="2"/>
        </w:numPr>
        <w:spacing w:after="0"/>
        <w:jc w:val="both"/>
        <w:rPr>
          <w:rFonts w:ascii="Trebuchet MS" w:hAnsi="Trebuchet MS"/>
          <w:b/>
          <w:lang w:val="es-ES"/>
        </w:rPr>
      </w:pPr>
      <w:r w:rsidRPr="00206B37">
        <w:rPr>
          <w:rFonts w:ascii="Trebuchet MS" w:hAnsi="Trebuchet MS"/>
          <w:b/>
          <w:lang w:val="es-ES"/>
        </w:rPr>
        <w:t>TDLC</w:t>
      </w:r>
    </w:p>
    <w:p w14:paraId="508DC271" w14:textId="77777777" w:rsidR="00756CDA" w:rsidRPr="00206B37" w:rsidRDefault="00756CDA" w:rsidP="00756CDA">
      <w:pPr>
        <w:spacing w:after="0"/>
        <w:jc w:val="both"/>
        <w:rPr>
          <w:rFonts w:ascii="Trebuchet MS" w:hAnsi="Trebuchet MS"/>
          <w:lang w:val="es-ES"/>
        </w:rPr>
      </w:pPr>
    </w:p>
    <w:p w14:paraId="696949DB" w14:textId="03E01B47" w:rsidR="00756CDA" w:rsidRPr="00206B37" w:rsidRDefault="00756CDA" w:rsidP="00756CDA">
      <w:pPr>
        <w:spacing w:after="0"/>
        <w:ind w:firstLine="708"/>
        <w:jc w:val="both"/>
        <w:rPr>
          <w:rFonts w:ascii="Trebuchet MS" w:hAnsi="Trebuchet MS"/>
          <w:lang w:val="es-ES"/>
        </w:rPr>
      </w:pPr>
      <w:r w:rsidRPr="00206B37">
        <w:rPr>
          <w:rFonts w:ascii="Trebuchet MS" w:hAnsi="Trebuchet MS"/>
          <w:lang w:val="es-ES"/>
        </w:rPr>
        <w:t>El TDLC, por su parte, fue creado por la Ley N° 19.911, de 2003. Es un Tribunal especial que no forma parte del Poder Judicial, sin perjuicio de lo cual se encuentra sujeto a la superintendencia correctiva, direccional y económica de la Corte Suprema</w:t>
      </w:r>
      <w:r w:rsidR="00887D01">
        <w:rPr>
          <w:rFonts w:ascii="Trebuchet MS" w:hAnsi="Trebuchet MS"/>
          <w:lang w:val="es-ES"/>
        </w:rPr>
        <w:t>. E</w:t>
      </w:r>
      <w:r w:rsidRPr="00206B37">
        <w:rPr>
          <w:rFonts w:ascii="Trebuchet MS" w:hAnsi="Trebuchet MS"/>
          <w:lang w:val="es-ES"/>
        </w:rPr>
        <w:t xml:space="preserve">stá compuesto por cinco ministros (tres abogados y dos economistas), uno de los cuales lo preside, quien debe ser abogado. El nombramiento de los ministros se realiza previo concurso público de antecedentes, en el que intervienen el Presidente de la República, el Banco Central y la Corte Suprema. </w:t>
      </w:r>
    </w:p>
    <w:p w14:paraId="07434A7A" w14:textId="77777777" w:rsidR="00756CDA" w:rsidRPr="00206B37" w:rsidRDefault="00756CDA" w:rsidP="00756CDA">
      <w:pPr>
        <w:spacing w:after="0"/>
        <w:jc w:val="both"/>
        <w:rPr>
          <w:rFonts w:ascii="Trebuchet MS" w:hAnsi="Trebuchet MS"/>
          <w:lang w:val="es-ES"/>
        </w:rPr>
      </w:pPr>
    </w:p>
    <w:p w14:paraId="3B8CDDB9" w14:textId="77382BE6" w:rsidR="00B31DC9" w:rsidRPr="00206B37" w:rsidRDefault="00756CDA" w:rsidP="00B31DC9">
      <w:pPr>
        <w:spacing w:after="0"/>
        <w:ind w:firstLine="708"/>
        <w:jc w:val="both"/>
        <w:rPr>
          <w:rFonts w:ascii="Trebuchet MS" w:hAnsi="Trebuchet MS"/>
          <w:lang w:val="es-ES"/>
        </w:rPr>
      </w:pPr>
      <w:r w:rsidRPr="00531AEE">
        <w:rPr>
          <w:rFonts w:ascii="Trebuchet MS" w:hAnsi="Trebuchet MS"/>
          <w:u w:val="single"/>
          <w:lang w:val="es-ES"/>
        </w:rPr>
        <w:t>La función más reconocida del TDLC es la jurisdiccional</w:t>
      </w:r>
      <w:r w:rsidRPr="00206B37">
        <w:rPr>
          <w:rFonts w:ascii="Trebuchet MS" w:hAnsi="Trebuchet MS"/>
          <w:lang w:val="es-ES"/>
        </w:rPr>
        <w:t xml:space="preserve">, esto es, conocer y juzgar </w:t>
      </w:r>
      <w:r w:rsidR="00887D01">
        <w:rPr>
          <w:rFonts w:ascii="Trebuchet MS" w:hAnsi="Trebuchet MS"/>
          <w:lang w:val="es-ES"/>
        </w:rPr>
        <w:t xml:space="preserve">las situaciones que pudieren constituir infracciones a </w:t>
      </w:r>
      <w:r w:rsidRPr="00206B37">
        <w:rPr>
          <w:rFonts w:ascii="Trebuchet MS" w:hAnsi="Trebuchet MS"/>
          <w:lang w:val="es-ES"/>
        </w:rPr>
        <w:t>la libre competencia en un procedimiento contencioso especial regulado en los artículos 19 y siguientes del DL N° 211. Además de esta función, el TDLC tiene otras importantes atribuciones</w:t>
      </w:r>
      <w:r w:rsidR="00B31DC9" w:rsidRPr="00206B37">
        <w:rPr>
          <w:rStyle w:val="Refdenotaalpie"/>
          <w:rFonts w:ascii="Trebuchet MS" w:hAnsi="Trebuchet MS"/>
          <w:lang w:val="es-ES"/>
        </w:rPr>
        <w:footnoteReference w:id="2"/>
      </w:r>
      <w:r w:rsidRPr="00206B37">
        <w:rPr>
          <w:rFonts w:ascii="Trebuchet MS" w:hAnsi="Trebuchet MS"/>
          <w:lang w:val="es-ES"/>
        </w:rPr>
        <w:t xml:space="preserve"> como las de </w:t>
      </w:r>
      <w:r w:rsidR="00B31DC9" w:rsidRPr="00206B37">
        <w:rPr>
          <w:rFonts w:ascii="Trebuchet MS" w:hAnsi="Trebuchet MS"/>
          <w:lang w:val="es-ES"/>
        </w:rPr>
        <w:t>conocer de las</w:t>
      </w:r>
      <w:r w:rsidRPr="00206B37">
        <w:rPr>
          <w:rFonts w:ascii="Trebuchet MS" w:hAnsi="Trebuchet MS"/>
          <w:lang w:val="es-ES"/>
        </w:rPr>
        <w:t xml:space="preserve"> consultas</w:t>
      </w:r>
      <w:r w:rsidR="00B31DC9" w:rsidRPr="00206B37">
        <w:rPr>
          <w:rStyle w:val="Refdenotaalpie"/>
          <w:rFonts w:ascii="Trebuchet MS" w:hAnsi="Trebuchet MS"/>
          <w:lang w:val="es-ES"/>
        </w:rPr>
        <w:footnoteReference w:id="3"/>
      </w:r>
      <w:r w:rsidRPr="00206B37">
        <w:rPr>
          <w:rFonts w:ascii="Trebuchet MS" w:hAnsi="Trebuchet MS"/>
          <w:lang w:val="es-ES"/>
        </w:rPr>
        <w:t xml:space="preserve">, dictar instrucciones generales, emitir informes que se le encomienden en virtud de leyes especiales y formular recomendaciones normativas al Poder Ejecutivo.  </w:t>
      </w:r>
    </w:p>
    <w:p w14:paraId="2622CCEA" w14:textId="77777777" w:rsidR="00B31DC9" w:rsidRPr="00206B37" w:rsidRDefault="00B31DC9" w:rsidP="00B31DC9">
      <w:pPr>
        <w:spacing w:after="0"/>
        <w:ind w:firstLine="708"/>
        <w:jc w:val="both"/>
        <w:rPr>
          <w:rFonts w:ascii="Trebuchet MS" w:hAnsi="Trebuchet MS"/>
          <w:lang w:val="es-ES"/>
        </w:rPr>
      </w:pPr>
    </w:p>
    <w:p w14:paraId="201BE428" w14:textId="56422F9F" w:rsidR="00756CDA" w:rsidRPr="00206B37" w:rsidRDefault="00756CDA" w:rsidP="00B31DC9">
      <w:pPr>
        <w:spacing w:after="0"/>
        <w:ind w:firstLine="708"/>
        <w:jc w:val="both"/>
        <w:rPr>
          <w:rFonts w:ascii="Trebuchet MS" w:hAnsi="Trebuchet MS"/>
          <w:lang w:val="es-ES"/>
        </w:rPr>
      </w:pPr>
      <w:r w:rsidRPr="00206B37">
        <w:rPr>
          <w:rFonts w:ascii="Trebuchet MS" w:hAnsi="Trebuchet MS"/>
          <w:lang w:val="es-ES"/>
        </w:rPr>
        <w:t xml:space="preserve">Con la dictación de la Ley N° 20.945 se le confirió, además, la facultad de conocer y juzgar las indemnizaciones de perjuicios a que haya lugar con motivo de la dictación de una sentencia; resolver, a solicitud del notificante de una operación de concentración, el recurso de revisión especial de dichas operaciones, cuando hubieren sido prohibidas por </w:t>
      </w:r>
      <w:r w:rsidRPr="00206B37">
        <w:rPr>
          <w:rFonts w:ascii="Trebuchet MS" w:hAnsi="Trebuchet MS"/>
          <w:lang w:val="es-ES"/>
        </w:rPr>
        <w:lastRenderedPageBreak/>
        <w:t>la FNE; y la de conocer los recursos de revisión especial que se pueden deducir en contra de la resolución del FNE que prohíba una operación de concentración económica.</w:t>
      </w:r>
    </w:p>
    <w:p w14:paraId="690CA061" w14:textId="77777777" w:rsidR="00B31DC9" w:rsidRPr="00206B37" w:rsidRDefault="00B31DC9" w:rsidP="00B31DC9">
      <w:pPr>
        <w:spacing w:after="0"/>
        <w:rPr>
          <w:rFonts w:ascii="Trebuchet MS" w:hAnsi="Trebuchet MS"/>
          <w:lang w:val="es-ES"/>
        </w:rPr>
      </w:pPr>
    </w:p>
    <w:p w14:paraId="24719EE1" w14:textId="77777777" w:rsidR="00756CDA" w:rsidRPr="00206B37" w:rsidRDefault="00B31DC9" w:rsidP="00756CDA">
      <w:pPr>
        <w:pStyle w:val="Prrafodelista"/>
        <w:numPr>
          <w:ilvl w:val="0"/>
          <w:numId w:val="2"/>
        </w:numPr>
        <w:spacing w:after="0"/>
        <w:jc w:val="both"/>
        <w:rPr>
          <w:rFonts w:ascii="Trebuchet MS" w:hAnsi="Trebuchet MS"/>
          <w:b/>
          <w:lang w:val="es-ES"/>
        </w:rPr>
      </w:pPr>
      <w:r w:rsidRPr="00206B37">
        <w:rPr>
          <w:rFonts w:ascii="Trebuchet MS" w:hAnsi="Trebuchet MS"/>
          <w:b/>
          <w:lang w:val="es-ES"/>
        </w:rPr>
        <w:t>Corte Suprema</w:t>
      </w:r>
    </w:p>
    <w:p w14:paraId="35E8D7F5" w14:textId="77777777" w:rsidR="00665260" w:rsidRPr="00206B37" w:rsidRDefault="00665260" w:rsidP="00665260">
      <w:pPr>
        <w:pStyle w:val="Prrafodelista"/>
        <w:spacing w:after="0"/>
        <w:ind w:left="1068"/>
        <w:jc w:val="both"/>
        <w:rPr>
          <w:rFonts w:ascii="Trebuchet MS" w:hAnsi="Trebuchet MS"/>
          <w:b/>
          <w:lang w:val="es-ES"/>
        </w:rPr>
      </w:pPr>
    </w:p>
    <w:p w14:paraId="40B1B103" w14:textId="77777777" w:rsidR="00756CDA" w:rsidRPr="00206B37" w:rsidRDefault="00756CDA" w:rsidP="00B31DC9">
      <w:pPr>
        <w:spacing w:after="0"/>
        <w:ind w:firstLine="708"/>
        <w:jc w:val="both"/>
        <w:rPr>
          <w:rFonts w:ascii="Trebuchet MS" w:hAnsi="Trebuchet MS"/>
          <w:lang w:val="es-ES"/>
        </w:rPr>
      </w:pPr>
      <w:r w:rsidRPr="00206B37">
        <w:rPr>
          <w:rFonts w:ascii="Trebuchet MS" w:hAnsi="Trebuchet MS"/>
          <w:lang w:val="es-ES"/>
        </w:rPr>
        <w:t xml:space="preserve">Por último, la Corte Suprema conoce los recursos de reclamación que se deducen en contra de las sentencias definitivas y resoluciones de término que dicta el </w:t>
      </w:r>
      <w:r w:rsidR="00665260" w:rsidRPr="00206B37">
        <w:rPr>
          <w:rFonts w:ascii="Trebuchet MS" w:hAnsi="Trebuchet MS"/>
          <w:lang w:val="es-ES"/>
        </w:rPr>
        <w:t>TDLC</w:t>
      </w:r>
      <w:r w:rsidRPr="00206B37">
        <w:rPr>
          <w:rFonts w:ascii="Trebuchet MS" w:hAnsi="Trebuchet MS"/>
          <w:lang w:val="es-ES"/>
        </w:rPr>
        <w:t>. Dichos recursos son conocidos y fallados por la Tercera Sala.</w:t>
      </w:r>
    </w:p>
    <w:p w14:paraId="7BE0A637" w14:textId="77777777" w:rsidR="00756CDA" w:rsidRPr="00206B37" w:rsidRDefault="00756CDA" w:rsidP="00756CDA">
      <w:pPr>
        <w:spacing w:after="0"/>
        <w:jc w:val="both"/>
        <w:rPr>
          <w:rFonts w:ascii="Trebuchet MS" w:hAnsi="Trebuchet MS"/>
          <w:lang w:val="es-ES"/>
        </w:rPr>
      </w:pPr>
    </w:p>
    <w:p w14:paraId="74557BEC" w14:textId="77777777" w:rsidR="006426E6" w:rsidRPr="00206B37" w:rsidRDefault="006426E6" w:rsidP="006426E6">
      <w:pPr>
        <w:pStyle w:val="Prrafodelista"/>
        <w:numPr>
          <w:ilvl w:val="0"/>
          <w:numId w:val="1"/>
        </w:numPr>
        <w:spacing w:after="0"/>
        <w:rPr>
          <w:rFonts w:ascii="Trebuchet MS" w:hAnsi="Trebuchet MS"/>
          <w:b/>
          <w:smallCaps/>
          <w:lang w:val="es-ES"/>
        </w:rPr>
      </w:pPr>
      <w:r w:rsidRPr="00206B37">
        <w:rPr>
          <w:rFonts w:ascii="Trebuchet MS" w:hAnsi="Trebuchet MS"/>
          <w:b/>
          <w:smallCaps/>
          <w:lang w:val="es-ES"/>
        </w:rPr>
        <w:t>Argumentos para mantener la consulta a la FNE, y no traspasarla al TDLC</w:t>
      </w:r>
    </w:p>
    <w:p w14:paraId="0E7FF4F7" w14:textId="77777777" w:rsidR="006426E6" w:rsidRPr="00206B37" w:rsidRDefault="006426E6" w:rsidP="006426E6">
      <w:pPr>
        <w:spacing w:after="0"/>
        <w:rPr>
          <w:rFonts w:ascii="Trebuchet MS" w:hAnsi="Trebuchet MS"/>
          <w:b/>
          <w:smallCaps/>
          <w:lang w:val="es-ES"/>
        </w:rPr>
      </w:pPr>
    </w:p>
    <w:p w14:paraId="5DE54E51" w14:textId="7F992C10" w:rsidR="006426E6" w:rsidRPr="00206B37" w:rsidRDefault="00756CDA" w:rsidP="00756CDA">
      <w:pPr>
        <w:spacing w:after="0"/>
        <w:ind w:firstLine="708"/>
        <w:jc w:val="both"/>
        <w:rPr>
          <w:rFonts w:ascii="Trebuchet MS" w:hAnsi="Trebuchet MS"/>
          <w:lang w:val="es-ES"/>
        </w:rPr>
      </w:pPr>
      <w:r w:rsidRPr="00206B37">
        <w:rPr>
          <w:rFonts w:ascii="Trebuchet MS" w:hAnsi="Trebuchet MS"/>
          <w:lang w:val="es-ES"/>
        </w:rPr>
        <w:t xml:space="preserve">A continuación, se </w:t>
      </w:r>
      <w:r w:rsidR="00EB5955">
        <w:rPr>
          <w:rFonts w:ascii="Trebuchet MS" w:hAnsi="Trebuchet MS"/>
          <w:lang w:val="es-ES"/>
        </w:rPr>
        <w:t>señalan</w:t>
      </w:r>
      <w:r w:rsidR="00EB5955" w:rsidRPr="00206B37">
        <w:rPr>
          <w:rFonts w:ascii="Trebuchet MS" w:hAnsi="Trebuchet MS"/>
          <w:lang w:val="es-ES"/>
        </w:rPr>
        <w:t xml:space="preserve"> </w:t>
      </w:r>
      <w:r w:rsidRPr="00206B37">
        <w:rPr>
          <w:rFonts w:ascii="Trebuchet MS" w:hAnsi="Trebuchet MS"/>
          <w:lang w:val="es-ES"/>
        </w:rPr>
        <w:t>argumentos por los cuales re</w:t>
      </w:r>
      <w:r w:rsidR="00C22E0F" w:rsidRPr="00206B37">
        <w:rPr>
          <w:rFonts w:ascii="Trebuchet MS" w:hAnsi="Trebuchet MS"/>
          <w:lang w:val="es-ES"/>
        </w:rPr>
        <w:t>sulta conveniente mantener</w:t>
      </w:r>
      <w:r w:rsidR="00896ED5" w:rsidRPr="00206B37">
        <w:rPr>
          <w:rFonts w:ascii="Trebuchet MS" w:hAnsi="Trebuchet MS"/>
          <w:lang w:val="es-ES"/>
        </w:rPr>
        <w:t xml:space="preserve"> la facultad de requerir un informe a </w:t>
      </w:r>
      <w:r w:rsidRPr="00206B37">
        <w:rPr>
          <w:rFonts w:ascii="Trebuchet MS" w:hAnsi="Trebuchet MS"/>
          <w:lang w:val="es-ES"/>
        </w:rPr>
        <w:t xml:space="preserve">la FNE, </w:t>
      </w:r>
      <w:r w:rsidR="00896ED5" w:rsidRPr="00206B37">
        <w:rPr>
          <w:rFonts w:ascii="Trebuchet MS" w:hAnsi="Trebuchet MS"/>
          <w:lang w:val="es-ES"/>
        </w:rPr>
        <w:t xml:space="preserve">referido al cumplimiento de las circunstancias señaladas en el artículo 27, </w:t>
      </w:r>
      <w:r w:rsidRPr="00206B37">
        <w:rPr>
          <w:rFonts w:ascii="Trebuchet MS" w:hAnsi="Trebuchet MS"/>
          <w:lang w:val="es-ES"/>
        </w:rPr>
        <w:t xml:space="preserve">y no encargárselo al TDLC. </w:t>
      </w:r>
    </w:p>
    <w:p w14:paraId="2249726F" w14:textId="77777777" w:rsidR="00CF4861" w:rsidRPr="00206B37" w:rsidRDefault="00CF4861" w:rsidP="00CF4861">
      <w:pPr>
        <w:spacing w:after="0"/>
        <w:jc w:val="both"/>
        <w:rPr>
          <w:rFonts w:ascii="Trebuchet MS" w:hAnsi="Trebuchet MS"/>
          <w:b/>
          <w:lang w:val="es-ES"/>
        </w:rPr>
      </w:pPr>
    </w:p>
    <w:p w14:paraId="76B7C617" w14:textId="2EA3F303" w:rsidR="00CF4861" w:rsidRPr="00206B37" w:rsidRDefault="00CF4861" w:rsidP="00CF4861">
      <w:pPr>
        <w:pStyle w:val="Prrafodelista"/>
        <w:numPr>
          <w:ilvl w:val="0"/>
          <w:numId w:val="5"/>
        </w:numPr>
        <w:spacing w:after="0"/>
        <w:jc w:val="both"/>
        <w:rPr>
          <w:rFonts w:ascii="Trebuchet MS" w:hAnsi="Trebuchet MS"/>
          <w:b/>
          <w:lang w:val="es-ES"/>
        </w:rPr>
      </w:pPr>
      <w:r w:rsidRPr="00206B37">
        <w:rPr>
          <w:rFonts w:ascii="Trebuchet MS" w:hAnsi="Trebuchet MS"/>
          <w:b/>
          <w:lang w:val="es-ES"/>
        </w:rPr>
        <w:t xml:space="preserve">La FNE es una agencia especializada, </w:t>
      </w:r>
      <w:r w:rsidR="004F28EF">
        <w:rPr>
          <w:rFonts w:ascii="Trebuchet MS" w:hAnsi="Trebuchet MS"/>
          <w:b/>
          <w:lang w:val="es-ES"/>
        </w:rPr>
        <w:t xml:space="preserve">con la capacidad </w:t>
      </w:r>
      <w:r w:rsidRPr="00206B37">
        <w:rPr>
          <w:rFonts w:ascii="Trebuchet MS" w:hAnsi="Trebuchet MS"/>
          <w:b/>
          <w:lang w:val="es-ES"/>
        </w:rPr>
        <w:t xml:space="preserve">para </w:t>
      </w:r>
      <w:r w:rsidR="004F28EF">
        <w:rPr>
          <w:rFonts w:ascii="Trebuchet MS" w:hAnsi="Trebuchet MS"/>
          <w:b/>
          <w:lang w:val="es-ES"/>
        </w:rPr>
        <w:t>realizar</w:t>
      </w:r>
      <w:r w:rsidRPr="00206B37">
        <w:rPr>
          <w:rFonts w:ascii="Trebuchet MS" w:hAnsi="Trebuchet MS"/>
          <w:b/>
          <w:lang w:val="es-ES"/>
        </w:rPr>
        <w:t xml:space="preserve"> observaciones a bases de licitación, labor que ya ha realizado previamente por orden del mismo TDLC. </w:t>
      </w:r>
    </w:p>
    <w:p w14:paraId="03376249" w14:textId="77777777" w:rsidR="00CF4861" w:rsidRPr="00206B37" w:rsidRDefault="00CF4861" w:rsidP="00CF4861">
      <w:pPr>
        <w:spacing w:after="0"/>
        <w:ind w:left="708"/>
        <w:jc w:val="both"/>
        <w:rPr>
          <w:rFonts w:ascii="Trebuchet MS" w:hAnsi="Trebuchet MS"/>
          <w:b/>
          <w:lang w:val="es-ES"/>
        </w:rPr>
      </w:pPr>
    </w:p>
    <w:p w14:paraId="7EC23CCB" w14:textId="3202CBED" w:rsidR="00CF4861" w:rsidRPr="00206B37" w:rsidRDefault="00CF4861" w:rsidP="00CF4861">
      <w:pPr>
        <w:spacing w:after="0"/>
        <w:ind w:firstLine="708"/>
        <w:jc w:val="both"/>
        <w:rPr>
          <w:rFonts w:ascii="Trebuchet MS" w:hAnsi="Trebuchet MS"/>
          <w:lang w:val="es-ES"/>
        </w:rPr>
      </w:pPr>
      <w:r w:rsidRPr="00206B37">
        <w:rPr>
          <w:rFonts w:ascii="Trebuchet MS" w:hAnsi="Trebuchet MS"/>
          <w:lang w:val="es-ES"/>
        </w:rPr>
        <w:t xml:space="preserve">La FNE se erige como un órgano con la competencia de evacuar consultas como la que se propone en el nuevo artículo 27. Ciertamente, se trata de una atribución que se aviene con las funciones propias de esta agencia, como es la de realizar estudios sobre la evolución competitiva de los mercados (artículo 39 letra p) del DL N° 211) y emitir informes en causas en las que no sea parte (letra e) del mismo).  </w:t>
      </w:r>
    </w:p>
    <w:p w14:paraId="7CA33360" w14:textId="77777777" w:rsidR="00CF4861" w:rsidRPr="00206B37" w:rsidRDefault="00CF4861" w:rsidP="00CF4861">
      <w:pPr>
        <w:spacing w:after="0"/>
        <w:ind w:firstLine="708"/>
        <w:jc w:val="both"/>
        <w:rPr>
          <w:rFonts w:ascii="Trebuchet MS" w:hAnsi="Trebuchet MS"/>
          <w:lang w:val="es-ES"/>
        </w:rPr>
      </w:pPr>
    </w:p>
    <w:p w14:paraId="2DE7552D" w14:textId="00864DAA" w:rsidR="00CF4861" w:rsidRPr="00206B37" w:rsidRDefault="00CF4861" w:rsidP="00290130">
      <w:pPr>
        <w:spacing w:after="0"/>
        <w:ind w:firstLine="708"/>
        <w:jc w:val="both"/>
        <w:rPr>
          <w:rFonts w:ascii="Trebuchet MS" w:hAnsi="Trebuchet MS"/>
          <w:lang w:val="es-ES"/>
        </w:rPr>
      </w:pPr>
      <w:r w:rsidRPr="00206B37">
        <w:rPr>
          <w:rFonts w:ascii="Trebuchet MS" w:hAnsi="Trebuchet MS"/>
          <w:lang w:val="es-ES"/>
        </w:rPr>
        <w:t xml:space="preserve">Por lo demás, la FNE es una agencia especializada, que realiza estudios de mercado e inicia investigaciones por cuenta propia, contando con insumos –capital humano, </w:t>
      </w:r>
      <w:r w:rsidR="00AC2ADC">
        <w:rPr>
          <w:rFonts w:ascii="Trebuchet MS" w:hAnsi="Trebuchet MS"/>
          <w:lang w:val="es-ES"/>
        </w:rPr>
        <w:t>conocimiento</w:t>
      </w:r>
      <w:r w:rsidRPr="00206B37">
        <w:rPr>
          <w:rFonts w:ascii="Trebuchet MS" w:hAnsi="Trebuchet MS"/>
          <w:lang w:val="es-ES"/>
        </w:rPr>
        <w:t>,</w:t>
      </w:r>
      <w:r w:rsidR="00AC2ADC">
        <w:rPr>
          <w:rFonts w:ascii="Trebuchet MS" w:hAnsi="Trebuchet MS"/>
          <w:lang w:val="es-ES"/>
        </w:rPr>
        <w:t xml:space="preserve"> información</w:t>
      </w:r>
      <w:r w:rsidRPr="00206B37">
        <w:rPr>
          <w:rFonts w:ascii="Trebuchet MS" w:hAnsi="Trebuchet MS"/>
          <w:lang w:val="es-ES"/>
        </w:rPr>
        <w:t xml:space="preserve"> estadística- necesarios para realizar un análisis como el propuesto: un estudio particular de cada base administrativa preparada para subastar fracciones de cuota globales anuales de pesca, para verificar que las bases promuevan la libre competencia. Por el contrario, si bien el TDLC tiene</w:t>
      </w:r>
      <w:r w:rsidR="00AC2ADC">
        <w:rPr>
          <w:rFonts w:ascii="Trebuchet MS" w:hAnsi="Trebuchet MS"/>
          <w:lang w:val="es-ES"/>
        </w:rPr>
        <w:t xml:space="preserve"> la</w:t>
      </w:r>
      <w:r w:rsidRPr="00206B37">
        <w:rPr>
          <w:rFonts w:ascii="Trebuchet MS" w:hAnsi="Trebuchet MS"/>
          <w:lang w:val="es-ES"/>
        </w:rPr>
        <w:t xml:space="preserve"> facultad de dictar instrucciones, </w:t>
      </w:r>
      <w:r w:rsidR="00AC2ADC">
        <w:rPr>
          <w:rFonts w:ascii="Trebuchet MS" w:hAnsi="Trebuchet MS"/>
          <w:lang w:val="es-ES"/>
        </w:rPr>
        <w:t>é</w:t>
      </w:r>
      <w:r w:rsidRPr="00206B37">
        <w:rPr>
          <w:rFonts w:ascii="Trebuchet MS" w:hAnsi="Trebuchet MS"/>
          <w:lang w:val="es-ES"/>
        </w:rPr>
        <w:t xml:space="preserve">sta se refiere a instrucciones </w:t>
      </w:r>
      <w:r w:rsidRPr="00206B37">
        <w:rPr>
          <w:rFonts w:ascii="Trebuchet MS" w:hAnsi="Trebuchet MS"/>
          <w:i/>
          <w:lang w:val="es-ES"/>
        </w:rPr>
        <w:t>de carácter general</w:t>
      </w:r>
      <w:r w:rsidRPr="00206B37">
        <w:rPr>
          <w:rFonts w:ascii="Trebuchet MS" w:hAnsi="Trebuchet MS"/>
          <w:lang w:val="es-ES"/>
        </w:rPr>
        <w:t xml:space="preserve">, las cuales deberán considerarse por los particulares en los actos o contratos que ejecuten o celebren y que tuvieren relación con la libre competencia o pudieren atentar contra ella (artículo 18 N° 3 del DL N° 211). </w:t>
      </w:r>
    </w:p>
    <w:p w14:paraId="1EBB57EC" w14:textId="77777777" w:rsidR="00CF4861" w:rsidRPr="00206B37" w:rsidRDefault="00CF4861" w:rsidP="00CF4861">
      <w:pPr>
        <w:spacing w:after="0"/>
        <w:ind w:firstLine="708"/>
        <w:jc w:val="both"/>
        <w:rPr>
          <w:rFonts w:ascii="Trebuchet MS" w:hAnsi="Trebuchet MS"/>
          <w:lang w:val="es-ES"/>
        </w:rPr>
      </w:pPr>
    </w:p>
    <w:p w14:paraId="1428B188" w14:textId="77777777" w:rsidR="00CF4861" w:rsidRPr="00206B37" w:rsidRDefault="00CF4861" w:rsidP="00CF4861">
      <w:pPr>
        <w:spacing w:after="0"/>
        <w:ind w:firstLine="708"/>
        <w:jc w:val="both"/>
        <w:rPr>
          <w:rFonts w:ascii="Trebuchet MS" w:hAnsi="Trebuchet MS"/>
          <w:lang w:val="es-ES"/>
        </w:rPr>
      </w:pPr>
      <w:r w:rsidRPr="00206B37">
        <w:rPr>
          <w:rFonts w:ascii="Trebuchet MS" w:hAnsi="Trebuchet MS"/>
          <w:lang w:val="es-ES"/>
        </w:rPr>
        <w:t xml:space="preserve">Un sistema como el propuesto en el nuevo artículo 27 –la remisión de bases de licitación concretas a la FNE para que observe si dichas bases promueven la libre competencia- ya fue aplicado previamente, por orden del mismo TDLC. </w:t>
      </w:r>
    </w:p>
    <w:p w14:paraId="782F7C1B" w14:textId="77777777" w:rsidR="00CF4861" w:rsidRPr="00206B37" w:rsidRDefault="00CF4861" w:rsidP="00CF4861">
      <w:pPr>
        <w:spacing w:after="0"/>
        <w:ind w:firstLine="708"/>
        <w:jc w:val="both"/>
        <w:rPr>
          <w:rFonts w:ascii="Trebuchet MS" w:hAnsi="Trebuchet MS"/>
          <w:lang w:val="es-ES"/>
        </w:rPr>
      </w:pPr>
    </w:p>
    <w:p w14:paraId="1548AC32" w14:textId="4F69AA32" w:rsidR="000D2AC7" w:rsidRPr="00206B37" w:rsidRDefault="000D2AC7" w:rsidP="00206B37">
      <w:pPr>
        <w:spacing w:after="0"/>
        <w:ind w:firstLine="708"/>
        <w:jc w:val="both"/>
        <w:rPr>
          <w:rFonts w:ascii="Trebuchet MS" w:hAnsi="Trebuchet MS"/>
          <w:lang w:val="es-ES"/>
        </w:rPr>
      </w:pPr>
      <w:r>
        <w:rPr>
          <w:rFonts w:ascii="Trebuchet MS" w:hAnsi="Trebuchet MS"/>
          <w:lang w:val="es-ES"/>
        </w:rPr>
        <w:t>En efecto, en la Resolución 4</w:t>
      </w:r>
      <w:r w:rsidR="00C34091">
        <w:rPr>
          <w:rFonts w:ascii="Trebuchet MS" w:hAnsi="Trebuchet MS"/>
          <w:lang w:val="es-ES"/>
        </w:rPr>
        <w:t>,</w:t>
      </w:r>
      <w:r>
        <w:rPr>
          <w:rFonts w:ascii="Trebuchet MS" w:hAnsi="Trebuchet MS"/>
          <w:lang w:val="es-ES"/>
        </w:rPr>
        <w:t xml:space="preserve"> de 2015, el TDLC señaló que si bien el Dictamen N° 995</w:t>
      </w:r>
      <w:r w:rsidR="00C34091">
        <w:rPr>
          <w:rFonts w:ascii="Trebuchet MS" w:hAnsi="Trebuchet MS"/>
          <w:lang w:val="es-ES"/>
        </w:rPr>
        <w:t>,</w:t>
      </w:r>
      <w:r>
        <w:rPr>
          <w:rFonts w:ascii="Trebuchet MS" w:hAnsi="Trebuchet MS"/>
          <w:lang w:val="es-ES"/>
        </w:rPr>
        <w:t xml:space="preserve"> de 1996</w:t>
      </w:r>
      <w:r w:rsidR="00C34091">
        <w:rPr>
          <w:rFonts w:ascii="Trebuchet MS" w:hAnsi="Trebuchet MS"/>
          <w:lang w:val="es-ES"/>
        </w:rPr>
        <w:t>,</w:t>
      </w:r>
      <w:r>
        <w:rPr>
          <w:rFonts w:ascii="Trebuchet MS" w:hAnsi="Trebuchet MS"/>
          <w:lang w:val="es-ES"/>
        </w:rPr>
        <w:t xml:space="preserve"> de la H. Comisión Preventiva Central</w:t>
      </w:r>
      <w:r w:rsidR="00C34091">
        <w:rPr>
          <w:rFonts w:ascii="Trebuchet MS" w:hAnsi="Trebuchet MS"/>
          <w:lang w:val="es-ES"/>
        </w:rPr>
        <w:t>,</w:t>
      </w:r>
      <w:r>
        <w:rPr>
          <w:rFonts w:ascii="Trebuchet MS" w:hAnsi="Trebuchet MS"/>
          <w:lang w:val="es-ES"/>
        </w:rPr>
        <w:t xml:space="preserve"> </w:t>
      </w:r>
      <w:r w:rsidRPr="00206B37">
        <w:rPr>
          <w:rFonts w:ascii="Trebuchet MS" w:hAnsi="Trebuchet MS"/>
          <w:lang w:val="es-ES"/>
        </w:rPr>
        <w:t xml:space="preserve">recomendó que las municipalidades consulten ante </w:t>
      </w:r>
      <w:r>
        <w:rPr>
          <w:rFonts w:ascii="Trebuchet MS" w:hAnsi="Trebuchet MS"/>
          <w:lang w:val="es-ES"/>
        </w:rPr>
        <w:t>aquella</w:t>
      </w:r>
      <w:r w:rsidRPr="00206B37">
        <w:rPr>
          <w:rFonts w:ascii="Trebuchet MS" w:hAnsi="Trebuchet MS"/>
          <w:lang w:val="es-ES"/>
        </w:rPr>
        <w:t xml:space="preserve"> las bases de licitación que elaboren para la contratación de los servicios que se prestan en </w:t>
      </w:r>
      <w:r>
        <w:rPr>
          <w:rFonts w:ascii="Trebuchet MS" w:hAnsi="Trebuchet MS"/>
          <w:lang w:val="es-ES"/>
        </w:rPr>
        <w:t xml:space="preserve">el </w:t>
      </w:r>
      <w:r w:rsidRPr="00206B37">
        <w:rPr>
          <w:rFonts w:ascii="Trebuchet MS" w:hAnsi="Trebuchet MS"/>
          <w:lang w:val="es-ES"/>
        </w:rPr>
        <w:t>mercado</w:t>
      </w:r>
      <w:r>
        <w:rPr>
          <w:rFonts w:ascii="Trebuchet MS" w:hAnsi="Trebuchet MS"/>
          <w:lang w:val="es-ES"/>
        </w:rPr>
        <w:t xml:space="preserve"> de r</w:t>
      </w:r>
      <w:r w:rsidRPr="000D2AC7">
        <w:rPr>
          <w:rFonts w:ascii="Trebuchet MS" w:hAnsi="Trebuchet MS"/>
          <w:lang w:val="es-ES"/>
        </w:rPr>
        <w:t xml:space="preserve">ecolección y transporte de residuos </w:t>
      </w:r>
      <w:r w:rsidRPr="000D2AC7">
        <w:rPr>
          <w:rFonts w:ascii="Trebuchet MS" w:hAnsi="Trebuchet MS"/>
          <w:lang w:val="es-ES"/>
        </w:rPr>
        <w:lastRenderedPageBreak/>
        <w:t>d</w:t>
      </w:r>
      <w:r w:rsidRPr="00206B37">
        <w:rPr>
          <w:rFonts w:ascii="Trebuchet MS" w:hAnsi="Trebuchet MS"/>
          <w:lang w:val="es-ES"/>
        </w:rPr>
        <w:t xml:space="preserve">omiciliarios y de </w:t>
      </w:r>
      <w:r>
        <w:rPr>
          <w:rFonts w:ascii="Trebuchet MS" w:hAnsi="Trebuchet MS"/>
          <w:lang w:val="es-ES"/>
        </w:rPr>
        <w:t>f</w:t>
      </w:r>
      <w:r w:rsidRPr="000D2AC7">
        <w:rPr>
          <w:rFonts w:ascii="Trebuchet MS" w:hAnsi="Trebuchet MS"/>
          <w:lang w:val="es-ES"/>
        </w:rPr>
        <w:t>erias l</w:t>
      </w:r>
      <w:r w:rsidRPr="00206B37">
        <w:rPr>
          <w:rFonts w:ascii="Trebuchet MS" w:hAnsi="Trebuchet MS"/>
          <w:lang w:val="es-ES"/>
        </w:rPr>
        <w:t xml:space="preserve">ibres, entidad cuyo sucesor legal es </w:t>
      </w:r>
      <w:r>
        <w:rPr>
          <w:rFonts w:ascii="Trebuchet MS" w:hAnsi="Trebuchet MS"/>
          <w:lang w:val="es-ES"/>
        </w:rPr>
        <w:t xml:space="preserve">el TDLC, </w:t>
      </w:r>
      <w:r w:rsidRPr="00206B37">
        <w:rPr>
          <w:rFonts w:ascii="Trebuchet MS" w:hAnsi="Trebuchet MS"/>
          <w:lang w:val="es-ES"/>
        </w:rPr>
        <w:t xml:space="preserve">dadas las características que tiene el procedimiento de consulta, establecido en el artículo 31° del </w:t>
      </w:r>
      <w:r>
        <w:rPr>
          <w:rFonts w:ascii="Trebuchet MS" w:hAnsi="Trebuchet MS"/>
          <w:lang w:val="es-ES"/>
        </w:rPr>
        <w:t>DL N° 211</w:t>
      </w:r>
      <w:r w:rsidRPr="00206B37">
        <w:rPr>
          <w:rFonts w:ascii="Trebuchet MS" w:hAnsi="Trebuchet MS"/>
          <w:lang w:val="es-ES"/>
        </w:rPr>
        <w:t xml:space="preserve">, </w:t>
      </w:r>
      <w:r w:rsidR="00481FA2">
        <w:rPr>
          <w:rFonts w:ascii="Trebuchet MS" w:hAnsi="Trebuchet MS"/>
          <w:lang w:val="es-ES"/>
        </w:rPr>
        <w:t>“</w:t>
      </w:r>
      <w:r w:rsidRPr="00206B37">
        <w:rPr>
          <w:rFonts w:ascii="Trebuchet MS" w:hAnsi="Trebuchet MS"/>
          <w:i/>
          <w:lang w:val="es-ES"/>
        </w:rPr>
        <w:t>tal recomendación importaría para los municipios una carga procesal que no se justificaría como requisito para todas y cada una de las licitaciones que sobre esta materia sean convocadas en el país</w:t>
      </w:r>
      <w:r w:rsidR="00481FA2">
        <w:rPr>
          <w:rFonts w:ascii="Trebuchet MS" w:hAnsi="Trebuchet MS"/>
          <w:i/>
          <w:lang w:val="es-ES"/>
        </w:rPr>
        <w:t>”</w:t>
      </w:r>
      <w:r w:rsidR="004D7317">
        <w:rPr>
          <w:rStyle w:val="Refdenotaalpie"/>
          <w:rFonts w:ascii="Trebuchet MS" w:hAnsi="Trebuchet MS"/>
          <w:i/>
          <w:lang w:val="es-ES"/>
        </w:rPr>
        <w:footnoteReference w:id="4"/>
      </w:r>
      <w:r w:rsidRPr="00206B37">
        <w:rPr>
          <w:rFonts w:ascii="Trebuchet MS" w:hAnsi="Trebuchet MS"/>
          <w:lang w:val="es-ES"/>
        </w:rPr>
        <w:t xml:space="preserve">. </w:t>
      </w:r>
    </w:p>
    <w:p w14:paraId="4E35DB48" w14:textId="77777777" w:rsidR="00C34091" w:rsidRDefault="00C34091" w:rsidP="000D2AC7">
      <w:pPr>
        <w:spacing w:after="0"/>
        <w:ind w:firstLine="708"/>
        <w:jc w:val="both"/>
        <w:rPr>
          <w:rFonts w:ascii="Trebuchet MS" w:hAnsi="Trebuchet MS"/>
          <w:lang w:val="es-ES"/>
        </w:rPr>
      </w:pPr>
    </w:p>
    <w:p w14:paraId="170F41E1" w14:textId="6717796B" w:rsidR="000D2AC7" w:rsidRDefault="00C34091" w:rsidP="000D2AC7">
      <w:pPr>
        <w:spacing w:after="0"/>
        <w:ind w:firstLine="708"/>
        <w:jc w:val="both"/>
        <w:rPr>
          <w:rFonts w:ascii="Trebuchet MS" w:hAnsi="Trebuchet MS"/>
          <w:lang w:val="es-ES"/>
        </w:rPr>
      </w:pPr>
      <w:r>
        <w:rPr>
          <w:rFonts w:ascii="Trebuchet MS" w:hAnsi="Trebuchet MS"/>
          <w:lang w:val="es-ES"/>
        </w:rPr>
        <w:t xml:space="preserve">De esta forma, señaló el TDLC, </w:t>
      </w:r>
      <w:r w:rsidR="000D2AC7" w:rsidRPr="00206B37">
        <w:rPr>
          <w:rFonts w:ascii="Trebuchet MS" w:hAnsi="Trebuchet MS"/>
          <w:lang w:val="es-ES"/>
        </w:rPr>
        <w:t xml:space="preserve">para prevenir eventuales atentados a la libre competencia, </w:t>
      </w:r>
      <w:r>
        <w:rPr>
          <w:rFonts w:ascii="Trebuchet MS" w:hAnsi="Trebuchet MS"/>
          <w:lang w:val="es-ES"/>
        </w:rPr>
        <w:t>se estimó</w:t>
      </w:r>
      <w:r w:rsidR="000D2AC7" w:rsidRPr="00206B37">
        <w:rPr>
          <w:rFonts w:ascii="Trebuchet MS" w:hAnsi="Trebuchet MS"/>
          <w:lang w:val="es-ES"/>
        </w:rPr>
        <w:t xml:space="preserve"> conveniente que, en lo sucesivo, las bases de las licitaciones de servicios ligados a la recolección, transporte y tratamiento final de la residuos sólidos domiciliarios sean remitidas por las municipalidades del país a la F</w:t>
      </w:r>
      <w:r>
        <w:rPr>
          <w:rFonts w:ascii="Trebuchet MS" w:hAnsi="Trebuchet MS"/>
          <w:lang w:val="es-ES"/>
        </w:rPr>
        <w:t>NE p</w:t>
      </w:r>
      <w:r w:rsidR="000D2AC7" w:rsidRPr="00206B37">
        <w:rPr>
          <w:rFonts w:ascii="Trebuchet MS" w:hAnsi="Trebuchet MS"/>
          <w:lang w:val="es-ES"/>
        </w:rPr>
        <w:t>ara su conocimiento, lo que permitirá abordar de forma más ef</w:t>
      </w:r>
      <w:r w:rsidRPr="00C34091">
        <w:rPr>
          <w:rFonts w:ascii="Trebuchet MS" w:hAnsi="Trebuchet MS"/>
          <w:lang w:val="es-ES"/>
        </w:rPr>
        <w:t xml:space="preserve">iciente la situación de mercado, </w:t>
      </w:r>
      <w:r w:rsidR="000D2AC7" w:rsidRPr="00206B37">
        <w:rPr>
          <w:rFonts w:ascii="Trebuchet MS" w:hAnsi="Trebuchet MS"/>
          <w:lang w:val="es-ES"/>
        </w:rPr>
        <w:t>sin necesidad de que las municipalidades tengan que consultar directamente a</w:t>
      </w:r>
      <w:r>
        <w:rPr>
          <w:rFonts w:ascii="Trebuchet MS" w:hAnsi="Trebuchet MS"/>
          <w:lang w:val="es-ES"/>
        </w:rPr>
        <w:t xml:space="preserve">l TDLC </w:t>
      </w:r>
      <w:r w:rsidR="000D2AC7" w:rsidRPr="00206B37">
        <w:rPr>
          <w:rFonts w:ascii="Trebuchet MS" w:hAnsi="Trebuchet MS"/>
          <w:lang w:val="es-ES"/>
        </w:rPr>
        <w:t>las bases de los procesos de licitación que pretendan iniciar.</w:t>
      </w:r>
    </w:p>
    <w:p w14:paraId="6BE99075" w14:textId="2504A375" w:rsidR="000D2AC7" w:rsidRDefault="000D2AC7" w:rsidP="00CF4861">
      <w:pPr>
        <w:spacing w:after="0"/>
        <w:ind w:firstLine="708"/>
        <w:jc w:val="both"/>
        <w:rPr>
          <w:rFonts w:ascii="Trebuchet MS" w:hAnsi="Trebuchet MS"/>
          <w:lang w:val="es-ES"/>
        </w:rPr>
      </w:pPr>
    </w:p>
    <w:p w14:paraId="50B8FF82" w14:textId="78FCACA1" w:rsidR="00CF4861" w:rsidRPr="00206B37" w:rsidRDefault="00481FA2" w:rsidP="00CF4861">
      <w:pPr>
        <w:spacing w:after="0"/>
        <w:ind w:firstLine="708"/>
        <w:jc w:val="both"/>
        <w:rPr>
          <w:rFonts w:ascii="Trebuchet MS" w:hAnsi="Trebuchet MS"/>
          <w:lang w:val="es-ES"/>
        </w:rPr>
      </w:pPr>
      <w:r>
        <w:rPr>
          <w:rFonts w:ascii="Trebuchet MS" w:hAnsi="Trebuchet MS"/>
          <w:lang w:val="es-ES"/>
        </w:rPr>
        <w:t xml:space="preserve">Luego, </w:t>
      </w:r>
      <w:r w:rsidR="00CF4861" w:rsidRPr="00206B37">
        <w:rPr>
          <w:rFonts w:ascii="Trebuchet MS" w:hAnsi="Trebuchet MS"/>
          <w:lang w:val="es-ES"/>
        </w:rPr>
        <w:t>en las Instrucciones de Carácter General N° 1/2006 para el mercado de la recolección, transporte y disposición final de residuos sólidos, el TDLC ordenó que “</w:t>
      </w:r>
      <w:r w:rsidR="00CF4861" w:rsidRPr="00206B37">
        <w:rPr>
          <w:rFonts w:ascii="Trebuchet MS" w:hAnsi="Trebuchet MS"/>
          <w:i/>
          <w:lang w:val="es-ES"/>
        </w:rPr>
        <w:t>las bases de las licitaciones públicas a que se refieren estas instrucciones, deberán ser remitidas a la Fiscalía Nacional Económica, a lo menos con 15 días corridos de anticipación a la fecha en que se publique el respectivo llamado</w:t>
      </w:r>
      <w:r w:rsidR="00CF4861" w:rsidRPr="00206B37">
        <w:rPr>
          <w:rFonts w:ascii="Trebuchet MS" w:hAnsi="Trebuchet MS"/>
          <w:lang w:val="es-ES"/>
        </w:rPr>
        <w:t>”</w:t>
      </w:r>
      <w:r w:rsidR="00CF4861" w:rsidRPr="00206B37">
        <w:rPr>
          <w:rStyle w:val="Refdenotaalpie"/>
          <w:rFonts w:ascii="Trebuchet MS" w:hAnsi="Trebuchet MS"/>
          <w:lang w:val="es-ES"/>
        </w:rPr>
        <w:footnoteReference w:id="5"/>
      </w:r>
      <w:r w:rsidR="00CF4861" w:rsidRPr="00206B37">
        <w:rPr>
          <w:rFonts w:ascii="Trebuchet MS" w:hAnsi="Trebuchet MS"/>
          <w:lang w:val="es-ES"/>
        </w:rPr>
        <w:t xml:space="preserve">. Así, tratándose de residuos sólidos, desde el año 2006 los municipios estuvieron obligados a remitir a la FNE las bases de licitación, quedando sujetos a las observaciones que hiciera ésta. </w:t>
      </w:r>
    </w:p>
    <w:p w14:paraId="642F070D" w14:textId="77777777" w:rsidR="00CF4861" w:rsidRPr="00206B37" w:rsidRDefault="00CF4861" w:rsidP="00CF4861">
      <w:pPr>
        <w:spacing w:after="0"/>
        <w:ind w:firstLine="708"/>
        <w:jc w:val="both"/>
        <w:rPr>
          <w:rFonts w:ascii="Trebuchet MS" w:hAnsi="Trebuchet MS"/>
          <w:lang w:val="es-ES"/>
        </w:rPr>
      </w:pPr>
    </w:p>
    <w:p w14:paraId="7B2E5BFB" w14:textId="34500B38" w:rsidR="00CF4861" w:rsidRPr="00206B37" w:rsidRDefault="00CF4861" w:rsidP="00CF4861">
      <w:pPr>
        <w:spacing w:after="0"/>
        <w:ind w:firstLine="708"/>
        <w:jc w:val="both"/>
        <w:rPr>
          <w:rFonts w:ascii="Trebuchet MS" w:hAnsi="Trebuchet MS"/>
          <w:lang w:val="es-ES"/>
        </w:rPr>
      </w:pPr>
      <w:r w:rsidRPr="00206B37">
        <w:rPr>
          <w:rFonts w:ascii="Trebuchet MS" w:hAnsi="Trebuchet MS"/>
          <w:lang w:val="es-ES"/>
        </w:rPr>
        <w:t>El año 2013 el TDLC eliminó dicha obligación, pero por recomendación de la propia FNE</w:t>
      </w:r>
      <w:r w:rsidRPr="00206B37">
        <w:rPr>
          <w:rStyle w:val="Refdenotaalpie"/>
          <w:rFonts w:ascii="Trebuchet MS" w:hAnsi="Trebuchet MS"/>
          <w:lang w:val="es-ES"/>
        </w:rPr>
        <w:footnoteReference w:id="6"/>
      </w:r>
      <w:r w:rsidRPr="00206B37">
        <w:rPr>
          <w:rFonts w:ascii="Trebuchet MS" w:hAnsi="Trebuchet MS"/>
          <w:lang w:val="es-ES"/>
        </w:rPr>
        <w:t xml:space="preserve">. </w:t>
      </w:r>
      <w:r w:rsidR="004D7317">
        <w:rPr>
          <w:rFonts w:ascii="Trebuchet MS" w:hAnsi="Trebuchet MS"/>
          <w:lang w:val="es-ES"/>
        </w:rPr>
        <w:t>E</w:t>
      </w:r>
      <w:r w:rsidR="004D7317" w:rsidRPr="00206B37">
        <w:rPr>
          <w:rFonts w:ascii="Trebuchet MS" w:hAnsi="Trebuchet MS"/>
          <w:lang w:val="es-ES"/>
        </w:rPr>
        <w:t xml:space="preserve">sta </w:t>
      </w:r>
      <w:r w:rsidRPr="00206B37">
        <w:rPr>
          <w:rFonts w:ascii="Trebuchet MS" w:hAnsi="Trebuchet MS"/>
          <w:lang w:val="es-ES"/>
        </w:rPr>
        <w:t xml:space="preserve">última argumentó que se había tornado innecesario que las Municipalidades le remitieran las bases de licitación, atendido (i) la reforma legal que hizo aplicable a las mismas la normativa de compras públicas, operando como un estatuto que garantizaba condiciones objetivas, uniformes, generales y no discriminatorias en las licitaciones de servicios de recolección, transporte y disposición final de residuos sólidos domiciliarios, existiendo otro órgano competente además de la FNE y TDLC, como es el Tribunal de Compras Públicas; (ii) el cambio en las condiciones de dicho mercado, observando que habrían han ingresado nuevos actores y las participaciones de mercado de los principales actores han disminuido, lo cual daría cuenta de un mercado más competitivo; y que (iii) habría aumentado sostenidamente </w:t>
      </w:r>
      <w:r w:rsidRPr="00206B37">
        <w:rPr>
          <w:rFonts w:ascii="Trebuchet MS" w:hAnsi="Trebuchet MS"/>
        </w:rPr>
        <w:t xml:space="preserve">el número de bases que remiten los municipios, que no son objeto de observaciones u objeciones por parte de la FNE, lo que daría cuenta de que los municipios han ido internalizando las instrucciones y observaciones. </w:t>
      </w:r>
    </w:p>
    <w:p w14:paraId="3C8B995B" w14:textId="77777777" w:rsidR="00CF4861" w:rsidRPr="00206B37" w:rsidRDefault="00CF4861" w:rsidP="00CF4861">
      <w:pPr>
        <w:spacing w:after="0"/>
        <w:ind w:firstLine="708"/>
        <w:jc w:val="both"/>
        <w:rPr>
          <w:rFonts w:ascii="Trebuchet MS" w:hAnsi="Trebuchet MS"/>
          <w:lang w:val="es-ES"/>
        </w:rPr>
      </w:pPr>
    </w:p>
    <w:p w14:paraId="5287048F" w14:textId="070755E6" w:rsidR="00CF4861" w:rsidRPr="00206B37" w:rsidRDefault="00CF4861" w:rsidP="00CF4861">
      <w:pPr>
        <w:spacing w:after="0"/>
        <w:ind w:firstLine="708"/>
        <w:jc w:val="both"/>
        <w:rPr>
          <w:rFonts w:ascii="Trebuchet MS" w:hAnsi="Trebuchet MS"/>
          <w:lang w:val="es-ES"/>
        </w:rPr>
      </w:pPr>
      <w:r w:rsidRPr="00206B37">
        <w:rPr>
          <w:rFonts w:ascii="Trebuchet MS" w:hAnsi="Trebuchet MS"/>
          <w:lang w:val="es-ES"/>
        </w:rPr>
        <w:lastRenderedPageBreak/>
        <w:t>Así entonces, teniendo en consideración dichos argumentos, el TDLC estimó que la obligación impuesta el año 2006  “</w:t>
      </w:r>
      <w:r w:rsidRPr="00206B37">
        <w:rPr>
          <w:rFonts w:ascii="Trebuchet MS" w:hAnsi="Trebuchet MS"/>
          <w:i/>
          <w:lang w:val="es-ES"/>
        </w:rPr>
        <w:t>actualmente podría resultar innecesaria</w:t>
      </w:r>
      <w:r w:rsidRPr="00206B37">
        <w:rPr>
          <w:rFonts w:ascii="Trebuchet MS" w:hAnsi="Trebuchet MS"/>
          <w:lang w:val="es-ES"/>
        </w:rPr>
        <w:t>”</w:t>
      </w:r>
      <w:r w:rsidRPr="00206B37">
        <w:rPr>
          <w:rStyle w:val="Refdenotaalpie"/>
          <w:rFonts w:ascii="Trebuchet MS" w:hAnsi="Trebuchet MS"/>
          <w:lang w:val="es-ES"/>
        </w:rPr>
        <w:footnoteReference w:id="7"/>
      </w:r>
      <w:r w:rsidRPr="00206B37">
        <w:rPr>
          <w:rFonts w:ascii="Trebuchet MS" w:hAnsi="Trebuchet MS"/>
          <w:lang w:val="es-ES"/>
        </w:rPr>
        <w:t xml:space="preserve">, y en base a ello, la eliminó. Dicho de otro modo, la </w:t>
      </w:r>
      <w:r w:rsidR="004F28EF">
        <w:rPr>
          <w:rFonts w:ascii="Trebuchet MS" w:hAnsi="Trebuchet MS"/>
          <w:lang w:val="es-ES"/>
        </w:rPr>
        <w:t xml:space="preserve">atribución de la </w:t>
      </w:r>
      <w:r w:rsidRPr="00206B37">
        <w:rPr>
          <w:rFonts w:ascii="Trebuchet MS" w:hAnsi="Trebuchet MS"/>
          <w:lang w:val="es-ES"/>
        </w:rPr>
        <w:t>FNE</w:t>
      </w:r>
      <w:r w:rsidR="004F28EF">
        <w:rPr>
          <w:rFonts w:ascii="Trebuchet MS" w:hAnsi="Trebuchet MS"/>
          <w:lang w:val="es-ES"/>
        </w:rPr>
        <w:t xml:space="preserve"> para observar las</w:t>
      </w:r>
      <w:r w:rsidRPr="00206B37">
        <w:rPr>
          <w:rFonts w:ascii="Trebuchet MS" w:hAnsi="Trebuchet MS"/>
          <w:lang w:val="es-ES"/>
        </w:rPr>
        <w:t xml:space="preserve"> base</w:t>
      </w:r>
      <w:r w:rsidR="004F28EF">
        <w:rPr>
          <w:rFonts w:ascii="Trebuchet MS" w:hAnsi="Trebuchet MS"/>
          <w:lang w:val="es-ES"/>
        </w:rPr>
        <w:t>s de licitación no se dejó sin efecto</w:t>
      </w:r>
      <w:r w:rsidRPr="00206B37">
        <w:rPr>
          <w:rFonts w:ascii="Trebuchet MS" w:hAnsi="Trebuchet MS"/>
          <w:lang w:val="es-ES"/>
        </w:rPr>
        <w:t xml:space="preserve"> por incompetencia o ineficacia de esta revisión, sino porque las condiciones del mercado cambiaron. Más aún, el mismo TDLC destacó que ello no obsta a que la FNE puede actuar discrecional o selectivamente y revisar las bases de licitación de servicios de recolección, transporte y disposición final de residuos sólidos domiciliarios que estime conveniente, orientando de mejor forma los recursos de que dispone.</w:t>
      </w:r>
    </w:p>
    <w:p w14:paraId="40FA682C" w14:textId="77777777" w:rsidR="006426E6" w:rsidRPr="00206B37" w:rsidRDefault="006426E6" w:rsidP="006426E6">
      <w:pPr>
        <w:spacing w:after="0"/>
        <w:rPr>
          <w:rFonts w:ascii="Trebuchet MS" w:hAnsi="Trebuchet MS"/>
          <w:b/>
          <w:smallCaps/>
          <w:lang w:val="es-ES"/>
        </w:rPr>
      </w:pPr>
    </w:p>
    <w:p w14:paraId="617B254B" w14:textId="16B2BE1F" w:rsidR="006426E6" w:rsidRPr="00206B37" w:rsidRDefault="006426E6" w:rsidP="00B31DC9">
      <w:pPr>
        <w:pStyle w:val="Prrafodelista"/>
        <w:numPr>
          <w:ilvl w:val="0"/>
          <w:numId w:val="5"/>
        </w:numPr>
        <w:spacing w:after="0"/>
        <w:jc w:val="both"/>
        <w:rPr>
          <w:rFonts w:ascii="Trebuchet MS" w:hAnsi="Trebuchet MS"/>
          <w:b/>
          <w:lang w:val="es-ES"/>
        </w:rPr>
      </w:pPr>
      <w:r w:rsidRPr="00206B37">
        <w:rPr>
          <w:rFonts w:ascii="Trebuchet MS" w:hAnsi="Trebuchet MS"/>
          <w:b/>
          <w:lang w:val="es-ES"/>
        </w:rPr>
        <w:t xml:space="preserve">El TDLC es un órgano </w:t>
      </w:r>
      <w:r w:rsidR="00B31DC9" w:rsidRPr="00206B37">
        <w:rPr>
          <w:rFonts w:ascii="Trebuchet MS" w:hAnsi="Trebuchet MS"/>
          <w:b/>
          <w:lang w:val="es-ES"/>
        </w:rPr>
        <w:t xml:space="preserve">eminentemente </w:t>
      </w:r>
      <w:r w:rsidRPr="00206B37">
        <w:rPr>
          <w:rFonts w:ascii="Trebuchet MS" w:hAnsi="Trebuchet MS"/>
          <w:b/>
          <w:lang w:val="es-ES"/>
        </w:rPr>
        <w:t>jurisdicciona</w:t>
      </w:r>
      <w:r w:rsidR="00B31DC9" w:rsidRPr="00206B37">
        <w:rPr>
          <w:rFonts w:ascii="Trebuchet MS" w:hAnsi="Trebuchet MS"/>
          <w:b/>
          <w:lang w:val="es-ES"/>
        </w:rPr>
        <w:t>l, llamado a resolver controversias jurídicas de una materia especial</w:t>
      </w:r>
      <w:r w:rsidR="00C22E0F" w:rsidRPr="00206B37">
        <w:rPr>
          <w:rFonts w:ascii="Trebuchet MS" w:hAnsi="Trebuchet MS"/>
          <w:b/>
          <w:lang w:val="es-ES"/>
        </w:rPr>
        <w:t>.</w:t>
      </w:r>
      <w:r w:rsidR="00756CDA" w:rsidRPr="00206B37">
        <w:rPr>
          <w:rFonts w:ascii="Trebuchet MS" w:hAnsi="Trebuchet MS"/>
          <w:b/>
          <w:lang w:val="es-ES"/>
        </w:rPr>
        <w:t xml:space="preserve"> </w:t>
      </w:r>
    </w:p>
    <w:p w14:paraId="4C5288C2" w14:textId="77777777" w:rsidR="00665260" w:rsidRPr="00206B37" w:rsidRDefault="00665260" w:rsidP="00B31DC9">
      <w:pPr>
        <w:spacing w:after="0"/>
        <w:ind w:firstLine="708"/>
        <w:jc w:val="both"/>
        <w:rPr>
          <w:rFonts w:ascii="Trebuchet MS" w:hAnsi="Trebuchet MS"/>
          <w:lang w:val="es-ES"/>
        </w:rPr>
      </w:pPr>
    </w:p>
    <w:p w14:paraId="15556481" w14:textId="77777777" w:rsidR="00665260" w:rsidRPr="00206B37" w:rsidRDefault="00B31DC9" w:rsidP="00665260">
      <w:pPr>
        <w:spacing w:after="0"/>
        <w:ind w:firstLine="708"/>
        <w:jc w:val="both"/>
        <w:rPr>
          <w:rFonts w:ascii="Trebuchet MS" w:hAnsi="Trebuchet MS"/>
          <w:lang w:val="es-ES"/>
        </w:rPr>
      </w:pPr>
      <w:r w:rsidRPr="00206B37">
        <w:rPr>
          <w:rFonts w:ascii="Trebuchet MS" w:hAnsi="Trebuchet MS"/>
          <w:lang w:val="es-ES"/>
        </w:rPr>
        <w:t>Si bien el TDLC cuenta no sólo con facultades jurisdiccionales, sino también normativas y administrativas</w:t>
      </w:r>
      <w:r w:rsidR="00665260" w:rsidRPr="00206B37">
        <w:rPr>
          <w:rStyle w:val="Refdenotaalpie"/>
          <w:rFonts w:ascii="Trebuchet MS" w:hAnsi="Trebuchet MS"/>
          <w:lang w:val="es-ES"/>
        </w:rPr>
        <w:footnoteReference w:id="8"/>
      </w:r>
      <w:r w:rsidRPr="00206B37">
        <w:rPr>
          <w:rFonts w:ascii="Trebuchet MS" w:hAnsi="Trebuchet MS"/>
          <w:lang w:val="es-ES"/>
        </w:rPr>
        <w:t>, su facultad preeminente es la de conocer y juzgar los conflictos derivados de atentados en contra de la libre competencia en un procedimiento contencioso</w:t>
      </w:r>
      <w:r w:rsidR="00C22E0F" w:rsidRPr="00206B37">
        <w:rPr>
          <w:rFonts w:ascii="Trebuchet MS" w:hAnsi="Trebuchet MS"/>
          <w:lang w:val="es-ES"/>
        </w:rPr>
        <w:t>.</w:t>
      </w:r>
      <w:r w:rsidRPr="00206B37">
        <w:rPr>
          <w:rFonts w:ascii="Trebuchet MS" w:hAnsi="Trebuchet MS"/>
          <w:lang w:val="es-ES"/>
        </w:rPr>
        <w:t xml:space="preserve"> </w:t>
      </w:r>
    </w:p>
    <w:p w14:paraId="07FD5D2B" w14:textId="77777777" w:rsidR="00665260" w:rsidRPr="00206B37" w:rsidRDefault="00665260" w:rsidP="00665260">
      <w:pPr>
        <w:spacing w:after="0"/>
        <w:ind w:firstLine="708"/>
        <w:jc w:val="both"/>
        <w:rPr>
          <w:rFonts w:ascii="Trebuchet MS" w:hAnsi="Trebuchet MS"/>
          <w:lang w:val="es-ES"/>
        </w:rPr>
      </w:pPr>
    </w:p>
    <w:p w14:paraId="1DEBE5DB" w14:textId="07554039" w:rsidR="00665260" w:rsidRPr="00206B37" w:rsidRDefault="00C22E0F" w:rsidP="00665260">
      <w:pPr>
        <w:spacing w:after="0"/>
        <w:ind w:firstLine="708"/>
        <w:jc w:val="both"/>
        <w:rPr>
          <w:rFonts w:ascii="Trebuchet MS" w:hAnsi="Trebuchet MS"/>
          <w:lang w:val="es-ES"/>
        </w:rPr>
      </w:pPr>
      <w:r w:rsidRPr="00206B37">
        <w:rPr>
          <w:rFonts w:ascii="Trebuchet MS" w:hAnsi="Trebuchet MS"/>
          <w:lang w:val="es-ES"/>
        </w:rPr>
        <w:t>En efecto</w:t>
      </w:r>
      <w:r w:rsidR="00665260" w:rsidRPr="00206B37">
        <w:rPr>
          <w:rFonts w:ascii="Trebuchet MS" w:hAnsi="Trebuchet MS"/>
          <w:lang w:val="es-ES"/>
        </w:rPr>
        <w:t>, la facultad jurisdiccional e</w:t>
      </w:r>
      <w:r w:rsidR="00B31DC9" w:rsidRPr="00206B37">
        <w:rPr>
          <w:rFonts w:ascii="Trebuchet MS" w:hAnsi="Trebuchet MS"/>
          <w:lang w:val="es-ES"/>
        </w:rPr>
        <w:t>s una función exclusiva de</w:t>
      </w:r>
      <w:r w:rsidR="00665260" w:rsidRPr="00206B37">
        <w:rPr>
          <w:rFonts w:ascii="Trebuchet MS" w:hAnsi="Trebuchet MS"/>
          <w:lang w:val="es-ES"/>
        </w:rPr>
        <w:t>l TDLC en materia de libre competencia</w:t>
      </w:r>
      <w:r w:rsidR="00B31DC9" w:rsidRPr="00206B37">
        <w:rPr>
          <w:rFonts w:ascii="Trebuchet MS" w:hAnsi="Trebuchet MS"/>
          <w:lang w:val="es-ES"/>
        </w:rPr>
        <w:t xml:space="preserve">, que no comparte con la FNE en ningún aspecto, a diferencia de sus demás funciones. </w:t>
      </w:r>
      <w:r w:rsidR="00665260" w:rsidRPr="00206B37">
        <w:rPr>
          <w:rFonts w:ascii="Trebuchet MS" w:hAnsi="Trebuchet MS"/>
          <w:lang w:val="es-ES"/>
        </w:rPr>
        <w:t xml:space="preserve">En este sentido, tratándose de una función exclusiva, resulta </w:t>
      </w:r>
      <w:r w:rsidR="00180C8A" w:rsidRPr="00206B37">
        <w:rPr>
          <w:rFonts w:ascii="Trebuchet MS" w:hAnsi="Trebuchet MS"/>
          <w:lang w:val="es-ES"/>
        </w:rPr>
        <w:t>importante</w:t>
      </w:r>
      <w:r w:rsidR="00665260" w:rsidRPr="00206B37">
        <w:rPr>
          <w:rFonts w:ascii="Trebuchet MS" w:hAnsi="Trebuchet MS"/>
          <w:lang w:val="es-ES"/>
        </w:rPr>
        <w:t xml:space="preserve"> resguardar y conservar la independencia e imparcialidad del órgano, elementos esenciales para un tribunal. </w:t>
      </w:r>
    </w:p>
    <w:p w14:paraId="08828188" w14:textId="77777777" w:rsidR="006C7192" w:rsidRPr="00206B37" w:rsidRDefault="006C7192" w:rsidP="006C7192">
      <w:pPr>
        <w:spacing w:after="0"/>
        <w:ind w:firstLine="708"/>
        <w:jc w:val="both"/>
        <w:rPr>
          <w:rFonts w:ascii="Trebuchet MS" w:hAnsi="Trebuchet MS"/>
          <w:lang w:val="es-ES"/>
        </w:rPr>
      </w:pPr>
    </w:p>
    <w:p w14:paraId="11AFE0CD" w14:textId="77777777" w:rsidR="006C7192" w:rsidRPr="00206B37" w:rsidRDefault="006C7192" w:rsidP="006C7192">
      <w:pPr>
        <w:spacing w:after="0"/>
        <w:ind w:firstLine="708"/>
        <w:jc w:val="both"/>
        <w:rPr>
          <w:rFonts w:ascii="Trebuchet MS" w:hAnsi="Trebuchet MS"/>
          <w:lang w:val="es-ES"/>
        </w:rPr>
      </w:pPr>
      <w:r w:rsidRPr="00206B37">
        <w:rPr>
          <w:rFonts w:ascii="Trebuchet MS" w:hAnsi="Trebuchet MS"/>
          <w:lang w:val="es-ES"/>
        </w:rPr>
        <w:t xml:space="preserve">Ciertamente, la independencia e imparcialidad de los jueces </w:t>
      </w:r>
      <w:r w:rsidRPr="00206B37">
        <w:rPr>
          <w:rFonts w:ascii="Trebuchet MS" w:hAnsi="Trebuchet MS"/>
          <w:i/>
          <w:lang w:val="es-ES"/>
        </w:rPr>
        <w:t>“es una garantía fundamental de todas las personas que recurren a los tribunales de justicia, que constituye una reafirmación de la igualdad ante la ley y de la protección que se le debe en el ejercicio de sus derechos y ante la justicia, aspectos que nuestro ordenamiento constitucional reconoce en diversas disposiciones, en especial en los artículos 5º, 19 Nº 2, 3, 7, 26 y 76 de la Carta Fundamental. De igual modo, se han reconocido estas garantías en diferentes declaraciones y convenciones internacionales ratificadas por nuestro país”</w:t>
      </w:r>
      <w:r w:rsidRPr="00206B37">
        <w:rPr>
          <w:rStyle w:val="Refdenotaalpie"/>
          <w:rFonts w:ascii="Trebuchet MS" w:hAnsi="Trebuchet MS"/>
          <w:lang w:val="es-ES"/>
        </w:rPr>
        <w:footnoteReference w:id="9"/>
      </w:r>
      <w:r w:rsidRPr="00206B37">
        <w:rPr>
          <w:rFonts w:ascii="Trebuchet MS" w:hAnsi="Trebuchet MS"/>
          <w:lang w:val="es-ES"/>
        </w:rPr>
        <w:t xml:space="preserve">. </w:t>
      </w:r>
    </w:p>
    <w:p w14:paraId="234FDA43" w14:textId="77777777" w:rsidR="006C7192" w:rsidRPr="00206B37" w:rsidRDefault="006C7192" w:rsidP="006C7192">
      <w:pPr>
        <w:spacing w:after="0"/>
        <w:ind w:firstLine="708"/>
        <w:jc w:val="both"/>
        <w:rPr>
          <w:rFonts w:ascii="Trebuchet MS" w:hAnsi="Trebuchet MS"/>
          <w:lang w:val="es-ES"/>
        </w:rPr>
      </w:pPr>
    </w:p>
    <w:p w14:paraId="4975023F" w14:textId="4A5B9EA0" w:rsidR="006C7192" w:rsidRPr="00206B37" w:rsidRDefault="006C7192" w:rsidP="006C7192">
      <w:pPr>
        <w:spacing w:after="0"/>
        <w:ind w:firstLine="708"/>
        <w:jc w:val="both"/>
        <w:rPr>
          <w:rFonts w:ascii="Trebuchet MS" w:hAnsi="Trebuchet MS"/>
          <w:lang w:val="es-ES"/>
        </w:rPr>
      </w:pPr>
      <w:r w:rsidRPr="00206B37">
        <w:rPr>
          <w:rFonts w:ascii="Trebuchet MS" w:hAnsi="Trebuchet MS"/>
          <w:lang w:val="es-ES"/>
        </w:rPr>
        <w:t>La garantía de la independencia dice relación con una dimensión orgánica, a diferencia de la imparcialidad, que se refiere a una dimensión funcional, de cómo resuelve cada juez un caso concreto. Así entonces, la independencia exige establecer una orgánica que procure que el juez de cada causa sea un tercero desprovisto de convicciones pre</w:t>
      </w:r>
      <w:r w:rsidR="008844C4">
        <w:rPr>
          <w:rFonts w:ascii="Trebuchet MS" w:hAnsi="Trebuchet MS"/>
          <w:lang w:val="es-ES"/>
        </w:rPr>
        <w:t>-</w:t>
      </w:r>
      <w:r w:rsidRPr="00206B37">
        <w:rPr>
          <w:rFonts w:ascii="Trebuchet MS" w:hAnsi="Trebuchet MS"/>
          <w:lang w:val="es-ES"/>
        </w:rPr>
        <w:t xml:space="preserve">constituidas sobre la materia a decidir. </w:t>
      </w:r>
    </w:p>
    <w:p w14:paraId="28E416C9" w14:textId="77777777" w:rsidR="006C7192" w:rsidRPr="00206B37" w:rsidRDefault="006C7192" w:rsidP="006C7192">
      <w:pPr>
        <w:spacing w:after="0"/>
        <w:ind w:firstLine="708"/>
        <w:jc w:val="both"/>
        <w:rPr>
          <w:rFonts w:ascii="Trebuchet MS" w:hAnsi="Trebuchet MS"/>
          <w:lang w:val="es-ES"/>
        </w:rPr>
      </w:pPr>
    </w:p>
    <w:p w14:paraId="514AE613" w14:textId="77777777" w:rsidR="006C7192" w:rsidRPr="00206B37" w:rsidRDefault="006C7192" w:rsidP="006C7192">
      <w:pPr>
        <w:spacing w:after="0"/>
        <w:ind w:firstLine="708"/>
        <w:jc w:val="both"/>
        <w:rPr>
          <w:rFonts w:ascii="Trebuchet MS" w:hAnsi="Trebuchet MS"/>
          <w:lang w:val="es-ES"/>
        </w:rPr>
      </w:pPr>
      <w:r w:rsidRPr="00206B37">
        <w:rPr>
          <w:rFonts w:ascii="Trebuchet MS" w:hAnsi="Trebuchet MS"/>
          <w:lang w:val="es-ES"/>
        </w:rPr>
        <w:lastRenderedPageBreak/>
        <w:t>En efecto, en doctrina se ha entendido que el juez que haya cumplido en la misma causa actos previos al ejercicio de la función jurisdiccional, “</w:t>
      </w:r>
      <w:r w:rsidRPr="00206B37">
        <w:rPr>
          <w:rFonts w:ascii="Trebuchet MS" w:hAnsi="Trebuchet MS"/>
          <w:i/>
          <w:lang w:val="es-ES"/>
        </w:rPr>
        <w:t>deben considerarse inconciliables con el deber de conocer después el asunto con plena serenidad y en condiciones de absoluta carencia de prejuicios personales</w:t>
      </w:r>
      <w:r w:rsidRPr="00206B37">
        <w:rPr>
          <w:rFonts w:ascii="Trebuchet MS" w:hAnsi="Trebuchet MS"/>
          <w:lang w:val="es-ES"/>
        </w:rPr>
        <w:t>”</w:t>
      </w:r>
      <w:r w:rsidRPr="00206B37">
        <w:rPr>
          <w:rStyle w:val="Refdenotaalpie"/>
          <w:rFonts w:ascii="Trebuchet MS" w:hAnsi="Trebuchet MS"/>
          <w:lang w:val="es-ES"/>
        </w:rPr>
        <w:footnoteReference w:id="10"/>
      </w:r>
      <w:r w:rsidRPr="00206B37">
        <w:rPr>
          <w:rFonts w:ascii="Trebuchet MS" w:hAnsi="Trebuchet MS"/>
          <w:lang w:val="es-ES"/>
        </w:rPr>
        <w:t xml:space="preserve">. </w:t>
      </w:r>
    </w:p>
    <w:p w14:paraId="6C8D6C59" w14:textId="791983A1" w:rsidR="006C7192" w:rsidRPr="00206B37" w:rsidRDefault="006C7192" w:rsidP="00206B37">
      <w:pPr>
        <w:spacing w:after="0"/>
        <w:jc w:val="both"/>
        <w:rPr>
          <w:rFonts w:ascii="Trebuchet MS" w:hAnsi="Trebuchet MS"/>
          <w:lang w:val="es-ES"/>
        </w:rPr>
      </w:pPr>
    </w:p>
    <w:p w14:paraId="7CCDD57B" w14:textId="159C4522" w:rsidR="006C7192" w:rsidRPr="00206B37" w:rsidRDefault="00665260" w:rsidP="00206B37">
      <w:pPr>
        <w:spacing w:after="0"/>
        <w:ind w:firstLine="708"/>
        <w:jc w:val="both"/>
        <w:rPr>
          <w:rFonts w:ascii="Trebuchet MS" w:hAnsi="Trebuchet MS"/>
          <w:lang w:val="es-ES"/>
        </w:rPr>
      </w:pPr>
      <w:r w:rsidRPr="00531AEE">
        <w:rPr>
          <w:rFonts w:ascii="Trebuchet MS" w:hAnsi="Trebuchet MS"/>
          <w:u w:val="single"/>
          <w:lang w:val="es-ES"/>
        </w:rPr>
        <w:t>En este sentido,</w:t>
      </w:r>
      <w:r w:rsidR="006426E6" w:rsidRPr="00531AEE">
        <w:rPr>
          <w:rFonts w:ascii="Trebuchet MS" w:hAnsi="Trebuchet MS"/>
          <w:u w:val="single"/>
          <w:lang w:val="es-ES"/>
        </w:rPr>
        <w:t xml:space="preserve"> </w:t>
      </w:r>
      <w:r w:rsidR="006C7192" w:rsidRPr="00531AEE">
        <w:rPr>
          <w:rFonts w:ascii="Trebuchet MS" w:hAnsi="Trebuchet MS"/>
          <w:u w:val="single"/>
          <w:lang w:val="es-ES"/>
        </w:rPr>
        <w:t xml:space="preserve">no es conveniente radicar en </w:t>
      </w:r>
      <w:r w:rsidR="006426E6" w:rsidRPr="00531AEE">
        <w:rPr>
          <w:rFonts w:ascii="Trebuchet MS" w:hAnsi="Trebuchet MS"/>
          <w:u w:val="single"/>
          <w:lang w:val="es-ES"/>
        </w:rPr>
        <w:t xml:space="preserve">el TDLC </w:t>
      </w:r>
      <w:r w:rsidR="006C7192" w:rsidRPr="00531AEE">
        <w:rPr>
          <w:rFonts w:ascii="Trebuchet MS" w:hAnsi="Trebuchet MS"/>
          <w:u w:val="single"/>
          <w:lang w:val="es-ES"/>
        </w:rPr>
        <w:t xml:space="preserve">dos funciones que le permitirían conducir etapas que obedecen a lógicas distintas, como son la revisión de las bases administrativas -pudiendo conocer </w:t>
      </w:r>
      <w:r w:rsidR="006426E6" w:rsidRPr="00531AEE">
        <w:rPr>
          <w:rFonts w:ascii="Trebuchet MS" w:hAnsi="Trebuchet MS"/>
          <w:u w:val="single"/>
          <w:lang w:val="es-ES"/>
        </w:rPr>
        <w:t>casos concretos</w:t>
      </w:r>
      <w:r w:rsidRPr="00531AEE">
        <w:rPr>
          <w:rFonts w:ascii="Trebuchet MS" w:hAnsi="Trebuchet MS"/>
          <w:u w:val="single"/>
          <w:lang w:val="es-ES"/>
        </w:rPr>
        <w:t xml:space="preserve"> en la etapa de licitación</w:t>
      </w:r>
      <w:r w:rsidR="006C7192" w:rsidRPr="00531AEE">
        <w:rPr>
          <w:rFonts w:ascii="Trebuchet MS" w:hAnsi="Trebuchet MS"/>
          <w:u w:val="single"/>
          <w:lang w:val="es-ES"/>
        </w:rPr>
        <w:t>-</w:t>
      </w:r>
      <w:r w:rsidR="006426E6" w:rsidRPr="00531AEE">
        <w:rPr>
          <w:rFonts w:ascii="Trebuchet MS" w:hAnsi="Trebuchet MS"/>
          <w:u w:val="single"/>
          <w:lang w:val="es-ES"/>
        </w:rPr>
        <w:t>,</w:t>
      </w:r>
      <w:r w:rsidR="006C7192" w:rsidRPr="00531AEE">
        <w:rPr>
          <w:rFonts w:ascii="Trebuchet MS" w:hAnsi="Trebuchet MS"/>
          <w:u w:val="single"/>
          <w:lang w:val="es-ES"/>
        </w:rPr>
        <w:t xml:space="preserve"> y luego los</w:t>
      </w:r>
      <w:r w:rsidR="006426E6" w:rsidRPr="00531AEE">
        <w:rPr>
          <w:rFonts w:ascii="Trebuchet MS" w:hAnsi="Trebuchet MS"/>
          <w:u w:val="single"/>
          <w:lang w:val="es-ES"/>
        </w:rPr>
        <w:t xml:space="preserve"> </w:t>
      </w:r>
      <w:r w:rsidR="00C22E0F" w:rsidRPr="00531AEE">
        <w:rPr>
          <w:rFonts w:ascii="Trebuchet MS" w:hAnsi="Trebuchet MS"/>
          <w:u w:val="single"/>
          <w:lang w:val="es-ES"/>
        </w:rPr>
        <w:t>asunto</w:t>
      </w:r>
      <w:r w:rsidR="006C7192" w:rsidRPr="00531AEE">
        <w:rPr>
          <w:rFonts w:ascii="Trebuchet MS" w:hAnsi="Trebuchet MS"/>
          <w:u w:val="single"/>
          <w:lang w:val="es-ES"/>
        </w:rPr>
        <w:t>s</w:t>
      </w:r>
      <w:r w:rsidR="00C22E0F" w:rsidRPr="00531AEE">
        <w:rPr>
          <w:rFonts w:ascii="Trebuchet MS" w:hAnsi="Trebuchet MS"/>
          <w:u w:val="single"/>
          <w:lang w:val="es-ES"/>
        </w:rPr>
        <w:t xml:space="preserve"> contencioso</w:t>
      </w:r>
      <w:r w:rsidR="006C7192" w:rsidRPr="00531AEE">
        <w:rPr>
          <w:rFonts w:ascii="Trebuchet MS" w:hAnsi="Trebuchet MS"/>
          <w:u w:val="single"/>
          <w:lang w:val="es-ES"/>
        </w:rPr>
        <w:t>s</w:t>
      </w:r>
      <w:r w:rsidR="00C22E0F" w:rsidRPr="00531AEE">
        <w:rPr>
          <w:rFonts w:ascii="Trebuchet MS" w:hAnsi="Trebuchet MS"/>
          <w:u w:val="single"/>
          <w:lang w:val="es-ES"/>
        </w:rPr>
        <w:t xml:space="preserve"> que </w:t>
      </w:r>
      <w:r w:rsidR="006C7192" w:rsidRPr="00531AEE">
        <w:rPr>
          <w:rFonts w:ascii="Trebuchet MS" w:hAnsi="Trebuchet MS"/>
          <w:u w:val="single"/>
          <w:lang w:val="es-ES"/>
        </w:rPr>
        <w:t>puedan producirse</w:t>
      </w:r>
      <w:r w:rsidR="00C22E0F" w:rsidRPr="00531AEE">
        <w:rPr>
          <w:rFonts w:ascii="Trebuchet MS" w:hAnsi="Trebuchet MS"/>
          <w:u w:val="single"/>
          <w:lang w:val="es-ES"/>
        </w:rPr>
        <w:t xml:space="preserve"> posteriormente en torno a las mismas partes involucradas</w:t>
      </w:r>
      <w:r w:rsidR="00C22E0F" w:rsidRPr="00206B37">
        <w:rPr>
          <w:rFonts w:ascii="Trebuchet MS" w:hAnsi="Trebuchet MS"/>
          <w:lang w:val="es-ES"/>
        </w:rPr>
        <w:t>.</w:t>
      </w:r>
      <w:r w:rsidR="006C7192" w:rsidRPr="00206B37">
        <w:rPr>
          <w:rFonts w:ascii="Trebuchet MS" w:hAnsi="Trebuchet MS"/>
          <w:lang w:val="es-ES"/>
        </w:rPr>
        <w:t xml:space="preserve"> Según lo expuesto, diferenciar ambas etapas, radicando cada una de ellas en un órgano distinto según más se asemeje a sus funciones ya otorgadas, constituye una decisión que resguarda en mejor medida la independencia del TDLC en cuanto órgano jurisdiccional. </w:t>
      </w:r>
      <w:r w:rsidR="00C22E0F" w:rsidRPr="00206B37">
        <w:rPr>
          <w:rFonts w:ascii="Trebuchet MS" w:hAnsi="Trebuchet MS"/>
          <w:lang w:val="es-ES"/>
        </w:rPr>
        <w:t xml:space="preserve"> </w:t>
      </w:r>
      <w:r w:rsidRPr="00206B37">
        <w:rPr>
          <w:rFonts w:ascii="Trebuchet MS" w:hAnsi="Trebuchet MS"/>
          <w:lang w:val="es-ES"/>
        </w:rPr>
        <w:t xml:space="preserve"> </w:t>
      </w:r>
    </w:p>
    <w:p w14:paraId="2361986C" w14:textId="77777777" w:rsidR="006C7192" w:rsidRPr="00206B37" w:rsidRDefault="006C7192" w:rsidP="00665260">
      <w:pPr>
        <w:spacing w:after="0"/>
        <w:jc w:val="both"/>
        <w:rPr>
          <w:rFonts w:ascii="Trebuchet MS" w:hAnsi="Trebuchet MS"/>
          <w:lang w:val="es-ES"/>
        </w:rPr>
      </w:pPr>
    </w:p>
    <w:p w14:paraId="49441564" w14:textId="2714F99A" w:rsidR="006426E6" w:rsidRPr="00206B37" w:rsidRDefault="00C22E0F" w:rsidP="00665260">
      <w:pPr>
        <w:spacing w:after="0"/>
        <w:ind w:firstLine="708"/>
        <w:jc w:val="both"/>
        <w:rPr>
          <w:rFonts w:ascii="Trebuchet MS" w:hAnsi="Trebuchet MS"/>
          <w:lang w:val="es-ES"/>
        </w:rPr>
      </w:pPr>
      <w:r w:rsidRPr="00206B37">
        <w:rPr>
          <w:rFonts w:ascii="Trebuchet MS" w:hAnsi="Trebuchet MS"/>
          <w:lang w:val="es-ES"/>
        </w:rPr>
        <w:t>Por último, y en esta misma línea, cabe recordar que es</w:t>
      </w:r>
      <w:r w:rsidR="00756CDA" w:rsidRPr="00206B37">
        <w:rPr>
          <w:rFonts w:ascii="Trebuchet MS" w:hAnsi="Trebuchet MS"/>
          <w:lang w:val="es-ES"/>
        </w:rPr>
        <w:t xml:space="preserve"> necesario acudir al TDLC para luego poder t</w:t>
      </w:r>
      <w:r w:rsidRPr="00206B37">
        <w:rPr>
          <w:rFonts w:ascii="Trebuchet MS" w:hAnsi="Trebuchet MS"/>
          <w:lang w:val="es-ES"/>
        </w:rPr>
        <w:t xml:space="preserve">ener acceso a la Corte Suprema, pues esta, en materia de </w:t>
      </w:r>
      <w:r w:rsidR="00CB073E" w:rsidRPr="00206B37">
        <w:rPr>
          <w:rFonts w:ascii="Trebuchet MS" w:hAnsi="Trebuchet MS"/>
          <w:lang w:val="es-ES"/>
        </w:rPr>
        <w:t xml:space="preserve">libre </w:t>
      </w:r>
      <w:r w:rsidRPr="00206B37">
        <w:rPr>
          <w:rFonts w:ascii="Trebuchet MS" w:hAnsi="Trebuchet MS"/>
          <w:lang w:val="es-ES"/>
        </w:rPr>
        <w:t xml:space="preserve">competencia, conoce solo </w:t>
      </w:r>
      <w:r w:rsidR="0090436E" w:rsidRPr="00206B37">
        <w:rPr>
          <w:rFonts w:ascii="Trebuchet MS" w:hAnsi="Trebuchet MS"/>
          <w:lang w:val="es-ES"/>
        </w:rPr>
        <w:t>de</w:t>
      </w:r>
      <w:r w:rsidRPr="00206B37">
        <w:rPr>
          <w:rFonts w:ascii="Trebuchet MS" w:hAnsi="Trebuchet MS"/>
          <w:lang w:val="es-ES"/>
        </w:rPr>
        <w:t xml:space="preserve"> recursos de reclamación deducidos contra de las sentencias definitivas y resoluciones de término que dicte el TDLC. Es decir, no habiendo forma de acceder directamente a la Corte Suprema, </w:t>
      </w:r>
      <w:r w:rsidR="0090436E" w:rsidRPr="00206B37">
        <w:rPr>
          <w:rFonts w:ascii="Trebuchet MS" w:hAnsi="Trebuchet MS"/>
          <w:lang w:val="es-ES"/>
        </w:rPr>
        <w:t>y no habiendo</w:t>
      </w:r>
      <w:r w:rsidRPr="00206B37">
        <w:rPr>
          <w:rFonts w:ascii="Trebuchet MS" w:hAnsi="Trebuchet MS"/>
          <w:lang w:val="es-ES"/>
        </w:rPr>
        <w:t xml:space="preserve"> ningún otro órgano jurisdiccional competente para conocer de conflictos de libre competencia, conviene resguardar el rango de tribunal independiente del TDLC. </w:t>
      </w:r>
    </w:p>
    <w:p w14:paraId="02384A42" w14:textId="77777777" w:rsidR="00CF4861" w:rsidRPr="00206B37" w:rsidRDefault="00CF4861" w:rsidP="00CF4861">
      <w:pPr>
        <w:pStyle w:val="Prrafodelista"/>
        <w:spacing w:after="0"/>
        <w:ind w:left="1068"/>
        <w:jc w:val="both"/>
        <w:rPr>
          <w:rFonts w:ascii="Trebuchet MS" w:hAnsi="Trebuchet MS"/>
          <w:b/>
          <w:lang w:val="es-ES"/>
        </w:rPr>
      </w:pPr>
    </w:p>
    <w:p w14:paraId="643B3535" w14:textId="4C12CA45" w:rsidR="006426E6" w:rsidRPr="00206B37" w:rsidRDefault="006426E6" w:rsidP="00B31DC9">
      <w:pPr>
        <w:pStyle w:val="Prrafodelista"/>
        <w:numPr>
          <w:ilvl w:val="0"/>
          <w:numId w:val="5"/>
        </w:numPr>
        <w:spacing w:after="0"/>
        <w:jc w:val="both"/>
        <w:rPr>
          <w:rFonts w:ascii="Trebuchet MS" w:hAnsi="Trebuchet MS"/>
          <w:b/>
          <w:lang w:val="es-ES"/>
        </w:rPr>
      </w:pPr>
      <w:r w:rsidRPr="00206B37">
        <w:rPr>
          <w:rFonts w:ascii="Trebuchet MS" w:hAnsi="Trebuchet MS"/>
          <w:b/>
          <w:lang w:val="es-ES"/>
        </w:rPr>
        <w:t xml:space="preserve">Eventualmente, </w:t>
      </w:r>
      <w:r w:rsidR="00222AB5">
        <w:rPr>
          <w:rFonts w:ascii="Trebuchet MS" w:hAnsi="Trebuchet MS"/>
          <w:b/>
          <w:lang w:val="es-ES"/>
        </w:rPr>
        <w:t>la S</w:t>
      </w:r>
      <w:r w:rsidRPr="00206B37">
        <w:rPr>
          <w:rFonts w:ascii="Trebuchet MS" w:hAnsi="Trebuchet MS"/>
          <w:b/>
          <w:lang w:val="es-ES"/>
        </w:rPr>
        <w:t>ubsecretaría de Pesca</w:t>
      </w:r>
      <w:r w:rsidR="00531AEE">
        <w:rPr>
          <w:rFonts w:ascii="Trebuchet MS" w:hAnsi="Trebuchet MS"/>
          <w:b/>
          <w:lang w:val="es-ES"/>
        </w:rPr>
        <w:t xml:space="preserve"> y Acuicultura</w:t>
      </w:r>
      <w:r w:rsidRPr="00206B37">
        <w:rPr>
          <w:rFonts w:ascii="Trebuchet MS" w:hAnsi="Trebuchet MS"/>
          <w:b/>
          <w:lang w:val="es-ES"/>
        </w:rPr>
        <w:t xml:space="preserve"> ya no depender</w:t>
      </w:r>
      <w:r w:rsidR="00222AB5">
        <w:rPr>
          <w:rFonts w:ascii="Trebuchet MS" w:hAnsi="Trebuchet MS"/>
          <w:b/>
          <w:lang w:val="es-ES"/>
        </w:rPr>
        <w:t>á</w:t>
      </w:r>
      <w:r w:rsidRPr="00206B37">
        <w:rPr>
          <w:rFonts w:ascii="Trebuchet MS" w:hAnsi="Trebuchet MS"/>
          <w:b/>
          <w:lang w:val="es-ES"/>
        </w:rPr>
        <w:t xml:space="preserve"> del Ministerio de Economía, Fomento y Turismo, sino del n</w:t>
      </w:r>
      <w:r w:rsidR="00531AEE">
        <w:rPr>
          <w:rFonts w:ascii="Trebuchet MS" w:hAnsi="Trebuchet MS"/>
          <w:b/>
          <w:lang w:val="es-ES"/>
        </w:rPr>
        <w:t>uevo Ministerio de Agricultura, Alimentos y Desarrollo Rural.</w:t>
      </w:r>
    </w:p>
    <w:p w14:paraId="4E751396" w14:textId="77777777" w:rsidR="009A46ED" w:rsidRPr="00206B37" w:rsidRDefault="009A46ED" w:rsidP="00852393">
      <w:pPr>
        <w:spacing w:after="0"/>
        <w:rPr>
          <w:rFonts w:ascii="Trebuchet MS" w:hAnsi="Trebuchet MS"/>
          <w:lang w:val="es-ES"/>
        </w:rPr>
      </w:pPr>
    </w:p>
    <w:p w14:paraId="39575A9C" w14:textId="77777777" w:rsidR="0030018F" w:rsidRDefault="00524DC9" w:rsidP="00B86D51">
      <w:pPr>
        <w:spacing w:after="0"/>
        <w:ind w:firstLine="708"/>
        <w:jc w:val="both"/>
        <w:rPr>
          <w:rFonts w:ascii="Trebuchet MS" w:hAnsi="Trebuchet MS"/>
          <w:lang w:val="es-ES"/>
        </w:rPr>
      </w:pPr>
      <w:r>
        <w:rPr>
          <w:rFonts w:ascii="Trebuchet MS" w:hAnsi="Trebuchet MS"/>
          <w:lang w:val="es-ES"/>
        </w:rPr>
        <w:t xml:space="preserve">Como </w:t>
      </w:r>
      <w:r w:rsidR="00531AEE">
        <w:rPr>
          <w:rFonts w:ascii="Trebuchet MS" w:hAnsi="Trebuchet MS"/>
          <w:lang w:val="es-ES"/>
        </w:rPr>
        <w:t xml:space="preserve">es de conocimiento público, mediante el boletín 13218-06 </w:t>
      </w:r>
      <w:r>
        <w:rPr>
          <w:rFonts w:ascii="Trebuchet MS" w:hAnsi="Trebuchet MS"/>
          <w:lang w:val="es-ES"/>
        </w:rPr>
        <w:t xml:space="preserve">se está </w:t>
      </w:r>
      <w:r w:rsidR="0030018F">
        <w:rPr>
          <w:rFonts w:ascii="Trebuchet MS" w:hAnsi="Trebuchet MS"/>
          <w:lang w:val="es-ES"/>
        </w:rPr>
        <w:t xml:space="preserve">discutiendo </w:t>
      </w:r>
      <w:r>
        <w:rPr>
          <w:rFonts w:ascii="Trebuchet MS" w:hAnsi="Trebuchet MS"/>
          <w:lang w:val="es-ES"/>
        </w:rPr>
        <w:t xml:space="preserve">un </w:t>
      </w:r>
      <w:r w:rsidR="00B86D51" w:rsidRPr="00206B37">
        <w:rPr>
          <w:rFonts w:ascii="Trebuchet MS" w:hAnsi="Trebuchet MS"/>
          <w:lang w:val="es-ES"/>
        </w:rPr>
        <w:t>proyecto de ley que crea</w:t>
      </w:r>
      <w:r w:rsidR="0030018F">
        <w:rPr>
          <w:rFonts w:ascii="Trebuchet MS" w:hAnsi="Trebuchet MS"/>
          <w:lang w:val="es-ES"/>
        </w:rPr>
        <w:t xml:space="preserve"> el Ministerio de Agricultura, </w:t>
      </w:r>
      <w:r w:rsidR="00B86D51" w:rsidRPr="00206B37">
        <w:rPr>
          <w:rFonts w:ascii="Trebuchet MS" w:hAnsi="Trebuchet MS"/>
          <w:lang w:val="es-ES"/>
        </w:rPr>
        <w:t>Alimentos</w:t>
      </w:r>
      <w:r w:rsidR="0030018F">
        <w:rPr>
          <w:rFonts w:ascii="Trebuchet MS" w:hAnsi="Trebuchet MS"/>
          <w:lang w:val="es-ES"/>
        </w:rPr>
        <w:t xml:space="preserve"> y Desarrollo Rural</w:t>
      </w:r>
      <w:r>
        <w:rPr>
          <w:rFonts w:ascii="Trebuchet MS" w:hAnsi="Trebuchet MS"/>
          <w:lang w:val="es-ES"/>
        </w:rPr>
        <w:t xml:space="preserve"> que</w:t>
      </w:r>
      <w:r w:rsidR="00B86D51" w:rsidRPr="00206B37">
        <w:rPr>
          <w:rFonts w:ascii="Trebuchet MS" w:hAnsi="Trebuchet MS"/>
          <w:lang w:val="es-ES"/>
        </w:rPr>
        <w:t xml:space="preserve"> considera el traspaso de la totalidad de la institucionalidad de Pesca y Acuicultura desde el Ministerio de Economía, Fomento y Turismo, al nuevo Ministerio. Con ello, se eliminaría la aprehensión en torno a la “dependencia” de la FNE resp</w:t>
      </w:r>
      <w:r w:rsidR="0030018F">
        <w:rPr>
          <w:rFonts w:ascii="Trebuchet MS" w:hAnsi="Trebuchet MS"/>
          <w:lang w:val="es-ES"/>
        </w:rPr>
        <w:t xml:space="preserve">ecto del Ministerio de Economía, dependencia que en términos jurídicos, no es tal, según se h indicado. </w:t>
      </w:r>
    </w:p>
    <w:p w14:paraId="631A8509" w14:textId="77777777" w:rsidR="0030018F" w:rsidRDefault="0030018F" w:rsidP="00B86D51">
      <w:pPr>
        <w:spacing w:after="0"/>
        <w:ind w:firstLine="708"/>
        <w:jc w:val="both"/>
        <w:rPr>
          <w:rFonts w:ascii="Trebuchet MS" w:hAnsi="Trebuchet MS"/>
          <w:lang w:val="es-ES"/>
        </w:rPr>
      </w:pPr>
    </w:p>
    <w:p w14:paraId="7C7D3974" w14:textId="631FC43C" w:rsidR="00852393" w:rsidRPr="0030018F" w:rsidRDefault="0030018F" w:rsidP="00B86D51">
      <w:pPr>
        <w:spacing w:after="0"/>
        <w:ind w:firstLine="708"/>
        <w:jc w:val="both"/>
        <w:rPr>
          <w:rFonts w:ascii="Trebuchet MS" w:hAnsi="Trebuchet MS"/>
          <w:b/>
          <w:lang w:val="es-ES"/>
        </w:rPr>
      </w:pPr>
      <w:r w:rsidRPr="0030018F">
        <w:rPr>
          <w:rFonts w:ascii="Trebuchet MS" w:hAnsi="Trebuchet MS"/>
          <w:b/>
          <w:lang w:val="es-ES"/>
        </w:rPr>
        <w:t>4) Causas sobre la materia discutidas ante e TDLC.</w:t>
      </w:r>
      <w:r w:rsidR="00B86D51" w:rsidRPr="0030018F">
        <w:rPr>
          <w:rFonts w:ascii="Trebuchet MS" w:hAnsi="Trebuchet MS"/>
          <w:b/>
          <w:lang w:val="es-ES"/>
        </w:rPr>
        <w:t xml:space="preserve"> </w:t>
      </w:r>
    </w:p>
    <w:p w14:paraId="6B1220C8" w14:textId="4A1C179F" w:rsidR="00852393" w:rsidRDefault="00852393" w:rsidP="00852393">
      <w:pPr>
        <w:spacing w:after="0"/>
        <w:jc w:val="both"/>
        <w:rPr>
          <w:rFonts w:ascii="Trebuchet MS" w:hAnsi="Trebuchet MS"/>
          <w:lang w:val="es-ES"/>
        </w:rPr>
      </w:pPr>
    </w:p>
    <w:p w14:paraId="32C30D2C" w14:textId="5ABE6229" w:rsidR="0030018F" w:rsidRDefault="0030018F" w:rsidP="00852393">
      <w:pPr>
        <w:spacing w:after="0"/>
        <w:jc w:val="both"/>
        <w:rPr>
          <w:rFonts w:ascii="Trebuchet MS" w:hAnsi="Trebuchet MS"/>
          <w:lang w:val="es-ES"/>
        </w:rPr>
      </w:pPr>
      <w:r>
        <w:rPr>
          <w:rFonts w:ascii="Trebuchet MS" w:hAnsi="Trebuchet MS"/>
          <w:lang w:val="es-ES"/>
        </w:rPr>
        <w:tab/>
        <w:t>Respecto a la competencia del TDLC cabe señalar que a la fecha se han tramitado las siguientes causas ante dicho tribunal:</w:t>
      </w:r>
    </w:p>
    <w:p w14:paraId="54C8A971" w14:textId="3BD16B89" w:rsidR="0030018F" w:rsidRDefault="0030018F" w:rsidP="00852393">
      <w:pPr>
        <w:spacing w:after="0"/>
        <w:jc w:val="both"/>
        <w:rPr>
          <w:rFonts w:ascii="Trebuchet MS" w:hAnsi="Trebuchet MS"/>
          <w:lang w:val="es-ES"/>
        </w:rPr>
      </w:pPr>
    </w:p>
    <w:p w14:paraId="3C880140" w14:textId="35E3EB67" w:rsidR="0030018F" w:rsidRPr="0030018F" w:rsidRDefault="0030018F" w:rsidP="0030018F">
      <w:pPr>
        <w:spacing w:after="0"/>
        <w:jc w:val="both"/>
        <w:rPr>
          <w:rFonts w:ascii="Trebuchet MS" w:hAnsi="Trebuchet MS"/>
          <w:lang w:val="es-ES"/>
        </w:rPr>
      </w:pPr>
      <w:r w:rsidRPr="0030018F">
        <w:rPr>
          <w:rFonts w:ascii="Trebuchet MS" w:hAnsi="Trebuchet MS"/>
          <w:lang w:val="es-ES"/>
        </w:rPr>
        <w:lastRenderedPageBreak/>
        <w:t>Sociedad Nacional de Pesca F.G. (SONPAESCA) ante el Tribunal de la</w:t>
      </w:r>
      <w:r>
        <w:rPr>
          <w:rFonts w:ascii="Trebuchet MS" w:hAnsi="Trebuchet MS"/>
          <w:lang w:val="es-ES"/>
        </w:rPr>
        <w:t xml:space="preserve"> Libre Competencia, Rol Nº 364,</w:t>
      </w:r>
      <w:r w:rsidRPr="0030018F">
        <w:rPr>
          <w:rFonts w:ascii="Trebuchet MS" w:hAnsi="Trebuchet MS"/>
          <w:lang w:val="es-ES"/>
        </w:rPr>
        <w:t xml:space="preserve"> N° 365</w:t>
      </w:r>
      <w:r>
        <w:rPr>
          <w:rFonts w:ascii="Trebuchet MS" w:hAnsi="Trebuchet MS"/>
          <w:lang w:val="es-ES"/>
        </w:rPr>
        <w:t xml:space="preserve"> y N° 366</w:t>
      </w:r>
      <w:r w:rsidRPr="0030018F">
        <w:rPr>
          <w:rFonts w:ascii="Trebuchet MS" w:hAnsi="Trebuchet MS"/>
          <w:lang w:val="es-ES"/>
        </w:rPr>
        <w:t>, de 2018, deducidas en contra de la Subsecretaría de Pesca y Acuicult</w:t>
      </w:r>
      <w:r w:rsidR="005528BA">
        <w:rPr>
          <w:rFonts w:ascii="Trebuchet MS" w:hAnsi="Trebuchet MS"/>
          <w:lang w:val="es-ES"/>
        </w:rPr>
        <w:t xml:space="preserve">ura por </w:t>
      </w:r>
      <w:r w:rsidRPr="0030018F">
        <w:rPr>
          <w:rFonts w:ascii="Trebuchet MS" w:hAnsi="Trebuchet MS"/>
          <w:lang w:val="es-ES"/>
        </w:rPr>
        <w:t xml:space="preserve">supuesta infracción a los artículos 3° y 4° del D.L. N° 211, </w:t>
      </w:r>
      <w:r w:rsidR="005528BA">
        <w:rPr>
          <w:rFonts w:ascii="Trebuchet MS" w:hAnsi="Trebuchet MS"/>
          <w:lang w:val="es-ES"/>
        </w:rPr>
        <w:t>en</w:t>
      </w:r>
      <w:r w:rsidRPr="0030018F">
        <w:rPr>
          <w:rFonts w:ascii="Trebuchet MS" w:hAnsi="Trebuchet MS"/>
          <w:lang w:val="es-ES"/>
        </w:rPr>
        <w:t xml:space="preserve"> la subasta de la cuota de licencias transables de pesca clase B pesquería Sardina Común V-X Regiones, aprobadas mediante Resolución Exenta N° 3162 d</w:t>
      </w:r>
      <w:r w:rsidR="005528BA">
        <w:rPr>
          <w:rFonts w:ascii="Trebuchet MS" w:hAnsi="Trebuchet MS"/>
          <w:lang w:val="es-ES"/>
        </w:rPr>
        <w:t xml:space="preserve">e fecha 19 de noviembre de 2015; pesquería de Jurel XV-II, III-IV, V-IX, XIV-X regiones contenidas en la Resolución Exenta N° 3944 de fecha 27 de noviembre de 2017; y </w:t>
      </w:r>
      <w:r w:rsidR="00B43C4B">
        <w:rPr>
          <w:rFonts w:ascii="Trebuchet MS" w:hAnsi="Trebuchet MS"/>
          <w:lang w:val="es-ES"/>
        </w:rPr>
        <w:t xml:space="preserve">congrio dorado, merluza del sur y anchoveta contenidas en las Resoluciones Exentas N°s 4145, 4146, 4148, 4149, 4159, 4151 respectivamente de 28 de noviembre de 2018. </w:t>
      </w:r>
    </w:p>
    <w:p w14:paraId="76F8C936" w14:textId="244F79C2" w:rsidR="0030018F" w:rsidRPr="0030018F" w:rsidRDefault="0030018F" w:rsidP="0030018F">
      <w:pPr>
        <w:spacing w:after="0"/>
        <w:jc w:val="both"/>
        <w:rPr>
          <w:rFonts w:ascii="Trebuchet MS" w:hAnsi="Trebuchet MS"/>
          <w:lang w:val="es-ES"/>
        </w:rPr>
      </w:pPr>
    </w:p>
    <w:p w14:paraId="414C1DB8" w14:textId="5ED3E562" w:rsidR="0030018F" w:rsidRPr="0030018F" w:rsidRDefault="0030018F" w:rsidP="0030018F">
      <w:pPr>
        <w:spacing w:after="0"/>
        <w:jc w:val="both"/>
        <w:rPr>
          <w:rFonts w:ascii="Trebuchet MS" w:hAnsi="Trebuchet MS"/>
          <w:lang w:val="es-ES"/>
        </w:rPr>
      </w:pPr>
    </w:p>
    <w:p w14:paraId="6C1744A7" w14:textId="41FC000A" w:rsidR="0030018F" w:rsidRDefault="00B43C4B" w:rsidP="0030018F">
      <w:pPr>
        <w:spacing w:after="0"/>
        <w:jc w:val="both"/>
        <w:rPr>
          <w:rFonts w:ascii="Trebuchet MS" w:hAnsi="Trebuchet MS"/>
          <w:lang w:val="es-ES"/>
        </w:rPr>
      </w:pPr>
      <w:r>
        <w:rPr>
          <w:rFonts w:ascii="Trebuchet MS" w:hAnsi="Trebuchet MS"/>
          <w:lang w:val="es-ES"/>
        </w:rPr>
        <w:t xml:space="preserve">Por último, también se ha tramitado la causa no contenciosa, </w:t>
      </w:r>
      <w:r w:rsidR="0030018F" w:rsidRPr="0030018F">
        <w:rPr>
          <w:rFonts w:ascii="Trebuchet MS" w:hAnsi="Trebuchet MS"/>
          <w:lang w:val="es-ES"/>
        </w:rPr>
        <w:t>causa ROL N° 450-18, Caratulados “Consulta de PACIFICBLU SpA. y otro sobre las bases de la subasta de licencias transables de pesca clase B, para merluza com</w:t>
      </w:r>
      <w:r>
        <w:rPr>
          <w:rFonts w:ascii="Trebuchet MS" w:hAnsi="Trebuchet MS"/>
          <w:lang w:val="es-ES"/>
        </w:rPr>
        <w:t xml:space="preserve">ún, en las regiones que indica”. </w:t>
      </w:r>
    </w:p>
    <w:p w14:paraId="5807A9D7" w14:textId="77777777" w:rsidR="0030018F" w:rsidRPr="00206B37" w:rsidRDefault="0030018F" w:rsidP="00852393">
      <w:pPr>
        <w:spacing w:after="0"/>
        <w:jc w:val="both"/>
        <w:rPr>
          <w:rFonts w:ascii="Trebuchet MS" w:hAnsi="Trebuchet MS"/>
          <w:lang w:val="es-ES"/>
        </w:rPr>
      </w:pPr>
    </w:p>
    <w:p w14:paraId="31808C6C" w14:textId="77777777" w:rsidR="00852393" w:rsidRPr="00206B37" w:rsidRDefault="00852393" w:rsidP="00852393">
      <w:pPr>
        <w:spacing w:after="0"/>
        <w:rPr>
          <w:rFonts w:ascii="Trebuchet MS" w:hAnsi="Trebuchet MS"/>
          <w:b/>
          <w:lang w:val="es-ES"/>
        </w:rPr>
      </w:pPr>
    </w:p>
    <w:sectPr w:rsidR="00852393" w:rsidRPr="00206B3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72330" w14:textId="77777777" w:rsidR="00DE3671" w:rsidRDefault="00DE3671" w:rsidP="00B31DC9">
      <w:pPr>
        <w:spacing w:after="0" w:line="240" w:lineRule="auto"/>
      </w:pPr>
      <w:r>
        <w:separator/>
      </w:r>
    </w:p>
  </w:endnote>
  <w:endnote w:type="continuationSeparator" w:id="0">
    <w:p w14:paraId="410F9778" w14:textId="77777777" w:rsidR="00DE3671" w:rsidRDefault="00DE3671" w:rsidP="00B3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LCPODK+Arial">
    <w:altName w:val="Arial"/>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New Roman (Cuerpo en alfa">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0607890"/>
      <w:docPartObj>
        <w:docPartGallery w:val="Page Numbers (Bottom of Page)"/>
        <w:docPartUnique/>
      </w:docPartObj>
    </w:sdtPr>
    <w:sdtEndPr/>
    <w:sdtContent>
      <w:p w14:paraId="3B089496" w14:textId="5150FFDA" w:rsidR="0090436E" w:rsidRDefault="0090436E">
        <w:pPr>
          <w:pStyle w:val="Piedepgina"/>
          <w:jc w:val="center"/>
        </w:pPr>
        <w:r w:rsidRPr="0090436E">
          <w:rPr>
            <w:rFonts w:ascii="Garamond" w:hAnsi="Garamond"/>
          </w:rPr>
          <w:fldChar w:fldCharType="begin"/>
        </w:r>
        <w:r w:rsidRPr="0090436E">
          <w:rPr>
            <w:rFonts w:ascii="Garamond" w:hAnsi="Garamond"/>
          </w:rPr>
          <w:instrText>PAGE   \* MERGEFORMAT</w:instrText>
        </w:r>
        <w:r w:rsidRPr="0090436E">
          <w:rPr>
            <w:rFonts w:ascii="Garamond" w:hAnsi="Garamond"/>
          </w:rPr>
          <w:fldChar w:fldCharType="separate"/>
        </w:r>
        <w:r w:rsidR="00F22729" w:rsidRPr="00F22729">
          <w:rPr>
            <w:rFonts w:ascii="Garamond" w:hAnsi="Garamond"/>
            <w:noProof/>
            <w:lang w:val="es-ES"/>
          </w:rPr>
          <w:t>1</w:t>
        </w:r>
        <w:r w:rsidRPr="0090436E">
          <w:rPr>
            <w:rFonts w:ascii="Garamond" w:hAnsi="Garamond"/>
          </w:rPr>
          <w:fldChar w:fldCharType="end"/>
        </w:r>
      </w:p>
    </w:sdtContent>
  </w:sdt>
  <w:p w14:paraId="53391B2D" w14:textId="77777777" w:rsidR="0090436E" w:rsidRDefault="009043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639ED" w14:textId="77777777" w:rsidR="00DE3671" w:rsidRDefault="00DE3671" w:rsidP="00B31DC9">
      <w:pPr>
        <w:spacing w:after="0" w:line="240" w:lineRule="auto"/>
      </w:pPr>
      <w:r>
        <w:separator/>
      </w:r>
    </w:p>
  </w:footnote>
  <w:footnote w:type="continuationSeparator" w:id="0">
    <w:p w14:paraId="0B03B764" w14:textId="77777777" w:rsidR="00DE3671" w:rsidRDefault="00DE3671" w:rsidP="00B31DC9">
      <w:pPr>
        <w:spacing w:after="0" w:line="240" w:lineRule="auto"/>
      </w:pPr>
      <w:r>
        <w:continuationSeparator/>
      </w:r>
    </w:p>
  </w:footnote>
  <w:footnote w:id="1">
    <w:p w14:paraId="18B004F8" w14:textId="77777777" w:rsidR="0090436E" w:rsidRPr="006C7192" w:rsidRDefault="0090436E" w:rsidP="006C7192">
      <w:pPr>
        <w:pStyle w:val="Textonotapie"/>
        <w:jc w:val="both"/>
        <w:rPr>
          <w:rFonts w:ascii="Garamond" w:hAnsi="Garamond"/>
          <w:lang w:val="es-ES"/>
        </w:rPr>
      </w:pPr>
      <w:r w:rsidRPr="006C7192">
        <w:rPr>
          <w:rStyle w:val="Refdenotaalpie"/>
          <w:rFonts w:ascii="Garamond" w:hAnsi="Garamond"/>
        </w:rPr>
        <w:footnoteRef/>
      </w:r>
      <w:r w:rsidRPr="006C7192">
        <w:rPr>
          <w:rFonts w:ascii="Garamond" w:hAnsi="Garamond"/>
        </w:rPr>
        <w:t xml:space="preserve"> Ley General de Pesca y Acuicultura y sus modificaciones, cuyo texto refundido, coordinado y sistematizado se encuentra contenido en el decreto supremo N° 430 del Ministerio de Economía, Fomento y Reconstrucción, hoy Ministerio de Economía, Fomento y Turismo, del año 1991.</w:t>
      </w:r>
    </w:p>
  </w:footnote>
  <w:footnote w:id="2">
    <w:p w14:paraId="33BB571E" w14:textId="403ABED3" w:rsidR="00B31DC9" w:rsidRPr="006C7192" w:rsidRDefault="00B31DC9" w:rsidP="006C7192">
      <w:pPr>
        <w:pStyle w:val="Textonotapie"/>
        <w:jc w:val="both"/>
        <w:rPr>
          <w:rFonts w:ascii="Garamond" w:hAnsi="Garamond"/>
          <w:lang w:val="es-ES"/>
        </w:rPr>
      </w:pPr>
      <w:r w:rsidRPr="006C7192">
        <w:rPr>
          <w:rStyle w:val="Refdenotaalpie"/>
          <w:rFonts w:ascii="Garamond" w:hAnsi="Garamond"/>
        </w:rPr>
        <w:footnoteRef/>
      </w:r>
      <w:r w:rsidRPr="006C7192">
        <w:rPr>
          <w:rFonts w:ascii="Garamond" w:hAnsi="Garamond"/>
        </w:rPr>
        <w:t xml:space="preserve"> </w:t>
      </w:r>
      <w:r w:rsidRPr="006C7192">
        <w:rPr>
          <w:rFonts w:ascii="Garamond" w:hAnsi="Garamond"/>
          <w:lang w:val="es-ES"/>
        </w:rPr>
        <w:t>Todas contenidas, principalmente, en el artículo 18 DL N° 211.</w:t>
      </w:r>
    </w:p>
  </w:footnote>
  <w:footnote w:id="3">
    <w:p w14:paraId="3509D624" w14:textId="77777777" w:rsidR="00B31DC9" w:rsidRPr="006C7192" w:rsidRDefault="00B31DC9" w:rsidP="006C7192">
      <w:pPr>
        <w:pStyle w:val="Textonotapie"/>
        <w:jc w:val="both"/>
        <w:rPr>
          <w:rFonts w:ascii="Garamond" w:hAnsi="Garamond"/>
          <w:lang w:val="es-ES"/>
        </w:rPr>
      </w:pPr>
      <w:r w:rsidRPr="006C7192">
        <w:rPr>
          <w:rStyle w:val="Refdenotaalpie"/>
          <w:rFonts w:ascii="Garamond" w:hAnsi="Garamond"/>
        </w:rPr>
        <w:footnoteRef/>
      </w:r>
      <w:r w:rsidRPr="006C7192">
        <w:rPr>
          <w:rFonts w:ascii="Garamond" w:hAnsi="Garamond"/>
        </w:rPr>
        <w:t xml:space="preserve"> </w:t>
      </w:r>
      <w:r w:rsidRPr="006C7192">
        <w:rPr>
          <w:rFonts w:ascii="Garamond" w:hAnsi="Garamond"/>
          <w:lang w:val="es-ES"/>
        </w:rPr>
        <w:t xml:space="preserve">Consultas que formulen las partes; sea quienes tengan interés legítimo o el Fiscal Nacional Económico. Lo anterior no comprende las consultas sobre operaciones de concentración, las cuales son evaluadas por la FNE. </w:t>
      </w:r>
    </w:p>
  </w:footnote>
  <w:footnote w:id="4">
    <w:p w14:paraId="23B31390" w14:textId="5CF68330" w:rsidR="004D7317" w:rsidRDefault="004D7317" w:rsidP="00206B37">
      <w:pPr>
        <w:pStyle w:val="Textonotapie"/>
        <w:jc w:val="both"/>
      </w:pPr>
      <w:r>
        <w:rPr>
          <w:rStyle w:val="Refdenotaalpie"/>
        </w:rPr>
        <w:footnoteRef/>
      </w:r>
      <w:r>
        <w:t xml:space="preserve"> </w:t>
      </w:r>
      <w:r w:rsidRPr="00206B37">
        <w:rPr>
          <w:rFonts w:ascii="Garamond" w:hAnsi="Garamond"/>
        </w:rPr>
        <w:t xml:space="preserve">Resolución N° 4, de 2005, </w:t>
      </w:r>
      <w:r w:rsidR="00290130">
        <w:rPr>
          <w:rFonts w:ascii="Garamond" w:hAnsi="Garamond"/>
        </w:rPr>
        <w:t xml:space="preserve">del Tribunal de Defensa de la Libre Competencia, </w:t>
      </w:r>
      <w:r w:rsidRPr="00206B37">
        <w:rPr>
          <w:rFonts w:ascii="Garamond" w:hAnsi="Garamond"/>
        </w:rPr>
        <w:t>rol N° 29-04, considerando undécimo.</w:t>
      </w:r>
    </w:p>
  </w:footnote>
  <w:footnote w:id="5">
    <w:p w14:paraId="65A462F5" w14:textId="7A8E20BD" w:rsidR="00CF4861" w:rsidRPr="006C7192" w:rsidRDefault="00CF4861" w:rsidP="006C7192">
      <w:pPr>
        <w:pStyle w:val="Textonotapie"/>
        <w:jc w:val="both"/>
        <w:rPr>
          <w:rFonts w:ascii="Garamond" w:hAnsi="Garamond"/>
          <w:lang w:val="es-ES"/>
        </w:rPr>
      </w:pPr>
      <w:r w:rsidRPr="006C7192">
        <w:rPr>
          <w:rStyle w:val="Refdenotaalpie"/>
          <w:rFonts w:ascii="Garamond" w:hAnsi="Garamond"/>
        </w:rPr>
        <w:footnoteRef/>
      </w:r>
      <w:r w:rsidRPr="006C7192">
        <w:rPr>
          <w:rFonts w:ascii="Garamond" w:hAnsi="Garamond"/>
        </w:rPr>
        <w:t xml:space="preserve"> </w:t>
      </w:r>
      <w:r w:rsidR="00B37D42">
        <w:rPr>
          <w:rFonts w:ascii="Garamond" w:hAnsi="Garamond"/>
        </w:rPr>
        <w:t xml:space="preserve">Resolutivo N° 9, </w:t>
      </w:r>
      <w:r w:rsidRPr="006C7192">
        <w:rPr>
          <w:rFonts w:ascii="Garamond" w:hAnsi="Garamond"/>
        </w:rPr>
        <w:t>Instrucciones de Carácter General N° 1/2006 para el Mercado de la Recolección, Transporte y Disposición Final de Residuos Sólidos Domiciliarios, Aplicables a Todo el Territorio Nacional, de 8 de junio de 2006</w:t>
      </w:r>
      <w:r w:rsidR="004D7317">
        <w:rPr>
          <w:rFonts w:ascii="Garamond" w:hAnsi="Garamond"/>
        </w:rPr>
        <w:t xml:space="preserve">, </w:t>
      </w:r>
      <w:r w:rsidR="00290130">
        <w:rPr>
          <w:rFonts w:ascii="Garamond" w:hAnsi="Garamond"/>
        </w:rPr>
        <w:t>del Tribunal de Defensa de la Libre Competencia</w:t>
      </w:r>
      <w:r w:rsidR="004D7317">
        <w:rPr>
          <w:rFonts w:ascii="Garamond" w:hAnsi="Garamond"/>
        </w:rPr>
        <w:t xml:space="preserve">. </w:t>
      </w:r>
    </w:p>
  </w:footnote>
  <w:footnote w:id="6">
    <w:p w14:paraId="6E754E35" w14:textId="221D9DB7" w:rsidR="00CF4861" w:rsidRPr="006C7192" w:rsidRDefault="00CF4861" w:rsidP="006C7192">
      <w:pPr>
        <w:pStyle w:val="Textonotapie"/>
        <w:jc w:val="both"/>
        <w:rPr>
          <w:rFonts w:ascii="Garamond" w:hAnsi="Garamond"/>
          <w:lang w:val="es-ES"/>
        </w:rPr>
      </w:pPr>
      <w:r w:rsidRPr="006C7192">
        <w:rPr>
          <w:rStyle w:val="Refdenotaalpie"/>
          <w:rFonts w:ascii="Garamond" w:hAnsi="Garamond"/>
        </w:rPr>
        <w:footnoteRef/>
      </w:r>
      <w:r w:rsidRPr="006C7192">
        <w:rPr>
          <w:rFonts w:ascii="Garamond" w:hAnsi="Garamond"/>
        </w:rPr>
        <w:t xml:space="preserve"> </w:t>
      </w:r>
      <w:r w:rsidRPr="006C7192">
        <w:rPr>
          <w:rFonts w:ascii="Garamond" w:hAnsi="Garamond"/>
          <w:lang w:val="es-ES"/>
        </w:rPr>
        <w:t xml:space="preserve">Instrucciones de Carácter General N° 3/2013, modifica Instrucciones de Carácter General </w:t>
      </w:r>
      <w:r w:rsidR="006C133C">
        <w:rPr>
          <w:rFonts w:ascii="Garamond" w:hAnsi="Garamond"/>
          <w:lang w:val="es-ES"/>
        </w:rPr>
        <w:t>N</w:t>
      </w:r>
      <w:r w:rsidRPr="006C7192">
        <w:rPr>
          <w:rFonts w:ascii="Garamond" w:hAnsi="Garamond"/>
          <w:lang w:val="es-ES"/>
        </w:rPr>
        <w:t>° 1/2006 para el mercado de la recolección, transporte y disposición final de residuos sólidos domiciliarios, aplicables a todo el territorio nacional, de 21 de marzo de 2013</w:t>
      </w:r>
      <w:r w:rsidR="006C133C">
        <w:rPr>
          <w:rFonts w:ascii="Garamond" w:hAnsi="Garamond"/>
          <w:lang w:val="es-ES"/>
        </w:rPr>
        <w:t xml:space="preserve">, </w:t>
      </w:r>
      <w:r w:rsidR="006C133C">
        <w:rPr>
          <w:rFonts w:ascii="Garamond" w:hAnsi="Garamond"/>
        </w:rPr>
        <w:t>del Tribunal de Defensa de la Libre Competencia</w:t>
      </w:r>
      <w:r w:rsidRPr="006C7192">
        <w:rPr>
          <w:rFonts w:ascii="Garamond" w:hAnsi="Garamond"/>
          <w:lang w:val="es-ES"/>
        </w:rPr>
        <w:t xml:space="preserve">. </w:t>
      </w:r>
    </w:p>
  </w:footnote>
  <w:footnote w:id="7">
    <w:p w14:paraId="2546351A" w14:textId="65383D69" w:rsidR="00CF4861" w:rsidRPr="006C7192" w:rsidRDefault="00CF4861" w:rsidP="006C7192">
      <w:pPr>
        <w:pStyle w:val="Textonotapie"/>
        <w:jc w:val="both"/>
        <w:rPr>
          <w:rFonts w:ascii="Garamond" w:hAnsi="Garamond"/>
          <w:lang w:val="es-ES"/>
        </w:rPr>
      </w:pPr>
      <w:r w:rsidRPr="006C7192">
        <w:rPr>
          <w:rStyle w:val="Refdenotaalpie"/>
          <w:rFonts w:ascii="Garamond" w:hAnsi="Garamond"/>
        </w:rPr>
        <w:footnoteRef/>
      </w:r>
      <w:r w:rsidRPr="006C7192">
        <w:rPr>
          <w:rFonts w:ascii="Garamond" w:hAnsi="Garamond"/>
        </w:rPr>
        <w:t xml:space="preserve"> </w:t>
      </w:r>
      <w:r w:rsidRPr="006C7192">
        <w:rPr>
          <w:rFonts w:ascii="Garamond" w:hAnsi="Garamond"/>
          <w:lang w:val="es-ES"/>
        </w:rPr>
        <w:t xml:space="preserve">Considerando vigésimo cuarto de las Instrucciones de Carácter General N° 3/2013, modifica Instrucciones de Carácter General </w:t>
      </w:r>
      <w:r w:rsidR="006C133C">
        <w:rPr>
          <w:rFonts w:ascii="Garamond" w:hAnsi="Garamond"/>
          <w:lang w:val="es-ES"/>
        </w:rPr>
        <w:t>N</w:t>
      </w:r>
      <w:r w:rsidRPr="006C7192">
        <w:rPr>
          <w:rFonts w:ascii="Garamond" w:hAnsi="Garamond"/>
          <w:lang w:val="es-ES"/>
        </w:rPr>
        <w:t>° 1/2006 para el mercado de la recolección, transporte y disposición final de residuos sólidos domiciliarios, aplicables a todo el territorio nacional, de 21 de marzo de 2013</w:t>
      </w:r>
      <w:r w:rsidR="006C133C">
        <w:rPr>
          <w:rFonts w:ascii="Garamond" w:hAnsi="Garamond"/>
          <w:lang w:val="es-ES"/>
        </w:rPr>
        <w:t xml:space="preserve">, </w:t>
      </w:r>
      <w:r w:rsidR="006C133C">
        <w:rPr>
          <w:rFonts w:ascii="Garamond" w:hAnsi="Garamond"/>
        </w:rPr>
        <w:t>del Tribunal de Defensa de la Libre Competencia</w:t>
      </w:r>
      <w:r w:rsidRPr="006C7192">
        <w:rPr>
          <w:rFonts w:ascii="Garamond" w:hAnsi="Garamond"/>
          <w:lang w:val="es-ES"/>
        </w:rPr>
        <w:t>.</w:t>
      </w:r>
    </w:p>
  </w:footnote>
  <w:footnote w:id="8">
    <w:p w14:paraId="5568FE6A" w14:textId="77777777" w:rsidR="00665260" w:rsidRPr="006C7192" w:rsidRDefault="00665260" w:rsidP="006C7192">
      <w:pPr>
        <w:pStyle w:val="Textonotapie"/>
        <w:jc w:val="both"/>
        <w:rPr>
          <w:rFonts w:ascii="Garamond" w:hAnsi="Garamond"/>
          <w:lang w:val="es-ES"/>
        </w:rPr>
      </w:pPr>
      <w:r w:rsidRPr="006C7192">
        <w:rPr>
          <w:rStyle w:val="Refdenotaalpie"/>
          <w:rFonts w:ascii="Garamond" w:hAnsi="Garamond"/>
        </w:rPr>
        <w:footnoteRef/>
      </w:r>
      <w:r w:rsidRPr="006C7192">
        <w:rPr>
          <w:rFonts w:ascii="Garamond" w:hAnsi="Garamond"/>
        </w:rPr>
        <w:t xml:space="preserve"> </w:t>
      </w:r>
      <w:r w:rsidRPr="006C7192">
        <w:rPr>
          <w:rFonts w:ascii="Garamond" w:hAnsi="Garamond"/>
          <w:lang w:val="es-ES"/>
        </w:rPr>
        <w:t>Incluso, tiene la función de designar miembros de organismos especializados (como el Panel de Expertos del sector eléctrico); y nombrar comisiones arbitrales en el marco de la ley de concesiones de obras públicas.</w:t>
      </w:r>
    </w:p>
  </w:footnote>
  <w:footnote w:id="9">
    <w:p w14:paraId="7E782419" w14:textId="77777777" w:rsidR="006C7192" w:rsidRPr="006C7192" w:rsidRDefault="006C7192" w:rsidP="006C7192">
      <w:pPr>
        <w:spacing w:after="0" w:line="240" w:lineRule="auto"/>
        <w:jc w:val="both"/>
        <w:rPr>
          <w:rFonts w:ascii="Garamond" w:hAnsi="Garamond"/>
          <w:sz w:val="20"/>
          <w:szCs w:val="20"/>
        </w:rPr>
      </w:pPr>
      <w:r w:rsidRPr="006C7192">
        <w:rPr>
          <w:rStyle w:val="Refdenotaalpie"/>
          <w:rFonts w:ascii="Garamond" w:hAnsi="Garamond"/>
          <w:sz w:val="20"/>
          <w:szCs w:val="20"/>
        </w:rPr>
        <w:footnoteRef/>
      </w:r>
      <w:r w:rsidRPr="006C7192">
        <w:rPr>
          <w:rFonts w:ascii="Garamond" w:hAnsi="Garamond"/>
          <w:sz w:val="20"/>
          <w:szCs w:val="20"/>
        </w:rPr>
        <w:t xml:space="preserve"> </w:t>
      </w:r>
      <w:r w:rsidRPr="006C7192">
        <w:rPr>
          <w:rFonts w:ascii="Garamond" w:hAnsi="Garamond" w:cs="Times New Roman (Cuerpo en alfa"/>
          <w:smallCaps/>
          <w:sz w:val="20"/>
          <w:szCs w:val="20"/>
        </w:rPr>
        <w:t>Excma. Corte Suprema</w:t>
      </w:r>
      <w:r w:rsidRPr="006C7192">
        <w:rPr>
          <w:rFonts w:ascii="Garamond" w:hAnsi="Garamond"/>
          <w:sz w:val="20"/>
          <w:szCs w:val="20"/>
        </w:rPr>
        <w:t>, sentencia de fecha 30 de septiembre de 2010, en causal Rol Nº 2.767-10.</w:t>
      </w:r>
    </w:p>
  </w:footnote>
  <w:footnote w:id="10">
    <w:p w14:paraId="620DC07A" w14:textId="77777777" w:rsidR="006C7192" w:rsidRPr="006C7192" w:rsidRDefault="006C7192" w:rsidP="006C7192">
      <w:pPr>
        <w:jc w:val="both"/>
        <w:rPr>
          <w:rFonts w:ascii="Garamond" w:eastAsia="Times New Roman" w:hAnsi="Garamond" w:cs="Times New Roman"/>
          <w:sz w:val="24"/>
          <w:szCs w:val="24"/>
          <w:lang w:eastAsia="es-ES_tradnl"/>
        </w:rPr>
      </w:pPr>
      <w:r w:rsidRPr="006C7192">
        <w:rPr>
          <w:rStyle w:val="Refdenotaalpie"/>
          <w:rFonts w:ascii="Garamond" w:hAnsi="Garamond"/>
        </w:rPr>
        <w:footnoteRef/>
      </w:r>
      <w:r w:rsidRPr="006C7192">
        <w:rPr>
          <w:rFonts w:ascii="Garamond" w:hAnsi="Garamond"/>
        </w:rPr>
        <w:t xml:space="preserve"> </w:t>
      </w:r>
      <w:r w:rsidRPr="006C7192">
        <w:rPr>
          <w:rFonts w:ascii="Garamond" w:hAnsi="Garamond" w:cs="Times New Roman (Cuerpo en alfa"/>
          <w:smallCaps/>
          <w:sz w:val="20"/>
          <w:szCs w:val="20"/>
        </w:rPr>
        <w:t>Bordalí Salamanca</w:t>
      </w:r>
      <w:r w:rsidRPr="006C7192">
        <w:rPr>
          <w:rFonts w:ascii="Garamond" w:hAnsi="Garamond"/>
          <w:sz w:val="20"/>
          <w:szCs w:val="20"/>
        </w:rPr>
        <w:t xml:space="preserve">, Andrés, </w:t>
      </w:r>
      <w:r>
        <w:rPr>
          <w:rFonts w:ascii="Garamond" w:hAnsi="Garamond"/>
          <w:sz w:val="20"/>
          <w:szCs w:val="20"/>
        </w:rPr>
        <w:t xml:space="preserve">en </w:t>
      </w:r>
      <w:r w:rsidRPr="006C7192">
        <w:rPr>
          <w:rFonts w:ascii="Garamond" w:hAnsi="Garamond"/>
          <w:sz w:val="20"/>
          <w:szCs w:val="20"/>
        </w:rPr>
        <w:t>Revista de Derecho de la Pontificia Universidad Católica de Valparaíso XXXIII (Valparaíso, Chile, 2do Semestre de 2009), [pp. 263 - 302]</w:t>
      </w:r>
      <w:r>
        <w:rPr>
          <w:rFonts w:ascii="Garamond" w:hAnsi="Garamond"/>
          <w:sz w:val="20"/>
          <w:szCs w:val="20"/>
        </w:rPr>
        <w:t xml:space="preserve">, en </w:t>
      </w:r>
      <w:hyperlink r:id="rId1" w:history="1">
        <w:r w:rsidRPr="009F4F94">
          <w:rPr>
            <w:rStyle w:val="Hipervnculo"/>
            <w:rFonts w:ascii="Garamond" w:hAnsi="Garamond"/>
            <w:sz w:val="20"/>
            <w:szCs w:val="20"/>
          </w:rPr>
          <w:t>https://scielo.conicyt.cl/scielo.php?script=sci_arttext&amp;pid=S0718-68512009000200007</w:t>
        </w:r>
      </w:hyperlink>
      <w:r>
        <w:rPr>
          <w:rFonts w:ascii="Garamond" w:hAnsi="Garamond"/>
          <w:sz w:val="20"/>
          <w:szCs w:val="20"/>
        </w:rPr>
        <w:t xml:space="preserve"> última búsqueda el 21 de octubre de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B1B0" w14:textId="49567363" w:rsidR="00E3535E" w:rsidRPr="00206B37" w:rsidRDefault="00E3535E" w:rsidP="00206B37">
    <w:pPr>
      <w:pStyle w:val="Encabezado"/>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52A7"/>
    <w:multiLevelType w:val="hybridMultilevel"/>
    <w:tmpl w:val="588A39E2"/>
    <w:lvl w:ilvl="0" w:tplc="5D04DA38">
      <w:start w:val="1"/>
      <w:numFmt w:val="upperRoman"/>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2F6AFA"/>
    <w:multiLevelType w:val="hybridMultilevel"/>
    <w:tmpl w:val="764A61B8"/>
    <w:lvl w:ilvl="0" w:tplc="340A0011">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15:restartNumberingAfterBreak="0">
    <w:nsid w:val="24406994"/>
    <w:multiLevelType w:val="hybridMultilevel"/>
    <w:tmpl w:val="74F6796E"/>
    <w:lvl w:ilvl="0" w:tplc="340A0011">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15:restartNumberingAfterBreak="0">
    <w:nsid w:val="33A27BFD"/>
    <w:multiLevelType w:val="hybridMultilevel"/>
    <w:tmpl w:val="B8065BAC"/>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7D160B1"/>
    <w:multiLevelType w:val="hybridMultilevel"/>
    <w:tmpl w:val="D916ABF0"/>
    <w:lvl w:ilvl="0" w:tplc="340A0011">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15:restartNumberingAfterBreak="0">
    <w:nsid w:val="62983DC9"/>
    <w:multiLevelType w:val="hybridMultilevel"/>
    <w:tmpl w:val="74F6796E"/>
    <w:lvl w:ilvl="0" w:tplc="340A0011">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393"/>
    <w:rsid w:val="00064358"/>
    <w:rsid w:val="000D2AC7"/>
    <w:rsid w:val="00165A9D"/>
    <w:rsid w:val="00180C8A"/>
    <w:rsid w:val="00206B37"/>
    <w:rsid w:val="00222AB5"/>
    <w:rsid w:val="00290130"/>
    <w:rsid w:val="002A085E"/>
    <w:rsid w:val="002D4FB2"/>
    <w:rsid w:val="0030018F"/>
    <w:rsid w:val="00481FA2"/>
    <w:rsid w:val="004D7317"/>
    <w:rsid w:val="004D776D"/>
    <w:rsid w:val="004F28EF"/>
    <w:rsid w:val="00501AFC"/>
    <w:rsid w:val="00524DC9"/>
    <w:rsid w:val="00531AEE"/>
    <w:rsid w:val="0054343A"/>
    <w:rsid w:val="00551AA0"/>
    <w:rsid w:val="005528BA"/>
    <w:rsid w:val="006426E6"/>
    <w:rsid w:val="00645F26"/>
    <w:rsid w:val="00665260"/>
    <w:rsid w:val="0068172F"/>
    <w:rsid w:val="0069064C"/>
    <w:rsid w:val="006A2803"/>
    <w:rsid w:val="006C133C"/>
    <w:rsid w:val="006C7192"/>
    <w:rsid w:val="00704BD0"/>
    <w:rsid w:val="007346A5"/>
    <w:rsid w:val="00756BF3"/>
    <w:rsid w:val="00756CDA"/>
    <w:rsid w:val="00852393"/>
    <w:rsid w:val="008548EC"/>
    <w:rsid w:val="0088419A"/>
    <w:rsid w:val="008844C4"/>
    <w:rsid w:val="00887D01"/>
    <w:rsid w:val="00896ED5"/>
    <w:rsid w:val="0090436E"/>
    <w:rsid w:val="009137A2"/>
    <w:rsid w:val="00954B83"/>
    <w:rsid w:val="009A46ED"/>
    <w:rsid w:val="00A4496C"/>
    <w:rsid w:val="00A67943"/>
    <w:rsid w:val="00AC01FC"/>
    <w:rsid w:val="00AC2ADC"/>
    <w:rsid w:val="00AD6AE8"/>
    <w:rsid w:val="00B31DC9"/>
    <w:rsid w:val="00B37D42"/>
    <w:rsid w:val="00B4341D"/>
    <w:rsid w:val="00B43C4B"/>
    <w:rsid w:val="00B8061C"/>
    <w:rsid w:val="00B86D51"/>
    <w:rsid w:val="00C22E0F"/>
    <w:rsid w:val="00C34091"/>
    <w:rsid w:val="00C54204"/>
    <w:rsid w:val="00C55FCE"/>
    <w:rsid w:val="00CB073E"/>
    <w:rsid w:val="00CD29FF"/>
    <w:rsid w:val="00CE5317"/>
    <w:rsid w:val="00CF0A73"/>
    <w:rsid w:val="00CF4861"/>
    <w:rsid w:val="00D53E7A"/>
    <w:rsid w:val="00D86B3B"/>
    <w:rsid w:val="00DE3671"/>
    <w:rsid w:val="00E27F44"/>
    <w:rsid w:val="00E3535E"/>
    <w:rsid w:val="00EB5955"/>
    <w:rsid w:val="00F22729"/>
    <w:rsid w:val="00F67CEA"/>
    <w:rsid w:val="00FA68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AE49"/>
  <w15:docId w15:val="{73B9700E-F9AF-124A-8BE8-E37E9C9A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7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26E6"/>
    <w:pPr>
      <w:ind w:left="720"/>
      <w:contextualSpacing/>
    </w:pPr>
  </w:style>
  <w:style w:type="paragraph" w:styleId="Textonotapie">
    <w:name w:val="footnote text"/>
    <w:basedOn w:val="Normal"/>
    <w:link w:val="TextonotapieCar"/>
    <w:uiPriority w:val="99"/>
    <w:semiHidden/>
    <w:unhideWhenUsed/>
    <w:rsid w:val="00B31D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1DC9"/>
    <w:rPr>
      <w:sz w:val="20"/>
      <w:szCs w:val="20"/>
    </w:rPr>
  </w:style>
  <w:style w:type="character" w:styleId="Refdenotaalpie">
    <w:name w:val="footnote reference"/>
    <w:basedOn w:val="Fuentedeprrafopredeter"/>
    <w:uiPriority w:val="99"/>
    <w:semiHidden/>
    <w:unhideWhenUsed/>
    <w:rsid w:val="00B31DC9"/>
    <w:rPr>
      <w:vertAlign w:val="superscript"/>
    </w:rPr>
  </w:style>
  <w:style w:type="paragraph" w:styleId="Encabezado">
    <w:name w:val="header"/>
    <w:basedOn w:val="Normal"/>
    <w:link w:val="EncabezadoCar"/>
    <w:uiPriority w:val="99"/>
    <w:unhideWhenUsed/>
    <w:rsid w:val="009043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436E"/>
  </w:style>
  <w:style w:type="paragraph" w:styleId="Piedepgina">
    <w:name w:val="footer"/>
    <w:basedOn w:val="Normal"/>
    <w:link w:val="PiedepginaCar"/>
    <w:uiPriority w:val="99"/>
    <w:unhideWhenUsed/>
    <w:rsid w:val="009043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436E"/>
  </w:style>
  <w:style w:type="paragraph" w:styleId="Textodeglobo">
    <w:name w:val="Balloon Text"/>
    <w:basedOn w:val="Normal"/>
    <w:link w:val="TextodegloboCar"/>
    <w:uiPriority w:val="99"/>
    <w:semiHidden/>
    <w:unhideWhenUsed/>
    <w:rsid w:val="00CB07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73E"/>
    <w:rPr>
      <w:rFonts w:ascii="Segoe UI" w:hAnsi="Segoe UI" w:cs="Segoe UI"/>
      <w:sz w:val="18"/>
      <w:szCs w:val="18"/>
    </w:rPr>
  </w:style>
  <w:style w:type="character" w:styleId="Refdecomentario">
    <w:name w:val="annotation reference"/>
    <w:basedOn w:val="Fuentedeprrafopredeter"/>
    <w:uiPriority w:val="99"/>
    <w:semiHidden/>
    <w:unhideWhenUsed/>
    <w:rsid w:val="00CB073E"/>
    <w:rPr>
      <w:sz w:val="16"/>
      <w:szCs w:val="16"/>
    </w:rPr>
  </w:style>
  <w:style w:type="paragraph" w:styleId="Textocomentario">
    <w:name w:val="annotation text"/>
    <w:basedOn w:val="Normal"/>
    <w:link w:val="TextocomentarioCar"/>
    <w:uiPriority w:val="99"/>
    <w:semiHidden/>
    <w:unhideWhenUsed/>
    <w:rsid w:val="00CB07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073E"/>
    <w:rPr>
      <w:sz w:val="20"/>
      <w:szCs w:val="20"/>
    </w:rPr>
  </w:style>
  <w:style w:type="paragraph" w:styleId="Asuntodelcomentario">
    <w:name w:val="annotation subject"/>
    <w:basedOn w:val="Textocomentario"/>
    <w:next w:val="Textocomentario"/>
    <w:link w:val="AsuntodelcomentarioCar"/>
    <w:uiPriority w:val="99"/>
    <w:semiHidden/>
    <w:unhideWhenUsed/>
    <w:rsid w:val="00CB073E"/>
    <w:rPr>
      <w:b/>
      <w:bCs/>
    </w:rPr>
  </w:style>
  <w:style w:type="character" w:customStyle="1" w:styleId="AsuntodelcomentarioCar">
    <w:name w:val="Asunto del comentario Car"/>
    <w:basedOn w:val="TextocomentarioCar"/>
    <w:link w:val="Asuntodelcomentario"/>
    <w:uiPriority w:val="99"/>
    <w:semiHidden/>
    <w:rsid w:val="00CB073E"/>
    <w:rPr>
      <w:b/>
      <w:bCs/>
      <w:sz w:val="20"/>
      <w:szCs w:val="20"/>
    </w:rPr>
  </w:style>
  <w:style w:type="character" w:customStyle="1" w:styleId="apple-converted-space">
    <w:name w:val="apple-converted-space"/>
    <w:basedOn w:val="Fuentedeprrafopredeter"/>
    <w:rsid w:val="006C7192"/>
  </w:style>
  <w:style w:type="character" w:styleId="Hipervnculo">
    <w:name w:val="Hyperlink"/>
    <w:basedOn w:val="Fuentedeprrafopredeter"/>
    <w:uiPriority w:val="99"/>
    <w:unhideWhenUsed/>
    <w:rsid w:val="006C7192"/>
    <w:rPr>
      <w:color w:val="0000FF" w:themeColor="hyperlink"/>
      <w:u w:val="single"/>
    </w:rPr>
  </w:style>
  <w:style w:type="character" w:customStyle="1" w:styleId="Mencinsinresolver1">
    <w:name w:val="Mención sin resolver1"/>
    <w:basedOn w:val="Fuentedeprrafopredeter"/>
    <w:uiPriority w:val="99"/>
    <w:semiHidden/>
    <w:unhideWhenUsed/>
    <w:rsid w:val="006C7192"/>
    <w:rPr>
      <w:color w:val="808080"/>
      <w:shd w:val="clear" w:color="auto" w:fill="E6E6E6"/>
    </w:rPr>
  </w:style>
  <w:style w:type="paragraph" w:customStyle="1" w:styleId="Default">
    <w:name w:val="Default"/>
    <w:rsid w:val="000D2AC7"/>
    <w:pPr>
      <w:autoSpaceDE w:val="0"/>
      <w:autoSpaceDN w:val="0"/>
      <w:adjustRightInd w:val="0"/>
      <w:spacing w:after="0" w:line="240" w:lineRule="auto"/>
    </w:pPr>
    <w:rPr>
      <w:rFonts w:ascii="LCPODK+Arial" w:hAnsi="LCPODK+Arial" w:cs="LCPODK+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385564">
      <w:bodyDiv w:val="1"/>
      <w:marLeft w:val="0"/>
      <w:marRight w:val="0"/>
      <w:marTop w:val="0"/>
      <w:marBottom w:val="0"/>
      <w:divBdr>
        <w:top w:val="none" w:sz="0" w:space="0" w:color="auto"/>
        <w:left w:val="none" w:sz="0" w:space="0" w:color="auto"/>
        <w:bottom w:val="none" w:sz="0" w:space="0" w:color="auto"/>
        <w:right w:val="none" w:sz="0" w:space="0" w:color="auto"/>
      </w:divBdr>
    </w:div>
    <w:div w:id="689330946">
      <w:bodyDiv w:val="1"/>
      <w:marLeft w:val="0"/>
      <w:marRight w:val="0"/>
      <w:marTop w:val="0"/>
      <w:marBottom w:val="0"/>
      <w:divBdr>
        <w:top w:val="none" w:sz="0" w:space="0" w:color="auto"/>
        <w:left w:val="none" w:sz="0" w:space="0" w:color="auto"/>
        <w:bottom w:val="none" w:sz="0" w:space="0" w:color="auto"/>
        <w:right w:val="none" w:sz="0" w:space="0" w:color="auto"/>
      </w:divBdr>
    </w:div>
    <w:div w:id="890001262">
      <w:bodyDiv w:val="1"/>
      <w:marLeft w:val="0"/>
      <w:marRight w:val="0"/>
      <w:marTop w:val="0"/>
      <w:marBottom w:val="0"/>
      <w:divBdr>
        <w:top w:val="none" w:sz="0" w:space="0" w:color="auto"/>
        <w:left w:val="none" w:sz="0" w:space="0" w:color="auto"/>
        <w:bottom w:val="none" w:sz="0" w:space="0" w:color="auto"/>
        <w:right w:val="none" w:sz="0" w:space="0" w:color="auto"/>
      </w:divBdr>
    </w:div>
    <w:div w:id="1121220674">
      <w:bodyDiv w:val="1"/>
      <w:marLeft w:val="0"/>
      <w:marRight w:val="0"/>
      <w:marTop w:val="0"/>
      <w:marBottom w:val="0"/>
      <w:divBdr>
        <w:top w:val="none" w:sz="0" w:space="0" w:color="auto"/>
        <w:left w:val="none" w:sz="0" w:space="0" w:color="auto"/>
        <w:bottom w:val="none" w:sz="0" w:space="0" w:color="auto"/>
        <w:right w:val="none" w:sz="0" w:space="0" w:color="auto"/>
      </w:divBdr>
    </w:div>
    <w:div w:id="1400860591">
      <w:bodyDiv w:val="1"/>
      <w:marLeft w:val="0"/>
      <w:marRight w:val="0"/>
      <w:marTop w:val="0"/>
      <w:marBottom w:val="0"/>
      <w:divBdr>
        <w:top w:val="none" w:sz="0" w:space="0" w:color="auto"/>
        <w:left w:val="none" w:sz="0" w:space="0" w:color="auto"/>
        <w:bottom w:val="none" w:sz="0" w:space="0" w:color="auto"/>
        <w:right w:val="none" w:sz="0" w:space="0" w:color="auto"/>
      </w:divBdr>
    </w:div>
    <w:div w:id="1517962896">
      <w:bodyDiv w:val="1"/>
      <w:marLeft w:val="0"/>
      <w:marRight w:val="0"/>
      <w:marTop w:val="0"/>
      <w:marBottom w:val="0"/>
      <w:divBdr>
        <w:top w:val="none" w:sz="0" w:space="0" w:color="auto"/>
        <w:left w:val="none" w:sz="0" w:space="0" w:color="auto"/>
        <w:bottom w:val="none" w:sz="0" w:space="0" w:color="auto"/>
        <w:right w:val="none" w:sz="0" w:space="0" w:color="auto"/>
      </w:divBdr>
    </w:div>
    <w:div w:id="17048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notes.xml.rels><?xml version="1.0" encoding="UTF-8" standalone="yes"?>
<Relationships xmlns="http://schemas.openxmlformats.org/package/2006/relationships"><Relationship Id="rId1" Type="http://schemas.openxmlformats.org/officeDocument/2006/relationships/hyperlink" Target="https://scielo.conicyt.cl/scielo.php?script=sci_arttext&amp;pid=S0718-68512009000200007"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529C-536C-48B0-B5B6-E4D0B463C11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2489</Words>
  <Characters>13693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Correa de la Fuente</cp:lastModifiedBy>
  <cp:revision>2</cp:revision>
  <dcterms:created xsi:type="dcterms:W3CDTF">2020-07-17T17:16:00Z</dcterms:created>
  <dcterms:modified xsi:type="dcterms:W3CDTF">2020-07-17T17:16:00Z</dcterms:modified>
</cp:coreProperties>
</file>