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07" w:rsidRPr="00427749" w:rsidRDefault="00502C86" w:rsidP="00427749">
      <w:pPr>
        <w:jc w:val="center"/>
        <w:rPr>
          <w:b/>
        </w:rPr>
      </w:pPr>
      <w:bookmarkStart w:id="0" w:name="_GoBack"/>
      <w:bookmarkEnd w:id="0"/>
      <w:r>
        <w:rPr>
          <w:b/>
        </w:rPr>
        <w:t>Minuta</w:t>
      </w:r>
      <w:r w:rsidR="007E3BB1">
        <w:rPr>
          <w:b/>
        </w:rPr>
        <w:t xml:space="preserve"> estado de avance </w:t>
      </w:r>
      <w:r w:rsidR="00276FD0" w:rsidRPr="00427749">
        <w:rPr>
          <w:b/>
        </w:rPr>
        <w:t>Gobiernos Regionales.</w:t>
      </w:r>
    </w:p>
    <w:p w:rsidR="00276FD0" w:rsidRDefault="00276FD0"/>
    <w:p w:rsidR="00276FD0" w:rsidRDefault="00DD2589" w:rsidP="00276FD0">
      <w:pPr>
        <w:pStyle w:val="Prrafodelista"/>
        <w:numPr>
          <w:ilvl w:val="0"/>
          <w:numId w:val="1"/>
        </w:numPr>
      </w:pPr>
      <w:r>
        <w:t>Retraso en r</w:t>
      </w:r>
      <w:r w:rsidR="00276FD0">
        <w:t>eglamentos de las leyes 21.073 y 21.074.</w:t>
      </w:r>
    </w:p>
    <w:p w:rsidR="00737EE9" w:rsidRDefault="00737EE9" w:rsidP="00737EE9">
      <w:pPr>
        <w:pStyle w:val="Prrafodelista"/>
        <w:numPr>
          <w:ilvl w:val="0"/>
          <w:numId w:val="1"/>
        </w:numPr>
      </w:pPr>
      <w:r>
        <w:t>Insuficientes competencias traspasadas de oficio.</w:t>
      </w:r>
    </w:p>
    <w:p w:rsidR="00276FD0" w:rsidRDefault="00DD2589" w:rsidP="00276FD0">
      <w:pPr>
        <w:pStyle w:val="Prrafodelista"/>
        <w:numPr>
          <w:ilvl w:val="0"/>
          <w:numId w:val="1"/>
        </w:numPr>
      </w:pPr>
      <w:r>
        <w:t xml:space="preserve">Retraso </w:t>
      </w:r>
      <w:r w:rsidR="00737EE9">
        <w:t xml:space="preserve">y condicionamiento del </w:t>
      </w:r>
      <w:r>
        <w:t>p</w:t>
      </w:r>
      <w:r w:rsidR="00276FD0">
        <w:t>royecto de ley de rentas regionales.</w:t>
      </w:r>
    </w:p>
    <w:p w:rsidR="00276FD0" w:rsidRDefault="00276FD0" w:rsidP="00276FD0">
      <w:pPr>
        <w:pStyle w:val="Prrafodelista"/>
        <w:numPr>
          <w:ilvl w:val="0"/>
          <w:numId w:val="1"/>
        </w:numPr>
      </w:pPr>
      <w:r>
        <w:t>Perfeccionamientos de la ley (acusación constitucional).</w:t>
      </w:r>
    </w:p>
    <w:p w:rsidR="00276FD0" w:rsidRDefault="00A279C8" w:rsidP="00276FD0">
      <w:pPr>
        <w:pStyle w:val="Prrafodelista"/>
        <w:numPr>
          <w:ilvl w:val="0"/>
          <w:numId w:val="1"/>
        </w:numPr>
      </w:pPr>
      <w:r>
        <w:t>Disminución de recursos regionales, e</w:t>
      </w:r>
      <w:r w:rsidR="00276FD0">
        <w:t>jecución de presupuestos 2019 y proyección presupuesto 2020.</w:t>
      </w:r>
    </w:p>
    <w:p w:rsidR="00276FD0" w:rsidRDefault="00DD2589" w:rsidP="00A279C8">
      <w:pPr>
        <w:pStyle w:val="Prrafodelista"/>
        <w:numPr>
          <w:ilvl w:val="0"/>
          <w:numId w:val="1"/>
        </w:numPr>
      </w:pPr>
      <w:r>
        <w:t>Intervención gubernamental de cara a las próximas elecciones.</w:t>
      </w:r>
    </w:p>
    <w:p w:rsidR="00276FD0" w:rsidRDefault="00276FD0" w:rsidP="00276FD0"/>
    <w:p w:rsidR="00276FD0" w:rsidRDefault="00DD2589" w:rsidP="00276FD0">
      <w:pPr>
        <w:pStyle w:val="Prrafodelista"/>
        <w:numPr>
          <w:ilvl w:val="0"/>
          <w:numId w:val="2"/>
        </w:numPr>
      </w:pPr>
      <w:r>
        <w:t>Retraso en r</w:t>
      </w:r>
      <w:r w:rsidR="00276FD0">
        <w:t>eglamentos</w:t>
      </w:r>
      <w:r w:rsidR="00F2746F">
        <w:t xml:space="preserve"> y políticas nacionales</w:t>
      </w:r>
      <w:r w:rsidR="00276FD0">
        <w:t xml:space="preserve"> de las leyes 21.073 y 21.074.</w:t>
      </w:r>
    </w:p>
    <w:p w:rsidR="00276FD0" w:rsidRDefault="0092064A" w:rsidP="00276FD0">
      <w:pPr>
        <w:ind w:left="708"/>
      </w:pPr>
      <w:r>
        <w:t xml:space="preserve">Preocupa el estado de tramitación de los </w:t>
      </w:r>
      <w:r w:rsidR="00737EE9">
        <w:t xml:space="preserve">más de diez </w:t>
      </w:r>
      <w:r>
        <w:t xml:space="preserve">reglamentos </w:t>
      </w:r>
      <w:r w:rsidR="00F2746F">
        <w:t xml:space="preserve">y políticas nacionales </w:t>
      </w:r>
      <w:r>
        <w:t xml:space="preserve">previstos en las </w:t>
      </w:r>
      <w:r w:rsidR="00276FD0">
        <w:t>leyes 21.073 (sobre elección de gobernadores regionales) y 21.074 (sobre fortalecimiento de la regionalización)</w:t>
      </w:r>
      <w:r w:rsidR="00942FAA">
        <w:t xml:space="preserve">.  </w:t>
      </w:r>
    </w:p>
    <w:p w:rsidR="007A7C70" w:rsidRDefault="007A7C70" w:rsidP="00276FD0">
      <w:pPr>
        <w:ind w:left="708"/>
      </w:pPr>
      <w:r>
        <w:t>L</w:t>
      </w:r>
      <w:r w:rsidR="0092064A">
        <w:t>os decretos que individualizan las competencias transferidas de oficio a los gobiernos regionales</w:t>
      </w:r>
      <w:r>
        <w:t xml:space="preserve"> fueron ingresados al cumplirse el plazo de un año fijado en la ley y se encuentran en trámite de toma de razón</w:t>
      </w:r>
      <w:r w:rsidR="00737EE9">
        <w:t>, desconociéndose el resultado del proceso.</w:t>
      </w:r>
    </w:p>
    <w:p w:rsidR="00737EE9" w:rsidRDefault="00737EE9" w:rsidP="00737EE9">
      <w:pPr>
        <w:pStyle w:val="Prrafodelista"/>
        <w:numPr>
          <w:ilvl w:val="0"/>
          <w:numId w:val="2"/>
        </w:numPr>
      </w:pPr>
      <w:r>
        <w:t>Insuficientes competencias traspasadas de oficio.</w:t>
      </w:r>
    </w:p>
    <w:p w:rsidR="00564166" w:rsidRDefault="007A7C70" w:rsidP="00276FD0">
      <w:pPr>
        <w:ind w:left="708"/>
      </w:pPr>
      <w:r>
        <w:t>Durante el gobierno anterior, se anunciaron 37 nuevas competencias, algunas de las cuales se aplicaron de manera experimental en algunos gobiernos regionales.  El Gobierno solo envió 15</w:t>
      </w:r>
      <w:r w:rsidR="00564166">
        <w:t>, que además son de menor importancia relativa.</w:t>
      </w:r>
    </w:p>
    <w:p w:rsidR="0092064A" w:rsidRDefault="00564166" w:rsidP="00276FD0">
      <w:pPr>
        <w:ind w:left="708"/>
      </w:pPr>
      <w:r>
        <w:t xml:space="preserve">Resta por conocer la </w:t>
      </w:r>
      <w:r w:rsidR="0092064A">
        <w:t>información</w:t>
      </w:r>
      <w:r>
        <w:t xml:space="preserve"> de</w:t>
      </w:r>
      <w:r w:rsidR="0092064A">
        <w:t xml:space="preserve"> los montos presupuestarios </w:t>
      </w:r>
      <w:r w:rsidR="002B2DB4">
        <w:t xml:space="preserve">de los programas </w:t>
      </w:r>
      <w:r>
        <w:t>que serían transferidos, para dimensionar la efectiva importancia de este traspaso.</w:t>
      </w:r>
      <w:r w:rsidR="0092064A">
        <w:t xml:space="preserve"> </w:t>
      </w:r>
    </w:p>
    <w:p w:rsidR="0092064A" w:rsidRDefault="00DD2589" w:rsidP="0092064A">
      <w:pPr>
        <w:pStyle w:val="Prrafodelista"/>
        <w:numPr>
          <w:ilvl w:val="0"/>
          <w:numId w:val="2"/>
        </w:numPr>
      </w:pPr>
      <w:r>
        <w:t xml:space="preserve">Retraso </w:t>
      </w:r>
      <w:r w:rsidR="00737EE9">
        <w:t xml:space="preserve">y condicionamiento del </w:t>
      </w:r>
      <w:r>
        <w:t>p</w:t>
      </w:r>
      <w:r w:rsidR="0092064A">
        <w:t>royecto de ley de rentas regionales.</w:t>
      </w:r>
    </w:p>
    <w:p w:rsidR="0092064A" w:rsidRDefault="0092064A" w:rsidP="0092064A">
      <w:pPr>
        <w:pStyle w:val="Prrafodelista"/>
      </w:pPr>
    </w:p>
    <w:p w:rsidR="00DD2589" w:rsidRDefault="0092064A" w:rsidP="002B2DB4">
      <w:pPr>
        <w:pStyle w:val="Prrafodelista"/>
      </w:pPr>
      <w:r>
        <w:t>Respecto de este proyecto</w:t>
      </w:r>
      <w:r w:rsidR="002B2DB4">
        <w:t xml:space="preserve">, </w:t>
      </w:r>
      <w:r w:rsidR="00DD2589">
        <w:t>se requiere su</w:t>
      </w:r>
      <w:r w:rsidR="002B2DB4">
        <w:t xml:space="preserve"> </w:t>
      </w:r>
      <w:r>
        <w:t>presentación</w:t>
      </w:r>
      <w:r w:rsidR="00DD2589">
        <w:t xml:space="preserve"> en breve plazo.  Es necesario que esté aprobado antes de fin de año, de otra manera este tema contaminará la próxima campaña.  </w:t>
      </w:r>
    </w:p>
    <w:p w:rsidR="00DD2589" w:rsidRDefault="00DD2589" w:rsidP="002B2DB4">
      <w:pPr>
        <w:pStyle w:val="Prrafodelista"/>
      </w:pPr>
    </w:p>
    <w:p w:rsidR="0092064A" w:rsidRDefault="00DD2589" w:rsidP="002B2DB4">
      <w:pPr>
        <w:pStyle w:val="Prrafodelista"/>
      </w:pPr>
      <w:r>
        <w:t>Además,</w:t>
      </w:r>
      <w:r w:rsidR="002B2DB4">
        <w:t xml:space="preserve"> interesa conocer si el proyecto se limitará a establecer normas de gestión financiera, o contemplará nuevos ingresos propios de los gobiernos regionales y en este caso, </w:t>
      </w:r>
      <w:r w:rsidR="00564166">
        <w:t xml:space="preserve">cuáles son las </w:t>
      </w:r>
      <w:r w:rsidR="002B2DB4">
        <w:t>alternativas consideradas y montos o porcentajes de aumentos respecto de los presupuestos actuales.</w:t>
      </w:r>
    </w:p>
    <w:p w:rsidR="002B2DB4" w:rsidRDefault="002B2DB4" w:rsidP="002B2DB4">
      <w:pPr>
        <w:pStyle w:val="Prrafodelista"/>
      </w:pPr>
    </w:p>
    <w:p w:rsidR="00D32D10" w:rsidRPr="00B6794F" w:rsidRDefault="007E3BB1" w:rsidP="00B6794F">
      <w:pPr>
        <w:spacing w:line="312" w:lineRule="auto"/>
        <w:ind w:left="708"/>
        <w:jc w:val="both"/>
      </w:pPr>
      <w:r>
        <w:t xml:space="preserve">Preocupa </w:t>
      </w:r>
      <w:r w:rsidR="002B2DB4" w:rsidRPr="00B6794F">
        <w:t>que se pretenda ligar la aprobación de la reforma tributaria a la inclusión de determinados impuestos de carácter regional</w:t>
      </w:r>
      <w:r w:rsidR="00DD2589" w:rsidRPr="00B6794F">
        <w:t>, como moneda de cambio</w:t>
      </w:r>
      <w:r w:rsidR="00B6794F" w:rsidRPr="00B6794F">
        <w:t xml:space="preserve">, </w:t>
      </w:r>
      <w:r w:rsidR="00B6794F" w:rsidRPr="00B6794F">
        <w:rPr>
          <w:rFonts w:ascii="Calibri" w:hAnsi="Calibri" w:cs="Courier New"/>
        </w:rPr>
        <w:t xml:space="preserve">lo que es del todo inconveniente, porque no puede fundarse una mayor justicia en la distribución territorial de los ingresos con una mayor injusticia en la carga tributaria nacional.  </w:t>
      </w:r>
    </w:p>
    <w:p w:rsidR="002B2DB4" w:rsidRDefault="002B2DB4" w:rsidP="002B2DB4">
      <w:pPr>
        <w:pStyle w:val="Prrafodelista"/>
        <w:numPr>
          <w:ilvl w:val="0"/>
          <w:numId w:val="2"/>
        </w:numPr>
      </w:pPr>
      <w:r>
        <w:lastRenderedPageBreak/>
        <w:t>Perfeccionamientos de la ley (acusación constitucional).</w:t>
      </w:r>
    </w:p>
    <w:p w:rsidR="008C68D3" w:rsidRDefault="008C68D3" w:rsidP="008C68D3">
      <w:pPr>
        <w:pStyle w:val="Prrafodelista"/>
      </w:pPr>
    </w:p>
    <w:p w:rsidR="008C68D3" w:rsidRDefault="008C68D3" w:rsidP="008C68D3">
      <w:pPr>
        <w:pStyle w:val="Prrafodelista"/>
      </w:pPr>
      <w:r>
        <w:t>La acusación constitucional de los gobernadores regionales no quedó bien regulada por un error que se produjo en la transcripción del texto final de las indicaciones.  Se aprobó un  quórum más alto (2/3 de los senadores) p</w:t>
      </w:r>
      <w:r w:rsidR="00564166">
        <w:t>e</w:t>
      </w:r>
      <w:r>
        <w:t>ro no se reguló las causales.</w:t>
      </w:r>
    </w:p>
    <w:p w:rsidR="008C68D3" w:rsidRDefault="008C68D3" w:rsidP="008C68D3">
      <w:pPr>
        <w:pStyle w:val="Prrafodelista"/>
      </w:pPr>
    </w:p>
    <w:p w:rsidR="00427749" w:rsidRDefault="00A279C8" w:rsidP="00427749">
      <w:pPr>
        <w:pStyle w:val="Prrafodelista"/>
        <w:numPr>
          <w:ilvl w:val="0"/>
          <w:numId w:val="2"/>
        </w:numPr>
      </w:pPr>
      <w:r>
        <w:t>Disminución de recursos regionales, e</w:t>
      </w:r>
      <w:r w:rsidR="00427749">
        <w:t>jecución de presupuestos 2019 y proyección presupuesto 2020.</w:t>
      </w:r>
    </w:p>
    <w:p w:rsidR="00427749" w:rsidRDefault="00427749" w:rsidP="00427749">
      <w:pPr>
        <w:pStyle w:val="Prrafodelista"/>
      </w:pPr>
    </w:p>
    <w:p w:rsidR="00A279C8" w:rsidRDefault="00A279C8" w:rsidP="00A279C8">
      <w:pPr>
        <w:pStyle w:val="Prrafodelista"/>
      </w:pPr>
      <w:r>
        <w:t>Este año hubo una disminución de los recursos del FNDR</w:t>
      </w:r>
      <w:r w:rsidR="00DD2589">
        <w:t>, en el marco del ajuste fiscal anunciado por el Gobierno.</w:t>
      </w:r>
      <w:r>
        <w:t xml:space="preserve">  El próximo será el primer año con ejecución parcial de los nuevos gobernadores regionales, y debiera reflejarse en un aumento de los recursos disponibles.</w:t>
      </w:r>
    </w:p>
    <w:p w:rsidR="00DD2589" w:rsidRDefault="00DD2589" w:rsidP="00564166">
      <w:pPr>
        <w:pStyle w:val="Prrafodelista"/>
      </w:pPr>
    </w:p>
    <w:p w:rsidR="00564166" w:rsidRDefault="00DD2589" w:rsidP="00564166">
      <w:pPr>
        <w:pStyle w:val="Prrafodelista"/>
      </w:pPr>
      <w:r>
        <w:t xml:space="preserve">Sin embargo, se ha conocido de casos de bajo nivel de ejecución presupuestaria lo que se relaciona con la alta rotación de </w:t>
      </w:r>
      <w:r w:rsidR="00564166">
        <w:t>intendentes (en algunas regiones ha habido tres en un año)</w:t>
      </w:r>
      <w:r>
        <w:t>.</w:t>
      </w:r>
    </w:p>
    <w:p w:rsidR="00564166" w:rsidRDefault="00564166" w:rsidP="00564166">
      <w:pPr>
        <w:pStyle w:val="Prrafodelista"/>
      </w:pPr>
    </w:p>
    <w:p w:rsidR="00DD2589" w:rsidRDefault="00DD2589" w:rsidP="00DD2589">
      <w:pPr>
        <w:pStyle w:val="Prrafodelista"/>
        <w:numPr>
          <w:ilvl w:val="0"/>
          <w:numId w:val="2"/>
        </w:numPr>
      </w:pPr>
      <w:r>
        <w:t>Intervención gubernamental de cara a las próximas elecciones.</w:t>
      </w:r>
    </w:p>
    <w:p w:rsidR="00DD2589" w:rsidRDefault="00DD2589" w:rsidP="00DD2589">
      <w:pPr>
        <w:pStyle w:val="Prrafodelista"/>
      </w:pPr>
    </w:p>
    <w:p w:rsidR="00A279C8" w:rsidRDefault="00564166" w:rsidP="00DD2589">
      <w:pPr>
        <w:pStyle w:val="Prrafodelista"/>
      </w:pPr>
      <w:r>
        <w:t xml:space="preserve">Atendidas las próximas elecciones municipales y regionales, preocupa el criterio político utilizado en la distribución de los recursos de diversos programas como el PMB y PMU. </w:t>
      </w:r>
      <w:r w:rsidR="00A279C8">
        <w:t xml:space="preserve">  Las comunas con alcaldes de la ex Nueva Mayoría reciben menores recursos que los de la Alianza de Gobierno.   Pedimos un informe mensual de la distribución de fondos. </w:t>
      </w:r>
    </w:p>
    <w:p w:rsidR="00A279C8" w:rsidRDefault="00A279C8" w:rsidP="00427749">
      <w:pPr>
        <w:pStyle w:val="Prrafodelista"/>
      </w:pPr>
    </w:p>
    <w:p w:rsidR="00564166" w:rsidRDefault="00A279C8" w:rsidP="00427749">
      <w:pPr>
        <w:pStyle w:val="Prrafodelista"/>
      </w:pPr>
      <w:r>
        <w:t>La intervención gubernamental alcanza también la acción de ciertos funcionarios</w:t>
      </w:r>
      <w:r w:rsidR="007E3BB1">
        <w:t xml:space="preserve"> del nivel regional.</w:t>
      </w:r>
    </w:p>
    <w:p w:rsidR="00564166" w:rsidRDefault="00564166" w:rsidP="00427749">
      <w:pPr>
        <w:pStyle w:val="Prrafodelista"/>
      </w:pPr>
    </w:p>
    <w:p w:rsidR="00427749" w:rsidRDefault="00564166" w:rsidP="00427749">
      <w:pPr>
        <w:pStyle w:val="Prrafodelista"/>
      </w:pPr>
      <w:r>
        <w:t>Así también,</w:t>
      </w:r>
      <w:r w:rsidR="00A279C8">
        <w:t xml:space="preserve"> interesa conocer el proceso de designación de los nuevos directivos contemplados en </w:t>
      </w:r>
      <w:r>
        <w:t>l</w:t>
      </w:r>
      <w:r w:rsidR="00427749">
        <w:t xml:space="preserve">a Ley de Fortalecimiento de la </w:t>
      </w:r>
      <w:r>
        <w:t>R</w:t>
      </w:r>
      <w:r w:rsidR="00427749">
        <w:t>egionalización que reguló el traspaso de competencias</w:t>
      </w:r>
      <w:r w:rsidR="00A279C8">
        <w:t xml:space="preserve"> y que</w:t>
      </w:r>
      <w:r w:rsidR="00427749">
        <w:t xml:space="preserve"> también creó nuevas unidades como los administradores regionales, tres divisiones y la unidad de control, que comienzan a implementarse antes de la elección</w:t>
      </w:r>
      <w:r w:rsidR="00A279C8">
        <w:t>.</w:t>
      </w:r>
      <w:r w:rsidR="00427749">
        <w:t xml:space="preserve">  </w:t>
      </w:r>
    </w:p>
    <w:p w:rsidR="00427749" w:rsidRDefault="00427749" w:rsidP="008C68D3">
      <w:pPr>
        <w:pStyle w:val="Prrafodelista"/>
      </w:pPr>
    </w:p>
    <w:p w:rsidR="002B2DB4" w:rsidRDefault="002B2DB4" w:rsidP="002B2DB4">
      <w:pPr>
        <w:pStyle w:val="Prrafodelista"/>
      </w:pPr>
    </w:p>
    <w:p w:rsidR="002B2DB4" w:rsidRDefault="002B2DB4" w:rsidP="002B2DB4">
      <w:pPr>
        <w:pStyle w:val="Prrafodelista"/>
      </w:pPr>
      <w:r>
        <w:t xml:space="preserve"> </w:t>
      </w:r>
    </w:p>
    <w:p w:rsidR="0092064A" w:rsidRDefault="0092064A" w:rsidP="00276FD0">
      <w:pPr>
        <w:ind w:left="708"/>
      </w:pPr>
    </w:p>
    <w:p w:rsidR="00276FD0" w:rsidRDefault="00276FD0" w:rsidP="00276FD0">
      <w:pPr>
        <w:ind w:left="708"/>
      </w:pPr>
    </w:p>
    <w:p w:rsidR="00276FD0" w:rsidRDefault="00276FD0"/>
    <w:sectPr w:rsidR="00276F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632"/>
    <w:multiLevelType w:val="hybridMultilevel"/>
    <w:tmpl w:val="6C383544"/>
    <w:lvl w:ilvl="0" w:tplc="340A0001">
      <w:start w:val="1"/>
      <w:numFmt w:val="bullet"/>
      <w:lvlText w:val=""/>
      <w:lvlJc w:val="left"/>
      <w:pPr>
        <w:ind w:left="2190" w:hanging="360"/>
      </w:pPr>
      <w:rPr>
        <w:rFonts w:ascii="Symbol" w:hAnsi="Symbol" w:hint="default"/>
      </w:rPr>
    </w:lvl>
    <w:lvl w:ilvl="1" w:tplc="340A0003" w:tentative="1">
      <w:start w:val="1"/>
      <w:numFmt w:val="bullet"/>
      <w:lvlText w:val="o"/>
      <w:lvlJc w:val="left"/>
      <w:pPr>
        <w:ind w:left="2910" w:hanging="360"/>
      </w:pPr>
      <w:rPr>
        <w:rFonts w:ascii="Courier New" w:hAnsi="Courier New" w:cs="Courier New" w:hint="default"/>
      </w:rPr>
    </w:lvl>
    <w:lvl w:ilvl="2" w:tplc="340A0005" w:tentative="1">
      <w:start w:val="1"/>
      <w:numFmt w:val="bullet"/>
      <w:lvlText w:val=""/>
      <w:lvlJc w:val="left"/>
      <w:pPr>
        <w:ind w:left="3630" w:hanging="360"/>
      </w:pPr>
      <w:rPr>
        <w:rFonts w:ascii="Wingdings" w:hAnsi="Wingdings" w:hint="default"/>
      </w:rPr>
    </w:lvl>
    <w:lvl w:ilvl="3" w:tplc="340A0001" w:tentative="1">
      <w:start w:val="1"/>
      <w:numFmt w:val="bullet"/>
      <w:lvlText w:val=""/>
      <w:lvlJc w:val="left"/>
      <w:pPr>
        <w:ind w:left="4350" w:hanging="360"/>
      </w:pPr>
      <w:rPr>
        <w:rFonts w:ascii="Symbol" w:hAnsi="Symbol" w:hint="default"/>
      </w:rPr>
    </w:lvl>
    <w:lvl w:ilvl="4" w:tplc="340A0003" w:tentative="1">
      <w:start w:val="1"/>
      <w:numFmt w:val="bullet"/>
      <w:lvlText w:val="o"/>
      <w:lvlJc w:val="left"/>
      <w:pPr>
        <w:ind w:left="5070" w:hanging="360"/>
      </w:pPr>
      <w:rPr>
        <w:rFonts w:ascii="Courier New" w:hAnsi="Courier New" w:cs="Courier New" w:hint="default"/>
      </w:rPr>
    </w:lvl>
    <w:lvl w:ilvl="5" w:tplc="340A0005" w:tentative="1">
      <w:start w:val="1"/>
      <w:numFmt w:val="bullet"/>
      <w:lvlText w:val=""/>
      <w:lvlJc w:val="left"/>
      <w:pPr>
        <w:ind w:left="5790" w:hanging="360"/>
      </w:pPr>
      <w:rPr>
        <w:rFonts w:ascii="Wingdings" w:hAnsi="Wingdings" w:hint="default"/>
      </w:rPr>
    </w:lvl>
    <w:lvl w:ilvl="6" w:tplc="340A0001" w:tentative="1">
      <w:start w:val="1"/>
      <w:numFmt w:val="bullet"/>
      <w:lvlText w:val=""/>
      <w:lvlJc w:val="left"/>
      <w:pPr>
        <w:ind w:left="6510" w:hanging="360"/>
      </w:pPr>
      <w:rPr>
        <w:rFonts w:ascii="Symbol" w:hAnsi="Symbol" w:hint="default"/>
      </w:rPr>
    </w:lvl>
    <w:lvl w:ilvl="7" w:tplc="340A0003" w:tentative="1">
      <w:start w:val="1"/>
      <w:numFmt w:val="bullet"/>
      <w:lvlText w:val="o"/>
      <w:lvlJc w:val="left"/>
      <w:pPr>
        <w:ind w:left="7230" w:hanging="360"/>
      </w:pPr>
      <w:rPr>
        <w:rFonts w:ascii="Courier New" w:hAnsi="Courier New" w:cs="Courier New" w:hint="default"/>
      </w:rPr>
    </w:lvl>
    <w:lvl w:ilvl="8" w:tplc="340A0005" w:tentative="1">
      <w:start w:val="1"/>
      <w:numFmt w:val="bullet"/>
      <w:lvlText w:val=""/>
      <w:lvlJc w:val="left"/>
      <w:pPr>
        <w:ind w:left="7950" w:hanging="360"/>
      </w:pPr>
      <w:rPr>
        <w:rFonts w:ascii="Wingdings" w:hAnsi="Wingdings" w:hint="default"/>
      </w:rPr>
    </w:lvl>
  </w:abstractNum>
  <w:abstractNum w:abstractNumId="1">
    <w:nsid w:val="4C3E33CF"/>
    <w:multiLevelType w:val="hybridMultilevel"/>
    <w:tmpl w:val="0EE27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62B5D12"/>
    <w:multiLevelType w:val="hybridMultilevel"/>
    <w:tmpl w:val="A15E1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D0"/>
    <w:rsid w:val="001E3207"/>
    <w:rsid w:val="00251DAB"/>
    <w:rsid w:val="00276FD0"/>
    <w:rsid w:val="002B2DB4"/>
    <w:rsid w:val="003F7787"/>
    <w:rsid w:val="00427749"/>
    <w:rsid w:val="00502C86"/>
    <w:rsid w:val="00564166"/>
    <w:rsid w:val="00737EE9"/>
    <w:rsid w:val="007A7C70"/>
    <w:rsid w:val="007E3BB1"/>
    <w:rsid w:val="008C68D3"/>
    <w:rsid w:val="0092064A"/>
    <w:rsid w:val="00942FAA"/>
    <w:rsid w:val="00A279C8"/>
    <w:rsid w:val="00B6794F"/>
    <w:rsid w:val="00D32D10"/>
    <w:rsid w:val="00DD2589"/>
    <w:rsid w:val="00E521B5"/>
    <w:rsid w:val="00F274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FD0"/>
    <w:pPr>
      <w:ind w:left="720"/>
      <w:contextualSpacing/>
    </w:pPr>
  </w:style>
  <w:style w:type="paragraph" w:styleId="Textosinformato">
    <w:name w:val="Plain Text"/>
    <w:basedOn w:val="Normal"/>
    <w:link w:val="TextosinformatoCar"/>
    <w:uiPriority w:val="99"/>
    <w:unhideWhenUsed/>
    <w:rsid w:val="00B6794F"/>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B6794F"/>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FD0"/>
    <w:pPr>
      <w:ind w:left="720"/>
      <w:contextualSpacing/>
    </w:pPr>
  </w:style>
  <w:style w:type="paragraph" w:styleId="Textosinformato">
    <w:name w:val="Plain Text"/>
    <w:basedOn w:val="Normal"/>
    <w:link w:val="TextosinformatoCar"/>
    <w:uiPriority w:val="99"/>
    <w:unhideWhenUsed/>
    <w:rsid w:val="00B6794F"/>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B6794F"/>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SEC_QUINTEROS</dc:creator>
  <cp:lastModifiedBy>usuario</cp:lastModifiedBy>
  <cp:revision>2</cp:revision>
  <cp:lastPrinted>2019-03-13T15:26:00Z</cp:lastPrinted>
  <dcterms:created xsi:type="dcterms:W3CDTF">2019-04-04T20:08:00Z</dcterms:created>
  <dcterms:modified xsi:type="dcterms:W3CDTF">2019-04-04T20:08:00Z</dcterms:modified>
</cp:coreProperties>
</file>