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6658"/>
        <w:gridCol w:w="6095"/>
      </w:tblGrid>
      <w:tr w:rsidR="00DA28C8" w:rsidRPr="002B26F5" w14:paraId="1F42CD3C" w14:textId="77777777" w:rsidTr="002B26F5">
        <w:tc>
          <w:tcPr>
            <w:tcW w:w="6658" w:type="dxa"/>
          </w:tcPr>
          <w:p w14:paraId="67E8C058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B26F5">
              <w:rPr>
                <w:rFonts w:ascii="Book Antiqua" w:hAnsi="Book Antiqua"/>
                <w:b/>
                <w:sz w:val="24"/>
                <w:szCs w:val="24"/>
              </w:rPr>
              <w:t>PROYECTO DE LEY DE AUTORÍA S. GIRARDI</w:t>
            </w:r>
          </w:p>
          <w:p w14:paraId="28F2C585" w14:textId="6D5EC642" w:rsidR="00DA28C8" w:rsidRPr="002B26F5" w:rsidRDefault="00DA28C8" w:rsidP="002B26F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359932" w14:textId="75202600" w:rsidR="00DA28C8" w:rsidRPr="002B26F5" w:rsidRDefault="00DA28C8" w:rsidP="002B26F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B26F5">
              <w:rPr>
                <w:rFonts w:ascii="Book Antiqua" w:hAnsi="Book Antiqua"/>
                <w:b/>
                <w:sz w:val="24"/>
                <w:szCs w:val="24"/>
              </w:rPr>
              <w:t>PROYECTO POR EL CUAL LE PREGUNTAN.</w:t>
            </w:r>
          </w:p>
        </w:tc>
      </w:tr>
      <w:tr w:rsidR="00DA28C8" w:rsidRPr="002B26F5" w14:paraId="518E7F0F" w14:textId="77777777" w:rsidTr="002B26F5">
        <w:trPr>
          <w:trHeight w:val="983"/>
        </w:trPr>
        <w:tc>
          <w:tcPr>
            <w:tcW w:w="6658" w:type="dxa"/>
          </w:tcPr>
          <w:p w14:paraId="37D5AE48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Boletín N° 10.054-12</w:t>
            </w:r>
          </w:p>
          <w:p w14:paraId="5D59B2C6" w14:textId="4B15D519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Proyecto de le que regula el uso de plásticos desechables de un solo uso.</w:t>
            </w:r>
          </w:p>
          <w:p w14:paraId="552C4F3D" w14:textId="468FA032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F0182F2" w14:textId="406031B3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Presentado el 18 de mayo de 2015</w:t>
            </w:r>
          </w:p>
          <w:p w14:paraId="455F7B84" w14:textId="7B124879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7733BC7" w14:textId="47DE18AE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Primer trámite constitucional - Senado</w:t>
            </w:r>
          </w:p>
          <w:p w14:paraId="67266222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E11A76E" w14:textId="77777777" w:rsid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99BEC8C" w14:textId="77777777" w:rsid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560E11AB" w14:textId="77777777" w:rsid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5104B9AD" w14:textId="77777777" w:rsid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5B0AD3AD" w14:textId="77777777" w:rsid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5F025105" w14:textId="3D54032E" w:rsidR="00DA28C8" w:rsidRPr="002B26F5" w:rsidRDefault="00DA28C8" w:rsidP="002B26F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B26F5">
              <w:rPr>
                <w:rFonts w:ascii="Book Antiqua" w:hAnsi="Book Antiqua"/>
                <w:b/>
                <w:sz w:val="24"/>
                <w:szCs w:val="24"/>
              </w:rPr>
              <w:t>PROYECTO DE LEY</w:t>
            </w:r>
          </w:p>
          <w:p w14:paraId="76EB2021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353C80BC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 xml:space="preserve">Artículo 1: La presente ley tiene por objeto establecer un marco jurídico adecuado para los plásticos desechables de un único uso, específicamente bolsas plásticas y </w:t>
            </w:r>
            <w:proofErr w:type="gramStart"/>
            <w:r w:rsidRPr="002B26F5">
              <w:rPr>
                <w:rFonts w:ascii="Book Antiqua" w:hAnsi="Book Antiqua"/>
                <w:sz w:val="24"/>
                <w:szCs w:val="24"/>
              </w:rPr>
              <w:t>films</w:t>
            </w:r>
            <w:proofErr w:type="gramEnd"/>
            <w:r w:rsidRPr="002B26F5">
              <w:rPr>
                <w:rFonts w:ascii="Book Antiqua" w:hAnsi="Book Antiqua"/>
                <w:sz w:val="24"/>
                <w:szCs w:val="24"/>
              </w:rPr>
              <w:t>, con la finalidad de disminuir los impactos negativos de la basura plástica sobre la salud y medioambiente humano.</w:t>
            </w:r>
          </w:p>
          <w:p w14:paraId="6D2371C1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3CFE191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 xml:space="preserve">Artículo 2: Se prohíbe a supermercados, </w:t>
            </w:r>
            <w:proofErr w:type="spellStart"/>
            <w:r w:rsidRPr="002B26F5">
              <w:rPr>
                <w:rFonts w:ascii="Book Antiqua" w:hAnsi="Book Antiqua"/>
                <w:sz w:val="24"/>
                <w:szCs w:val="24"/>
              </w:rPr>
              <w:t>multitiendas</w:t>
            </w:r>
            <w:proofErr w:type="spellEnd"/>
            <w:r w:rsidRPr="002B26F5">
              <w:rPr>
                <w:rFonts w:ascii="Book Antiqua" w:hAnsi="Book Antiqua"/>
                <w:sz w:val="24"/>
                <w:szCs w:val="24"/>
              </w:rPr>
              <w:t>, tiendas, farmacias y otros establecimientos comerciales similares, así como a sus contratistas o prestadores de servicios, la distribución gratuita u onerosa a los consumidores finales, de bolsas plásticas no degradables.</w:t>
            </w:r>
          </w:p>
          <w:p w14:paraId="590D333E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A73BADF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lastRenderedPageBreak/>
              <w:t xml:space="preserve">Artículo 3. La industria de empaque agroalimentario deberá sustituir los </w:t>
            </w:r>
            <w:proofErr w:type="gramStart"/>
            <w:r w:rsidRPr="002B26F5">
              <w:rPr>
                <w:rFonts w:ascii="Book Antiqua" w:hAnsi="Book Antiqua"/>
                <w:sz w:val="24"/>
                <w:szCs w:val="24"/>
              </w:rPr>
              <w:t>films</w:t>
            </w:r>
            <w:proofErr w:type="gramEnd"/>
            <w:r w:rsidRPr="002B26F5">
              <w:rPr>
                <w:rFonts w:ascii="Book Antiqua" w:hAnsi="Book Antiqua"/>
                <w:sz w:val="24"/>
                <w:szCs w:val="24"/>
              </w:rPr>
              <w:t xml:space="preserve"> plásticos no degradables, por plásticos degradables en el plazo de dos años corridos desde la publicación del reglamento que fijará los estándares de degradabilidad plástica, conforme a las definiciones contenidas en el reglamento a que se refiere el artículo siguiente.</w:t>
            </w:r>
          </w:p>
          <w:p w14:paraId="74D4E5AF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67C6143" w14:textId="081B5096" w:rsidR="00DA28C8" w:rsidRPr="002B26F5" w:rsidRDefault="00DA28C8" w:rsidP="002B26F5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2B26F5">
              <w:rPr>
                <w:rFonts w:ascii="Book Antiqua" w:hAnsi="Book Antiqua"/>
                <w:color w:val="FF0000"/>
                <w:sz w:val="24"/>
                <w:szCs w:val="24"/>
              </w:rPr>
              <w:t xml:space="preserve">Artículo 4. Un reglamento determinará los establecimientos a que se refiere el art. 2, las definiciones de plásticos degradables, biodegradables y no degradables, conforme al estándar ASTM D883-12 o su equivalente internacional. </w:t>
            </w:r>
            <w:r w:rsidR="002B26F5" w:rsidRPr="002B26F5">
              <w:rPr>
                <w:rFonts w:ascii="Book Antiqua" w:hAnsi="Book Antiqua"/>
                <w:color w:val="FF0000"/>
                <w:sz w:val="24"/>
                <w:szCs w:val="24"/>
              </w:rPr>
              <w:t>Asimismo,</w:t>
            </w:r>
            <w:r w:rsidRPr="002B26F5">
              <w:rPr>
                <w:rFonts w:ascii="Book Antiqua" w:hAnsi="Book Antiqua"/>
                <w:color w:val="FF0000"/>
                <w:sz w:val="24"/>
                <w:szCs w:val="24"/>
              </w:rPr>
              <w:t xml:space="preserve"> establecerá las normas técnicas que fijen las características que deberán tener las bolsas biodegradables. Respecto a la </w:t>
            </w:r>
            <w:proofErr w:type="spellStart"/>
            <w:r w:rsidRPr="002B26F5">
              <w:rPr>
                <w:rFonts w:ascii="Book Antiqua" w:hAnsi="Book Antiqua"/>
                <w:color w:val="FF0000"/>
                <w:sz w:val="24"/>
                <w:szCs w:val="24"/>
              </w:rPr>
              <w:t>oxo</w:t>
            </w:r>
            <w:proofErr w:type="spellEnd"/>
            <w:r w:rsidRPr="002B26F5">
              <w:rPr>
                <w:rFonts w:ascii="Book Antiqua" w:hAnsi="Book Antiqua"/>
                <w:color w:val="FF0000"/>
                <w:sz w:val="24"/>
                <w:szCs w:val="24"/>
              </w:rPr>
              <w:t xml:space="preserve">-biodegradación, las características establecidas reglamentariamente, no podrán en caso algún, ser inferiores a las establecidas en la Guía Estándar ASTM D6954-04 D6954-04(2013) o a su equivalente internacional. </w:t>
            </w:r>
          </w:p>
          <w:p w14:paraId="0CAC1665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2B26F5">
              <w:rPr>
                <w:rFonts w:ascii="Book Antiqua" w:hAnsi="Book Antiqua"/>
                <w:color w:val="FF0000"/>
                <w:sz w:val="24"/>
                <w:szCs w:val="24"/>
              </w:rPr>
              <w:t xml:space="preserve">Dicho reglamento </w:t>
            </w:r>
            <w:proofErr w:type="gramStart"/>
            <w:r w:rsidRPr="002B26F5">
              <w:rPr>
                <w:rFonts w:ascii="Book Antiqua" w:hAnsi="Book Antiqua"/>
                <w:color w:val="FF0000"/>
                <w:sz w:val="24"/>
                <w:szCs w:val="24"/>
              </w:rPr>
              <w:t>fijará</w:t>
            </w:r>
            <w:proofErr w:type="gramEnd"/>
            <w:r w:rsidRPr="002B26F5">
              <w:rPr>
                <w:rFonts w:ascii="Book Antiqua" w:hAnsi="Book Antiqua"/>
                <w:color w:val="FF0000"/>
                <w:sz w:val="24"/>
                <w:szCs w:val="24"/>
              </w:rPr>
              <w:t xml:space="preserve"> además, las señales mediante las cuales se pueda identificar claramente las bolsas degradables de aquellas que no lo son, y la especificación del mecanismo de degradación de la misma, el que deberá modificarse en consonancia con la estandarización normativa a la que se haya adscrito.</w:t>
            </w:r>
          </w:p>
          <w:p w14:paraId="40E3C602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7D2FFFBB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 xml:space="preserve">Artículo 5. Las infracciones a las normas establecidas en presente ley y su reglamento complementario, se sancionarán en conformidad a lo establecido en el Libro X del Código Sanitario. </w:t>
            </w:r>
          </w:p>
          <w:p w14:paraId="3572B44D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C7BC21F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Artículo Transitorio. Las disposiciones de la presente ley serán obligatorias para las empresas medianas y de mayor tamaño tras un año de la publicación del reglamento aludido en el artículo 5 del presente cuerpo normativo. Mientras que las microempresas y pequeñas empresas habrán de ajustarse a lo establecido en esta ley en el plazo de dos años, contados desde la fecha de publicación del reglamento.</w:t>
            </w:r>
          </w:p>
          <w:p w14:paraId="6CD18F7E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60C847DE" w14:textId="366E4BD6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8FFB46E" w14:textId="3ABE15CF" w:rsidR="002B26F5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lastRenderedPageBreak/>
              <w:t xml:space="preserve">Boletín </w:t>
            </w:r>
            <w:r w:rsidR="002B26F5">
              <w:rPr>
                <w:rFonts w:ascii="Book Antiqua" w:hAnsi="Book Antiqua"/>
                <w:sz w:val="24"/>
                <w:szCs w:val="24"/>
              </w:rPr>
              <w:t xml:space="preserve">N° </w:t>
            </w:r>
            <w:r w:rsidRPr="002B26F5">
              <w:rPr>
                <w:rFonts w:ascii="Book Antiqua" w:hAnsi="Book Antiqua"/>
                <w:sz w:val="24"/>
                <w:szCs w:val="24"/>
              </w:rPr>
              <w:t>12</w:t>
            </w:r>
            <w:r w:rsidR="002B26F5">
              <w:rPr>
                <w:rFonts w:ascii="Book Antiqua" w:hAnsi="Book Antiqua"/>
                <w:sz w:val="24"/>
                <w:szCs w:val="24"/>
              </w:rPr>
              <w:t>.</w:t>
            </w:r>
            <w:r w:rsidRPr="002B26F5">
              <w:rPr>
                <w:rFonts w:ascii="Book Antiqua" w:hAnsi="Book Antiqua"/>
                <w:sz w:val="24"/>
                <w:szCs w:val="24"/>
              </w:rPr>
              <w:t>516-12</w:t>
            </w:r>
          </w:p>
          <w:p w14:paraId="59827DA3" w14:textId="29577C5E" w:rsid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Proyecto de ley que incorpora la entrega de bolsas biodegradables en el comercio.</w:t>
            </w:r>
          </w:p>
          <w:p w14:paraId="1C4AF7A5" w14:textId="77777777" w:rsidR="002B26F5" w:rsidRP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9E2C53B" w14:textId="030B3216" w:rsid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Presentado el 03 de abril de 2019</w:t>
            </w:r>
          </w:p>
          <w:p w14:paraId="5F8D31DC" w14:textId="77777777" w:rsidR="002B26F5" w:rsidRPr="002B26F5" w:rsidRDefault="002B26F5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67C5BBF" w14:textId="1A9E1EDA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Primer tr</w:t>
            </w:r>
            <w:r w:rsidR="002B26F5">
              <w:rPr>
                <w:rFonts w:ascii="Book Antiqua" w:hAnsi="Book Antiqua"/>
                <w:sz w:val="24"/>
                <w:szCs w:val="24"/>
              </w:rPr>
              <w:t>á</w:t>
            </w:r>
            <w:r w:rsidRPr="002B26F5">
              <w:rPr>
                <w:rFonts w:ascii="Book Antiqua" w:hAnsi="Book Antiqua"/>
                <w:sz w:val="24"/>
                <w:szCs w:val="24"/>
              </w:rPr>
              <w:t xml:space="preserve">mite constitucional comisión de medio ambiente – senado. </w:t>
            </w:r>
          </w:p>
          <w:p w14:paraId="5559FF3C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AFE8377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 xml:space="preserve">Presentado por los Senadores Carmen Aravena, Francisco Chahuán, </w:t>
            </w:r>
            <w:proofErr w:type="spellStart"/>
            <w:r w:rsidRPr="002B26F5">
              <w:rPr>
                <w:rFonts w:ascii="Book Antiqua" w:hAnsi="Book Antiqua"/>
                <w:sz w:val="24"/>
                <w:szCs w:val="24"/>
              </w:rPr>
              <w:t>Alvaro</w:t>
            </w:r>
            <w:proofErr w:type="spellEnd"/>
            <w:r w:rsidRPr="002B26F5">
              <w:rPr>
                <w:rFonts w:ascii="Book Antiqua" w:hAnsi="Book Antiqua"/>
                <w:sz w:val="24"/>
                <w:szCs w:val="24"/>
              </w:rPr>
              <w:t xml:space="preserve"> Elizalde, </w:t>
            </w:r>
            <w:proofErr w:type="spellStart"/>
            <w:r w:rsidRPr="002B26F5">
              <w:rPr>
                <w:rFonts w:ascii="Book Antiqua" w:hAnsi="Book Antiqua"/>
                <w:sz w:val="24"/>
                <w:szCs w:val="24"/>
              </w:rPr>
              <w:t>Jose</w:t>
            </w:r>
            <w:proofErr w:type="spellEnd"/>
            <w:r w:rsidRPr="002B26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B26F5">
              <w:rPr>
                <w:rFonts w:ascii="Book Antiqua" w:hAnsi="Book Antiqua"/>
                <w:sz w:val="24"/>
                <w:szCs w:val="24"/>
              </w:rPr>
              <w:t>Garcia</w:t>
            </w:r>
            <w:proofErr w:type="spellEnd"/>
            <w:r w:rsidRPr="002B26F5">
              <w:rPr>
                <w:rFonts w:ascii="Book Antiqua" w:hAnsi="Book Antiqua"/>
                <w:sz w:val="24"/>
                <w:szCs w:val="24"/>
              </w:rPr>
              <w:t xml:space="preserve"> Ruminot, Manuel </w:t>
            </w:r>
            <w:proofErr w:type="spellStart"/>
            <w:r w:rsidRPr="002B26F5">
              <w:rPr>
                <w:rFonts w:ascii="Book Antiqua" w:hAnsi="Book Antiqua"/>
                <w:sz w:val="24"/>
                <w:szCs w:val="24"/>
              </w:rPr>
              <w:t>Jose</w:t>
            </w:r>
            <w:proofErr w:type="spellEnd"/>
            <w:r w:rsidRPr="002B26F5">
              <w:rPr>
                <w:rFonts w:ascii="Book Antiqua" w:hAnsi="Book Antiqua"/>
                <w:sz w:val="24"/>
                <w:szCs w:val="24"/>
              </w:rPr>
              <w:t xml:space="preserve"> Ossandón. </w:t>
            </w:r>
          </w:p>
          <w:p w14:paraId="09C36651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838E8F3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B26F5">
              <w:rPr>
                <w:rFonts w:ascii="Book Antiqua" w:hAnsi="Book Antiqua"/>
                <w:b/>
                <w:sz w:val="24"/>
                <w:szCs w:val="24"/>
              </w:rPr>
              <w:t>PROYECTO DE LEY</w:t>
            </w:r>
          </w:p>
          <w:p w14:paraId="2A4D7C9C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  <w:p w14:paraId="79B22756" w14:textId="60FCBA48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>A la ley 21.100, en su artículo 3, agréguese el siguiente inciso tercero y cuarto:</w:t>
            </w:r>
          </w:p>
          <w:p w14:paraId="429C1710" w14:textId="7777777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A77A62C" w14:textId="67D2BD22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B26F5">
              <w:rPr>
                <w:rFonts w:ascii="Book Antiqua" w:hAnsi="Book Antiqua"/>
                <w:sz w:val="24"/>
                <w:szCs w:val="24"/>
              </w:rPr>
              <w:t xml:space="preserve">"No obstante lo señalado en los incisos anteriores, será obligación de los establecimientos de comercio, hacer entrega a los consumidores, de al menos una </w:t>
            </w:r>
            <w:proofErr w:type="gramStart"/>
            <w:r w:rsidRPr="002B26F5">
              <w:rPr>
                <w:rFonts w:ascii="Book Antiqua" w:hAnsi="Book Antiqua"/>
                <w:sz w:val="24"/>
                <w:szCs w:val="24"/>
              </w:rPr>
              <w:t>unidad  de</w:t>
            </w:r>
            <w:proofErr w:type="gramEnd"/>
            <w:r w:rsidRPr="002B26F5">
              <w:rPr>
                <w:rFonts w:ascii="Book Antiqua" w:hAnsi="Book Antiqua"/>
                <w:sz w:val="24"/>
                <w:szCs w:val="24"/>
              </w:rPr>
              <w:t xml:space="preserve">  algún  empaque  biodegradable  u  otro  material  que no se encuentre</w:t>
            </w:r>
            <w:r w:rsidR="002B26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26F5">
              <w:rPr>
                <w:rFonts w:ascii="Book Antiqua" w:hAnsi="Book Antiqua"/>
                <w:sz w:val="24"/>
                <w:szCs w:val="24"/>
              </w:rPr>
              <w:t xml:space="preserve">prohibido por ley, que permita el trasporte de los productos adquiridos en dicho establecimiento. La infracción de lo dispuesto en este inciso será sancionado por el Juzgado de Policía Local </w:t>
            </w:r>
            <w:r w:rsidRPr="002B26F5">
              <w:rPr>
                <w:rFonts w:ascii="Book Antiqua" w:hAnsi="Book Antiqua"/>
                <w:sz w:val="24"/>
                <w:szCs w:val="24"/>
              </w:rPr>
              <w:lastRenderedPageBreak/>
              <w:t>respectivo con una multa a beneficio municipal de una a diez unidades tributarias mensuales".</w:t>
            </w:r>
          </w:p>
          <w:p w14:paraId="2912CEA6" w14:textId="21064CF7" w:rsidR="00DA28C8" w:rsidRPr="002B26F5" w:rsidRDefault="00DA28C8" w:rsidP="002B26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127C32A" w14:textId="77777777" w:rsidR="0087741D" w:rsidRPr="002B26F5" w:rsidRDefault="0087741D" w:rsidP="002B26F5">
      <w:pPr>
        <w:jc w:val="both"/>
        <w:rPr>
          <w:rFonts w:ascii="Book Antiqua" w:hAnsi="Book Antiqua"/>
          <w:sz w:val="24"/>
          <w:szCs w:val="24"/>
        </w:rPr>
      </w:pPr>
    </w:p>
    <w:sectPr w:rsidR="0087741D" w:rsidRPr="002B26F5" w:rsidSect="00DA28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1977"/>
    <w:multiLevelType w:val="hybridMultilevel"/>
    <w:tmpl w:val="5C8AA1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76"/>
    <w:rsid w:val="002B26F5"/>
    <w:rsid w:val="00761376"/>
    <w:rsid w:val="0087741D"/>
    <w:rsid w:val="00D87223"/>
    <w:rsid w:val="00D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FC96"/>
  <w15:chartTrackingRefBased/>
  <w15:docId w15:val="{68750330-6272-4E07-852A-422A040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A2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722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A28C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extosinformato">
    <w:name w:val="Plain Text"/>
    <w:basedOn w:val="Normal"/>
    <w:link w:val="TextosinformatoCar"/>
    <w:uiPriority w:val="99"/>
    <w:unhideWhenUsed/>
    <w:rsid w:val="00DA28C8"/>
    <w:pPr>
      <w:spacing w:after="0" w:line="240" w:lineRule="auto"/>
      <w:jc w:val="both"/>
    </w:pPr>
    <w:rPr>
      <w:rFonts w:ascii="Consolas" w:eastAsia="Calibri" w:hAnsi="Consolas" w:cs="Consolas"/>
      <w:color w:val="00000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28C8"/>
    <w:rPr>
      <w:rFonts w:ascii="Consolas" w:eastAsia="Calibri" w:hAnsi="Consolas" w:cs="Consola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fullerton</dc:creator>
  <cp:keywords/>
  <dc:description/>
  <cp:lastModifiedBy>victoria fullerton</cp:lastModifiedBy>
  <cp:revision>3</cp:revision>
  <dcterms:created xsi:type="dcterms:W3CDTF">2019-04-08T02:00:00Z</dcterms:created>
  <dcterms:modified xsi:type="dcterms:W3CDTF">2019-04-08T02:43:00Z</dcterms:modified>
</cp:coreProperties>
</file>