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7CAAB" w14:textId="2F4F0BFC" w:rsidR="006B5188" w:rsidRPr="00845B96" w:rsidRDefault="006B5188" w:rsidP="00175BD2">
      <w:pPr>
        <w:pStyle w:val="Estilo1"/>
        <w:tabs>
          <w:tab w:val="left" w:pos="2835"/>
        </w:tabs>
        <w:jc w:val="center"/>
        <w:rPr>
          <w:rFonts w:cs="Arial"/>
          <w:b/>
          <w:sz w:val="28"/>
          <w:szCs w:val="28"/>
        </w:rPr>
      </w:pPr>
      <w:r w:rsidRPr="00845B96">
        <w:rPr>
          <w:rFonts w:cs="Arial"/>
          <w:b/>
          <w:sz w:val="28"/>
          <w:szCs w:val="28"/>
        </w:rPr>
        <w:t>PROYECTO DE LEY QUE ESTABLECE MEDIDAS PARA IMPULSAR LA PR</w:t>
      </w:r>
      <w:r w:rsidR="00175BD2">
        <w:rPr>
          <w:rFonts w:cs="Arial"/>
          <w:b/>
          <w:sz w:val="28"/>
          <w:szCs w:val="28"/>
        </w:rPr>
        <w:t>ODUCTIVIDAD Y EL EMPRENDIMIENTO</w:t>
      </w:r>
    </w:p>
    <w:p w14:paraId="2A66DE5C" w14:textId="77777777" w:rsidR="00746EAF" w:rsidRPr="00845B96" w:rsidRDefault="004C20E3">
      <w:pPr>
        <w:rPr>
          <w:sz w:val="28"/>
          <w:szCs w:val="28"/>
        </w:rPr>
      </w:pPr>
    </w:p>
    <w:p w14:paraId="476D39E7" w14:textId="77777777" w:rsidR="006B5188" w:rsidRPr="00845B96" w:rsidRDefault="006B5188">
      <w:pPr>
        <w:rPr>
          <w:sz w:val="28"/>
          <w:szCs w:val="28"/>
        </w:rPr>
      </w:pPr>
    </w:p>
    <w:tbl>
      <w:tblPr>
        <w:tblStyle w:val="Tablaconcuadrcula"/>
        <w:tblW w:w="8102" w:type="dxa"/>
        <w:tblInd w:w="643" w:type="dxa"/>
        <w:tblLook w:val="04A0" w:firstRow="1" w:lastRow="0" w:firstColumn="1" w:lastColumn="0" w:noHBand="0" w:noVBand="1"/>
      </w:tblPr>
      <w:tblGrid>
        <w:gridCol w:w="4051"/>
        <w:gridCol w:w="4051"/>
      </w:tblGrid>
      <w:tr w:rsidR="006B5188" w:rsidRPr="00845B96" w14:paraId="7EA8C857" w14:textId="77777777" w:rsidTr="006B5188">
        <w:trPr>
          <w:trHeight w:val="480"/>
        </w:trPr>
        <w:tc>
          <w:tcPr>
            <w:tcW w:w="4051" w:type="dxa"/>
          </w:tcPr>
          <w:p w14:paraId="44531B86" w14:textId="77777777" w:rsidR="006B5188" w:rsidRPr="00845B96" w:rsidRDefault="006B5188">
            <w:pPr>
              <w:rPr>
                <w:b/>
                <w:bCs/>
                <w:sz w:val="28"/>
                <w:szCs w:val="28"/>
              </w:rPr>
            </w:pPr>
            <w:r w:rsidRPr="00845B96">
              <w:rPr>
                <w:b/>
                <w:bCs/>
                <w:sz w:val="28"/>
                <w:szCs w:val="28"/>
              </w:rPr>
              <w:t>Origen</w:t>
            </w:r>
          </w:p>
        </w:tc>
        <w:tc>
          <w:tcPr>
            <w:tcW w:w="4051" w:type="dxa"/>
          </w:tcPr>
          <w:p w14:paraId="4353BDE5" w14:textId="77777777" w:rsidR="006B5188" w:rsidRPr="00845B96" w:rsidRDefault="006B5188">
            <w:pPr>
              <w:rPr>
                <w:sz w:val="28"/>
                <w:szCs w:val="28"/>
              </w:rPr>
            </w:pPr>
            <w:r w:rsidRPr="00845B96">
              <w:rPr>
                <w:sz w:val="28"/>
                <w:szCs w:val="28"/>
              </w:rPr>
              <w:t>Mensaje</w:t>
            </w:r>
          </w:p>
        </w:tc>
      </w:tr>
      <w:tr w:rsidR="006B5188" w:rsidRPr="00845B96" w14:paraId="553C7FDD" w14:textId="77777777" w:rsidTr="006B5188">
        <w:trPr>
          <w:trHeight w:val="480"/>
        </w:trPr>
        <w:tc>
          <w:tcPr>
            <w:tcW w:w="4051" w:type="dxa"/>
          </w:tcPr>
          <w:p w14:paraId="2C1A9CC1" w14:textId="77777777" w:rsidR="006B5188" w:rsidRPr="00845B96" w:rsidRDefault="006B5188">
            <w:pPr>
              <w:rPr>
                <w:b/>
                <w:bCs/>
                <w:sz w:val="28"/>
                <w:szCs w:val="28"/>
              </w:rPr>
            </w:pPr>
            <w:r w:rsidRPr="00845B96">
              <w:rPr>
                <w:b/>
                <w:bCs/>
                <w:sz w:val="28"/>
                <w:szCs w:val="28"/>
              </w:rPr>
              <w:t>Urgencia</w:t>
            </w:r>
          </w:p>
        </w:tc>
        <w:tc>
          <w:tcPr>
            <w:tcW w:w="4051" w:type="dxa"/>
          </w:tcPr>
          <w:p w14:paraId="13FC685D" w14:textId="77777777" w:rsidR="006B5188" w:rsidRPr="00845B96" w:rsidRDefault="006B5188">
            <w:pPr>
              <w:rPr>
                <w:sz w:val="28"/>
                <w:szCs w:val="28"/>
              </w:rPr>
            </w:pPr>
            <w:r w:rsidRPr="00845B96">
              <w:rPr>
                <w:sz w:val="28"/>
                <w:szCs w:val="28"/>
              </w:rPr>
              <w:t>Suma</w:t>
            </w:r>
          </w:p>
        </w:tc>
      </w:tr>
      <w:tr w:rsidR="006B5188" w:rsidRPr="00845B96" w14:paraId="4B5AD3AB" w14:textId="77777777" w:rsidTr="006B5188">
        <w:trPr>
          <w:trHeight w:val="480"/>
        </w:trPr>
        <w:tc>
          <w:tcPr>
            <w:tcW w:w="4051" w:type="dxa"/>
          </w:tcPr>
          <w:p w14:paraId="0D023773" w14:textId="77777777" w:rsidR="006B5188" w:rsidRPr="00845B96" w:rsidRDefault="006B5188">
            <w:pPr>
              <w:rPr>
                <w:b/>
                <w:bCs/>
                <w:sz w:val="28"/>
                <w:szCs w:val="28"/>
              </w:rPr>
            </w:pPr>
            <w:r w:rsidRPr="00845B96">
              <w:rPr>
                <w:b/>
                <w:bCs/>
                <w:sz w:val="28"/>
                <w:szCs w:val="28"/>
              </w:rPr>
              <w:t xml:space="preserve">Tramite </w:t>
            </w:r>
          </w:p>
        </w:tc>
        <w:tc>
          <w:tcPr>
            <w:tcW w:w="4051" w:type="dxa"/>
          </w:tcPr>
          <w:p w14:paraId="2915FB6A" w14:textId="77777777" w:rsidR="006B5188" w:rsidRPr="00845B96" w:rsidRDefault="006B5188">
            <w:pPr>
              <w:rPr>
                <w:sz w:val="28"/>
                <w:szCs w:val="28"/>
              </w:rPr>
            </w:pPr>
            <w:r w:rsidRPr="00845B96">
              <w:rPr>
                <w:sz w:val="28"/>
                <w:szCs w:val="28"/>
              </w:rPr>
              <w:t xml:space="preserve">Primer trámite constitucional – Discusión en general </w:t>
            </w:r>
          </w:p>
        </w:tc>
      </w:tr>
      <w:tr w:rsidR="006B5188" w:rsidRPr="00845B96" w14:paraId="6AF95C56" w14:textId="77777777" w:rsidTr="006B5188">
        <w:trPr>
          <w:trHeight w:val="480"/>
        </w:trPr>
        <w:tc>
          <w:tcPr>
            <w:tcW w:w="4051" w:type="dxa"/>
          </w:tcPr>
          <w:p w14:paraId="76772FDE" w14:textId="77777777" w:rsidR="006B5188" w:rsidRPr="00845B96" w:rsidRDefault="006B5188">
            <w:pPr>
              <w:rPr>
                <w:b/>
                <w:bCs/>
                <w:sz w:val="28"/>
                <w:szCs w:val="28"/>
              </w:rPr>
            </w:pPr>
            <w:r w:rsidRPr="00845B96">
              <w:rPr>
                <w:b/>
                <w:bCs/>
                <w:sz w:val="28"/>
                <w:szCs w:val="28"/>
              </w:rPr>
              <w:t>Sugerencia</w:t>
            </w:r>
          </w:p>
        </w:tc>
        <w:tc>
          <w:tcPr>
            <w:tcW w:w="4051" w:type="dxa"/>
          </w:tcPr>
          <w:p w14:paraId="5574554D" w14:textId="1CD5FEC5" w:rsidR="006B5188" w:rsidRPr="00845B96" w:rsidRDefault="006B5188" w:rsidP="009F7F30">
            <w:pPr>
              <w:rPr>
                <w:sz w:val="28"/>
                <w:szCs w:val="28"/>
              </w:rPr>
            </w:pPr>
            <w:r w:rsidRPr="00845B96">
              <w:rPr>
                <w:sz w:val="28"/>
                <w:szCs w:val="28"/>
              </w:rPr>
              <w:t>Aprobar /</w:t>
            </w:r>
            <w:r w:rsidR="009F7F30">
              <w:rPr>
                <w:sz w:val="28"/>
                <w:szCs w:val="28"/>
              </w:rPr>
              <w:t xml:space="preserve"> </w:t>
            </w:r>
            <w:r w:rsidR="009F7F30" w:rsidRPr="009F7F30">
              <w:rPr>
                <w:sz w:val="28"/>
                <w:szCs w:val="28"/>
                <w:highlight w:val="yellow"/>
              </w:rPr>
              <w:t>ver</w:t>
            </w:r>
            <w:r w:rsidRPr="009F7F30">
              <w:rPr>
                <w:sz w:val="28"/>
                <w:szCs w:val="28"/>
                <w:highlight w:val="yellow"/>
              </w:rPr>
              <w:t xml:space="preserve"> observaciones</w:t>
            </w:r>
          </w:p>
        </w:tc>
      </w:tr>
    </w:tbl>
    <w:p w14:paraId="7B58489F" w14:textId="77777777" w:rsidR="006B5188" w:rsidRPr="00845B96" w:rsidRDefault="006B5188">
      <w:pPr>
        <w:rPr>
          <w:sz w:val="28"/>
          <w:szCs w:val="28"/>
        </w:rPr>
      </w:pPr>
    </w:p>
    <w:p w14:paraId="04E705DC" w14:textId="77777777" w:rsidR="006B5188" w:rsidRPr="00845B96" w:rsidRDefault="006B5188" w:rsidP="006B5188">
      <w:pPr>
        <w:pStyle w:val="Prrafodelista"/>
        <w:numPr>
          <w:ilvl w:val="0"/>
          <w:numId w:val="1"/>
        </w:numPr>
        <w:rPr>
          <w:b/>
          <w:bCs/>
          <w:sz w:val="28"/>
          <w:szCs w:val="28"/>
        </w:rPr>
      </w:pPr>
      <w:r w:rsidRPr="00845B96">
        <w:rPr>
          <w:b/>
          <w:bCs/>
          <w:sz w:val="28"/>
          <w:szCs w:val="28"/>
        </w:rPr>
        <w:t>Objetivo</w:t>
      </w:r>
    </w:p>
    <w:p w14:paraId="2DD87368" w14:textId="77777777" w:rsidR="006B5188" w:rsidRPr="00845B96" w:rsidRDefault="006B5188" w:rsidP="006B5188">
      <w:pPr>
        <w:rPr>
          <w:sz w:val="28"/>
          <w:szCs w:val="28"/>
        </w:rPr>
      </w:pPr>
    </w:p>
    <w:p w14:paraId="63D0363E" w14:textId="77777777" w:rsidR="006B5188" w:rsidRPr="00845B96" w:rsidRDefault="006B5188" w:rsidP="006B5188">
      <w:pPr>
        <w:rPr>
          <w:sz w:val="28"/>
          <w:szCs w:val="28"/>
        </w:rPr>
      </w:pPr>
      <w:r w:rsidRPr="00845B96">
        <w:rPr>
          <w:sz w:val="28"/>
          <w:szCs w:val="28"/>
        </w:rPr>
        <w:t>- Ampliar y fortalecer el análisis de productividad de los proyectos de ley.</w:t>
      </w:r>
    </w:p>
    <w:p w14:paraId="45BDE415" w14:textId="77777777" w:rsidR="006B5188" w:rsidRPr="00845B96" w:rsidRDefault="006B5188" w:rsidP="006B5188">
      <w:pPr>
        <w:rPr>
          <w:sz w:val="28"/>
          <w:szCs w:val="28"/>
        </w:rPr>
      </w:pPr>
    </w:p>
    <w:p w14:paraId="20E3C143" w14:textId="77777777" w:rsidR="006B5188" w:rsidRPr="00845B96" w:rsidRDefault="006B5188" w:rsidP="00175BD2">
      <w:pPr>
        <w:jc w:val="both"/>
        <w:rPr>
          <w:sz w:val="28"/>
          <w:szCs w:val="28"/>
        </w:rPr>
      </w:pPr>
      <w:r w:rsidRPr="00845B96">
        <w:rPr>
          <w:sz w:val="28"/>
          <w:szCs w:val="28"/>
        </w:rPr>
        <w:t>- Fomentar la productividad en la actividad de los Órganos de la Administración del Estado en su actividad y en su relación con los particulares.</w:t>
      </w:r>
    </w:p>
    <w:p w14:paraId="5C79F3B1" w14:textId="77777777" w:rsidR="006B5188" w:rsidRPr="00845B96" w:rsidRDefault="006B5188" w:rsidP="006B5188">
      <w:pPr>
        <w:rPr>
          <w:sz w:val="28"/>
          <w:szCs w:val="28"/>
        </w:rPr>
      </w:pPr>
    </w:p>
    <w:p w14:paraId="4D86AAA9" w14:textId="77777777" w:rsidR="006B5188" w:rsidRPr="00845B96" w:rsidRDefault="006B5188" w:rsidP="006B5188">
      <w:pPr>
        <w:rPr>
          <w:sz w:val="28"/>
          <w:szCs w:val="28"/>
        </w:rPr>
      </w:pPr>
      <w:r w:rsidRPr="00845B96">
        <w:rPr>
          <w:sz w:val="28"/>
          <w:szCs w:val="28"/>
        </w:rPr>
        <w:t>- Adaptar la actual regulación a los avances tecnológicos.</w:t>
      </w:r>
    </w:p>
    <w:p w14:paraId="424DFBAC" w14:textId="77777777" w:rsidR="006B5188" w:rsidRPr="00845B96" w:rsidRDefault="006B5188" w:rsidP="006B5188">
      <w:pPr>
        <w:rPr>
          <w:sz w:val="28"/>
          <w:szCs w:val="28"/>
        </w:rPr>
      </w:pPr>
    </w:p>
    <w:p w14:paraId="44BCCD00" w14:textId="77777777" w:rsidR="006B5188" w:rsidRPr="00845B96" w:rsidRDefault="006B5188" w:rsidP="00175BD2">
      <w:pPr>
        <w:jc w:val="both"/>
        <w:rPr>
          <w:sz w:val="28"/>
          <w:szCs w:val="28"/>
        </w:rPr>
      </w:pPr>
      <w:r w:rsidRPr="00845B96">
        <w:rPr>
          <w:sz w:val="28"/>
          <w:szCs w:val="28"/>
        </w:rPr>
        <w:t>- Eliminar diversas trabas regulatorias existentes en ciertos sectores de la economía que impiden el aumento de productividad y el desarrollo de dichas actividades.</w:t>
      </w:r>
    </w:p>
    <w:p w14:paraId="1A1158D6" w14:textId="77777777" w:rsidR="006B5188" w:rsidRDefault="006B5188" w:rsidP="006B5188">
      <w:pPr>
        <w:rPr>
          <w:sz w:val="28"/>
          <w:szCs w:val="28"/>
        </w:rPr>
      </w:pPr>
    </w:p>
    <w:p w14:paraId="068B8191" w14:textId="77777777" w:rsidR="00175BD2" w:rsidRPr="00845B96" w:rsidRDefault="00175BD2" w:rsidP="006B5188">
      <w:pPr>
        <w:rPr>
          <w:sz w:val="28"/>
          <w:szCs w:val="28"/>
        </w:rPr>
      </w:pPr>
    </w:p>
    <w:p w14:paraId="2689C96F" w14:textId="76E34B41" w:rsidR="006B5188" w:rsidRPr="00845B96" w:rsidRDefault="006B5188" w:rsidP="006B5188">
      <w:pPr>
        <w:pStyle w:val="Prrafodelista"/>
        <w:numPr>
          <w:ilvl w:val="0"/>
          <w:numId w:val="1"/>
        </w:numPr>
        <w:rPr>
          <w:b/>
          <w:bCs/>
          <w:sz w:val="28"/>
          <w:szCs w:val="28"/>
        </w:rPr>
      </w:pPr>
      <w:r w:rsidRPr="00845B96">
        <w:rPr>
          <w:b/>
          <w:bCs/>
          <w:sz w:val="28"/>
          <w:szCs w:val="28"/>
        </w:rPr>
        <w:t>Leyes que modifica</w:t>
      </w:r>
      <w:r w:rsidR="009F7F30">
        <w:rPr>
          <w:b/>
          <w:bCs/>
          <w:sz w:val="28"/>
          <w:szCs w:val="28"/>
        </w:rPr>
        <w:t xml:space="preserve"> (</w:t>
      </w:r>
      <w:r w:rsidR="009F7F30" w:rsidRPr="00FB5FD7">
        <w:rPr>
          <w:b/>
          <w:bCs/>
          <w:sz w:val="28"/>
          <w:szCs w:val="28"/>
          <w:u w:val="single"/>
        </w:rPr>
        <w:t>es una ley miscelánea</w:t>
      </w:r>
      <w:r w:rsidR="00FB5FD7" w:rsidRPr="00FB5FD7">
        <w:rPr>
          <w:b/>
          <w:bCs/>
          <w:sz w:val="28"/>
          <w:szCs w:val="28"/>
          <w:u w:val="single"/>
        </w:rPr>
        <w:t xml:space="preserve"> modifica 12 cuerpos normativos</w:t>
      </w:r>
      <w:r w:rsidR="009F7F30">
        <w:rPr>
          <w:b/>
          <w:bCs/>
          <w:sz w:val="28"/>
          <w:szCs w:val="28"/>
        </w:rPr>
        <w:t xml:space="preserve">) </w:t>
      </w:r>
    </w:p>
    <w:p w14:paraId="0F0169F0" w14:textId="77777777" w:rsidR="006B5188" w:rsidRPr="00845B96" w:rsidRDefault="006B5188" w:rsidP="006B5188">
      <w:pPr>
        <w:rPr>
          <w:sz w:val="28"/>
          <w:szCs w:val="28"/>
        </w:rPr>
      </w:pPr>
    </w:p>
    <w:p w14:paraId="4449E205" w14:textId="77777777" w:rsidR="006B5188" w:rsidRPr="00845B96" w:rsidRDefault="006B5188" w:rsidP="006B5188">
      <w:pPr>
        <w:jc w:val="both"/>
        <w:rPr>
          <w:rFonts w:cs="Arial"/>
        </w:rPr>
      </w:pPr>
      <w:r w:rsidRPr="00845B96">
        <w:rPr>
          <w:rFonts w:cs="Arial"/>
        </w:rPr>
        <w:t>1.- La ley N° 18.918, Orgánica Constitucional del Congreso Nacional.</w:t>
      </w:r>
    </w:p>
    <w:p w14:paraId="6170BEBE" w14:textId="77777777" w:rsidR="006B5188" w:rsidRPr="00845B96" w:rsidRDefault="006B5188" w:rsidP="006B5188">
      <w:pPr>
        <w:jc w:val="both"/>
        <w:rPr>
          <w:rFonts w:cs="Arial"/>
        </w:rPr>
      </w:pPr>
    </w:p>
    <w:p w14:paraId="3D527290" w14:textId="77777777" w:rsidR="006B5188" w:rsidRPr="00845B96" w:rsidRDefault="006B5188" w:rsidP="006B5188">
      <w:pPr>
        <w:jc w:val="both"/>
        <w:rPr>
          <w:rFonts w:cs="Arial"/>
        </w:rPr>
      </w:pPr>
      <w:r w:rsidRPr="00845B96">
        <w:rPr>
          <w:rFonts w:cs="Arial"/>
        </w:rPr>
        <w:t xml:space="preserve">2.- El Código Sanitario. </w:t>
      </w:r>
    </w:p>
    <w:p w14:paraId="1F01DB9A" w14:textId="77777777" w:rsidR="006B5188" w:rsidRPr="00845B96" w:rsidRDefault="006B5188" w:rsidP="006B5188">
      <w:pPr>
        <w:jc w:val="both"/>
        <w:rPr>
          <w:rFonts w:cs="Arial"/>
        </w:rPr>
      </w:pPr>
      <w:r w:rsidRPr="00845B96">
        <w:rPr>
          <w:rFonts w:cs="Arial"/>
        </w:rPr>
        <w:t>-Título V De los ensayos clínicos de productos farmacéuticos (artículos 111A y siguientes).</w:t>
      </w:r>
    </w:p>
    <w:p w14:paraId="25525BE5" w14:textId="77777777" w:rsidR="006B5188" w:rsidRPr="00845B96" w:rsidRDefault="006B5188" w:rsidP="006B5188">
      <w:pPr>
        <w:jc w:val="both"/>
        <w:rPr>
          <w:rFonts w:cs="Arial"/>
        </w:rPr>
      </w:pPr>
      <w:r w:rsidRPr="00845B96">
        <w:rPr>
          <w:rFonts w:cs="Arial"/>
        </w:rPr>
        <w:t>-Título VI De la responsabilidad por productos defectuosos (artículos 111H y siguientes).</w:t>
      </w:r>
    </w:p>
    <w:p w14:paraId="639C1577" w14:textId="77777777" w:rsidR="006B5188" w:rsidRPr="00845B96" w:rsidRDefault="006B5188" w:rsidP="006B5188">
      <w:pPr>
        <w:jc w:val="both"/>
        <w:rPr>
          <w:rFonts w:cs="Arial"/>
        </w:rPr>
      </w:pPr>
    </w:p>
    <w:p w14:paraId="75F055B0" w14:textId="77777777" w:rsidR="006B5188" w:rsidRPr="00845B96" w:rsidRDefault="006B5188" w:rsidP="006B5188">
      <w:pPr>
        <w:jc w:val="both"/>
        <w:rPr>
          <w:rFonts w:cs="Arial"/>
        </w:rPr>
      </w:pPr>
      <w:r w:rsidRPr="00845B96">
        <w:rPr>
          <w:rFonts w:cs="Arial"/>
        </w:rPr>
        <w:t>3.- La ley N° 20.850, que crea un sistema de protección financiera para diagnósticos y tratamientos de alto costo y rinde homenaje póstumo a don Luis Ricarte Soto Gallegos. Título V De la determinación de tratamientos de alto costo con sistema de protección financiera (artículos 15 y siguientes).</w:t>
      </w:r>
    </w:p>
    <w:p w14:paraId="20142A84" w14:textId="77777777" w:rsidR="006B5188" w:rsidRPr="00845B96" w:rsidRDefault="006B5188" w:rsidP="006B5188">
      <w:pPr>
        <w:jc w:val="both"/>
        <w:rPr>
          <w:rFonts w:cs="Arial"/>
        </w:rPr>
      </w:pPr>
    </w:p>
    <w:p w14:paraId="40AFBAE2" w14:textId="77777777" w:rsidR="006B5188" w:rsidRPr="00845B96" w:rsidRDefault="006B5188" w:rsidP="006B5188">
      <w:pPr>
        <w:jc w:val="both"/>
        <w:rPr>
          <w:rFonts w:cs="Arial"/>
        </w:rPr>
      </w:pPr>
      <w:r w:rsidRPr="00845B96">
        <w:rPr>
          <w:rFonts w:cs="Arial"/>
        </w:rPr>
        <w:lastRenderedPageBreak/>
        <w:t xml:space="preserve">4.- La </w:t>
      </w:r>
      <w:proofErr w:type="gramStart"/>
      <w:r w:rsidRPr="00845B96">
        <w:rPr>
          <w:rFonts w:cs="Arial"/>
        </w:rPr>
        <w:t>ley Nº</w:t>
      </w:r>
      <w:proofErr w:type="gramEnd"/>
      <w:r w:rsidRPr="00845B96">
        <w:rPr>
          <w:rFonts w:cs="Arial"/>
        </w:rPr>
        <w:t xml:space="preserve"> 18.695, Orgánica Constitucional de Municipalidades.</w:t>
      </w:r>
    </w:p>
    <w:p w14:paraId="30A13B08" w14:textId="77777777" w:rsidR="006B5188" w:rsidRPr="00845B96" w:rsidRDefault="006B5188" w:rsidP="006B5188">
      <w:pPr>
        <w:jc w:val="both"/>
        <w:rPr>
          <w:rFonts w:cs="Arial"/>
        </w:rPr>
      </w:pPr>
    </w:p>
    <w:p w14:paraId="34626DF6" w14:textId="77777777" w:rsidR="006B5188" w:rsidRPr="00845B96" w:rsidRDefault="006B5188" w:rsidP="006B5188">
      <w:pPr>
        <w:jc w:val="both"/>
        <w:rPr>
          <w:rFonts w:cs="Arial"/>
        </w:rPr>
      </w:pPr>
      <w:r w:rsidRPr="00845B96">
        <w:rPr>
          <w:rFonts w:cs="Arial"/>
        </w:rPr>
        <w:t>5.- El Código del Trabajo. Capítulo III De la nacionalidad de los trabajadores (artículo 19 y 20).</w:t>
      </w:r>
    </w:p>
    <w:p w14:paraId="3F2137DB" w14:textId="77777777" w:rsidR="006B5188" w:rsidRPr="00845B96" w:rsidRDefault="006B5188" w:rsidP="006B5188">
      <w:pPr>
        <w:jc w:val="both"/>
        <w:rPr>
          <w:rFonts w:cs="Arial"/>
        </w:rPr>
      </w:pPr>
    </w:p>
    <w:p w14:paraId="78689CF4" w14:textId="77777777" w:rsidR="006B5188" w:rsidRPr="00845B96" w:rsidRDefault="006B5188" w:rsidP="006B5188">
      <w:pPr>
        <w:jc w:val="both"/>
        <w:rPr>
          <w:rFonts w:cs="Arial"/>
        </w:rPr>
      </w:pPr>
      <w:r w:rsidRPr="00845B96">
        <w:rPr>
          <w:rFonts w:cs="Arial"/>
        </w:rPr>
        <w:t xml:space="preserve">6.- La ley General de Pesca y Acuicultura, cuyo texto refundido, coordinado y sistematizado se encuentra contenido en el Decreto Supremo N°430 de 1991, del Ministerio de Economía, Fomento y Reconstrucción, hoy Ministerio de Economía Fomento y Turismo. </w:t>
      </w:r>
    </w:p>
    <w:p w14:paraId="605A3905" w14:textId="77777777" w:rsidR="006B5188" w:rsidRPr="00845B96" w:rsidRDefault="006B5188" w:rsidP="006B5188">
      <w:pPr>
        <w:jc w:val="both"/>
        <w:rPr>
          <w:rFonts w:cs="Arial"/>
        </w:rPr>
      </w:pPr>
    </w:p>
    <w:p w14:paraId="004A62BE" w14:textId="77777777" w:rsidR="006B5188" w:rsidRPr="00845B96" w:rsidRDefault="006B5188" w:rsidP="006B5188">
      <w:pPr>
        <w:jc w:val="both"/>
        <w:rPr>
          <w:rFonts w:cs="Arial"/>
        </w:rPr>
      </w:pPr>
      <w:r w:rsidRPr="00845B96">
        <w:rPr>
          <w:rFonts w:cs="Arial"/>
        </w:rPr>
        <w:t>7.- La ley N° 19.886, de bases sobre contratos administrativos de suministro y prestación de servicios. Párrafo I De los procedimientos de contratación (artículo 5 y siguientes).</w:t>
      </w:r>
    </w:p>
    <w:p w14:paraId="40BAB20B" w14:textId="77777777" w:rsidR="006B5188" w:rsidRPr="00845B96" w:rsidRDefault="006B5188" w:rsidP="006B5188">
      <w:pPr>
        <w:jc w:val="both"/>
        <w:rPr>
          <w:rFonts w:cs="Arial"/>
        </w:rPr>
      </w:pPr>
    </w:p>
    <w:p w14:paraId="554D317A" w14:textId="77777777" w:rsidR="006B5188" w:rsidRPr="00845B96" w:rsidRDefault="006B5188" w:rsidP="006B5188">
      <w:pPr>
        <w:jc w:val="both"/>
        <w:rPr>
          <w:rFonts w:cs="Arial"/>
        </w:rPr>
      </w:pPr>
      <w:r w:rsidRPr="00845B96">
        <w:rPr>
          <w:rFonts w:cs="Arial"/>
        </w:rPr>
        <w:t>8.- La ley N° 20.720, sustituye el régimen concursal vigente por una ley de reorganización y liquidación de empresas y personas, y perfecciona el rol de la superintendencia del ramo.</w:t>
      </w:r>
    </w:p>
    <w:p w14:paraId="0D70099D" w14:textId="77777777" w:rsidR="006B5188" w:rsidRPr="00845B96" w:rsidRDefault="006B5188" w:rsidP="006B5188">
      <w:pPr>
        <w:jc w:val="both"/>
        <w:rPr>
          <w:rFonts w:cs="Arial"/>
        </w:rPr>
      </w:pPr>
    </w:p>
    <w:p w14:paraId="1E2D7BEB" w14:textId="77777777" w:rsidR="006B5188" w:rsidRPr="00845B96" w:rsidRDefault="006B5188" w:rsidP="006B5188">
      <w:pPr>
        <w:jc w:val="both"/>
        <w:rPr>
          <w:rFonts w:cs="Arial"/>
        </w:rPr>
      </w:pPr>
      <w:r w:rsidRPr="00845B96">
        <w:rPr>
          <w:rFonts w:cs="Arial"/>
        </w:rPr>
        <w:t>9.- La ley N° 20.659, simplifica el régimen de constitución, modificación y disolución de las sociedades comerciales.</w:t>
      </w:r>
    </w:p>
    <w:p w14:paraId="51F79C78" w14:textId="77777777" w:rsidR="006B5188" w:rsidRPr="00845B96" w:rsidRDefault="006B5188" w:rsidP="006B5188">
      <w:pPr>
        <w:jc w:val="both"/>
        <w:rPr>
          <w:rFonts w:cs="Arial"/>
        </w:rPr>
      </w:pPr>
    </w:p>
    <w:p w14:paraId="233A86FB" w14:textId="77777777" w:rsidR="006B5188" w:rsidRPr="00845B96" w:rsidRDefault="006B5188" w:rsidP="006B5188">
      <w:pPr>
        <w:jc w:val="both"/>
        <w:rPr>
          <w:rFonts w:cs="Arial"/>
        </w:rPr>
      </w:pPr>
      <w:r w:rsidRPr="00845B96">
        <w:rPr>
          <w:rFonts w:cs="Arial"/>
        </w:rPr>
        <w:t xml:space="preserve">10.- El </w:t>
      </w:r>
      <w:bookmarkStart w:id="0" w:name="_Hlk6821387"/>
      <w:r w:rsidRPr="00845B96">
        <w:rPr>
          <w:rFonts w:cs="Arial"/>
        </w:rPr>
        <w:t>decreto con fuerza de ley</w:t>
      </w:r>
      <w:bookmarkEnd w:id="0"/>
      <w:r w:rsidRPr="00845B96">
        <w:rPr>
          <w:rFonts w:cs="Arial"/>
        </w:rPr>
        <w:t xml:space="preserve"> N° 382, de la Ley General de Servicios Sanitarios.</w:t>
      </w:r>
    </w:p>
    <w:p w14:paraId="1759076E" w14:textId="77777777" w:rsidR="006B5188" w:rsidRPr="00845B96" w:rsidRDefault="006B5188" w:rsidP="006B5188">
      <w:pPr>
        <w:jc w:val="both"/>
        <w:rPr>
          <w:rFonts w:cs="Arial"/>
        </w:rPr>
      </w:pPr>
    </w:p>
    <w:p w14:paraId="4D7EBBEF" w14:textId="77777777" w:rsidR="006B5188" w:rsidRPr="00845B96" w:rsidRDefault="006B5188" w:rsidP="006B5188">
      <w:pPr>
        <w:jc w:val="both"/>
        <w:rPr>
          <w:rFonts w:cs="Arial"/>
        </w:rPr>
      </w:pPr>
      <w:r w:rsidRPr="00845B96">
        <w:rPr>
          <w:rFonts w:cs="Arial"/>
        </w:rPr>
        <w:t xml:space="preserve">11.- La ley N° 18.838, que crea el Consejo Nacional de Televisión. </w:t>
      </w:r>
    </w:p>
    <w:p w14:paraId="11FCA9C7" w14:textId="77777777" w:rsidR="006B5188" w:rsidRPr="00845B96" w:rsidRDefault="006B5188" w:rsidP="006B5188">
      <w:pPr>
        <w:jc w:val="both"/>
        <w:rPr>
          <w:rFonts w:cs="Arial"/>
        </w:rPr>
      </w:pPr>
    </w:p>
    <w:p w14:paraId="2509E4A0" w14:textId="77777777" w:rsidR="006B5188" w:rsidRPr="00845B96" w:rsidRDefault="006B5188" w:rsidP="006B5188">
      <w:pPr>
        <w:jc w:val="both"/>
        <w:rPr>
          <w:rFonts w:cs="Arial"/>
        </w:rPr>
      </w:pPr>
      <w:r w:rsidRPr="00845B96">
        <w:rPr>
          <w:rFonts w:cs="Arial"/>
        </w:rPr>
        <w:t>12.- El decreto con fuerza de ley N°5, de 2003, del Ministerio de Economía, Fomento y Reconstrucción, actualmente Ministerio de Economía Fomento y Turismo, que fija el texto refundido, concordado y sistematizado de la Ley General de Cooperativas.</w:t>
      </w:r>
    </w:p>
    <w:p w14:paraId="0794A3D9" w14:textId="77777777" w:rsidR="006B5188" w:rsidRDefault="006B5188" w:rsidP="006B5188">
      <w:pPr>
        <w:rPr>
          <w:sz w:val="28"/>
          <w:szCs w:val="28"/>
        </w:rPr>
      </w:pPr>
    </w:p>
    <w:p w14:paraId="30F641F0" w14:textId="77777777" w:rsidR="00175BD2" w:rsidRPr="00845B96" w:rsidRDefault="00175BD2" w:rsidP="006B5188">
      <w:pPr>
        <w:rPr>
          <w:sz w:val="28"/>
          <w:szCs w:val="28"/>
        </w:rPr>
      </w:pPr>
    </w:p>
    <w:p w14:paraId="6C5E6783" w14:textId="77777777" w:rsidR="006B5188" w:rsidRPr="00845B96" w:rsidRDefault="006B5188" w:rsidP="006B5188">
      <w:pPr>
        <w:pStyle w:val="Prrafodelista"/>
        <w:numPr>
          <w:ilvl w:val="0"/>
          <w:numId w:val="1"/>
        </w:numPr>
        <w:rPr>
          <w:b/>
          <w:bCs/>
          <w:sz w:val="28"/>
          <w:szCs w:val="28"/>
        </w:rPr>
      </w:pPr>
      <w:r w:rsidRPr="00845B96">
        <w:rPr>
          <w:b/>
          <w:bCs/>
          <w:sz w:val="28"/>
          <w:szCs w:val="28"/>
        </w:rPr>
        <w:t>Aspectos a destacar</w:t>
      </w:r>
    </w:p>
    <w:p w14:paraId="7CB608D1" w14:textId="77777777" w:rsidR="006D40E7" w:rsidRPr="00845B96" w:rsidRDefault="006D40E7" w:rsidP="006D40E7">
      <w:pPr>
        <w:rPr>
          <w:sz w:val="28"/>
          <w:szCs w:val="28"/>
        </w:rPr>
      </w:pPr>
    </w:p>
    <w:p w14:paraId="6E7D406B" w14:textId="77777777" w:rsidR="006D40E7" w:rsidRPr="00845B96" w:rsidRDefault="006D40E7" w:rsidP="006D40E7">
      <w:pPr>
        <w:pStyle w:val="Prrafodelista"/>
        <w:numPr>
          <w:ilvl w:val="0"/>
          <w:numId w:val="2"/>
        </w:numPr>
        <w:rPr>
          <w:sz w:val="28"/>
          <w:szCs w:val="28"/>
        </w:rPr>
      </w:pPr>
      <w:r w:rsidRPr="00845B96">
        <w:rPr>
          <w:sz w:val="28"/>
          <w:szCs w:val="28"/>
        </w:rPr>
        <w:t xml:space="preserve">Establece la </w:t>
      </w:r>
      <w:r w:rsidRPr="00845B96">
        <w:rPr>
          <w:b/>
          <w:bCs/>
          <w:sz w:val="28"/>
          <w:szCs w:val="28"/>
        </w:rPr>
        <w:t>obligación de especificar explícitamente en proyectos de ley las normas derogadas por la nueva ley</w:t>
      </w:r>
      <w:r w:rsidRPr="00845B96">
        <w:rPr>
          <w:sz w:val="28"/>
          <w:szCs w:val="28"/>
        </w:rPr>
        <w:t>.</w:t>
      </w:r>
    </w:p>
    <w:p w14:paraId="561D4ADF" w14:textId="77777777" w:rsidR="006D40E7" w:rsidRPr="00845B96" w:rsidRDefault="006D40E7" w:rsidP="006D40E7">
      <w:pPr>
        <w:pStyle w:val="Prrafodelista"/>
        <w:rPr>
          <w:sz w:val="28"/>
          <w:szCs w:val="28"/>
        </w:rPr>
      </w:pPr>
    </w:p>
    <w:p w14:paraId="3CCE2C8C" w14:textId="3AEDF093" w:rsidR="006D40E7" w:rsidRPr="00845B96" w:rsidRDefault="006D40E7" w:rsidP="006D40E7">
      <w:pPr>
        <w:pStyle w:val="Prrafodelista"/>
        <w:numPr>
          <w:ilvl w:val="0"/>
          <w:numId w:val="2"/>
        </w:numPr>
        <w:jc w:val="both"/>
        <w:rPr>
          <w:sz w:val="28"/>
          <w:szCs w:val="28"/>
        </w:rPr>
      </w:pPr>
      <w:r w:rsidRPr="00845B96">
        <w:rPr>
          <w:sz w:val="28"/>
          <w:szCs w:val="28"/>
        </w:rPr>
        <w:t xml:space="preserve">Permite </w:t>
      </w:r>
      <w:r w:rsidRPr="00845B96">
        <w:rPr>
          <w:b/>
          <w:bCs/>
          <w:sz w:val="28"/>
          <w:szCs w:val="28"/>
        </w:rPr>
        <w:t xml:space="preserve">flexibilizar </w:t>
      </w:r>
      <w:r w:rsidR="00FB5FD7">
        <w:rPr>
          <w:b/>
          <w:bCs/>
          <w:sz w:val="28"/>
          <w:szCs w:val="28"/>
        </w:rPr>
        <w:t xml:space="preserve">la </w:t>
      </w:r>
      <w:r w:rsidRPr="00845B96">
        <w:rPr>
          <w:b/>
          <w:bCs/>
          <w:sz w:val="28"/>
          <w:szCs w:val="28"/>
        </w:rPr>
        <w:t>exigencia de publicación en periódicos</w:t>
      </w:r>
      <w:r w:rsidRPr="00845B96">
        <w:rPr>
          <w:sz w:val="28"/>
          <w:szCs w:val="28"/>
        </w:rPr>
        <w:t xml:space="preserve"> de circulación nacional, regional o local, </w:t>
      </w:r>
      <w:r w:rsidRPr="00845B96">
        <w:rPr>
          <w:b/>
          <w:bCs/>
          <w:sz w:val="28"/>
          <w:szCs w:val="28"/>
        </w:rPr>
        <w:t>posibil</w:t>
      </w:r>
      <w:r w:rsidR="00797236">
        <w:rPr>
          <w:b/>
          <w:bCs/>
          <w:sz w:val="28"/>
          <w:szCs w:val="28"/>
        </w:rPr>
        <w:t xml:space="preserve">itando la publicación en medios/diarios </w:t>
      </w:r>
      <w:r w:rsidRPr="00845B96">
        <w:rPr>
          <w:b/>
          <w:bCs/>
          <w:sz w:val="28"/>
          <w:szCs w:val="28"/>
        </w:rPr>
        <w:t>electrónicos de actos administrativos.</w:t>
      </w:r>
      <w:r w:rsidRPr="00845B96">
        <w:rPr>
          <w:sz w:val="28"/>
          <w:szCs w:val="28"/>
        </w:rPr>
        <w:t xml:space="preserve"> </w:t>
      </w:r>
    </w:p>
    <w:p w14:paraId="4C8FC10A" w14:textId="77777777" w:rsidR="006D40E7" w:rsidRPr="00845B96" w:rsidRDefault="006D40E7" w:rsidP="006D40E7">
      <w:pPr>
        <w:rPr>
          <w:sz w:val="28"/>
          <w:szCs w:val="28"/>
        </w:rPr>
      </w:pPr>
    </w:p>
    <w:p w14:paraId="41ED6FBA" w14:textId="758BCCF1" w:rsidR="006D40E7" w:rsidRPr="00845B96" w:rsidRDefault="00175BD2" w:rsidP="006D40E7">
      <w:pPr>
        <w:pStyle w:val="Prrafodelista"/>
        <w:numPr>
          <w:ilvl w:val="0"/>
          <w:numId w:val="2"/>
        </w:numPr>
        <w:rPr>
          <w:b/>
          <w:bCs/>
          <w:sz w:val="28"/>
          <w:szCs w:val="28"/>
        </w:rPr>
      </w:pPr>
      <w:r>
        <w:rPr>
          <w:b/>
          <w:bCs/>
          <w:sz w:val="28"/>
          <w:szCs w:val="28"/>
        </w:rPr>
        <w:t>Modifica</w:t>
      </w:r>
      <w:r w:rsidR="006D40E7" w:rsidRPr="00845B96">
        <w:rPr>
          <w:b/>
          <w:bCs/>
          <w:sz w:val="28"/>
          <w:szCs w:val="28"/>
        </w:rPr>
        <w:t xml:space="preserve"> regulación de estudios clínicos</w:t>
      </w:r>
      <w:r w:rsidR="00340214" w:rsidRPr="00845B96">
        <w:rPr>
          <w:b/>
          <w:bCs/>
          <w:sz w:val="28"/>
          <w:szCs w:val="28"/>
        </w:rPr>
        <w:t xml:space="preserve"> (Ley Ricarte Soto)</w:t>
      </w:r>
      <w:r w:rsidR="006D40E7" w:rsidRPr="00845B96">
        <w:rPr>
          <w:b/>
          <w:bCs/>
          <w:sz w:val="28"/>
          <w:szCs w:val="28"/>
        </w:rPr>
        <w:t>:</w:t>
      </w:r>
    </w:p>
    <w:p w14:paraId="4CE41D45" w14:textId="77777777" w:rsidR="006D40E7" w:rsidRPr="00845B96" w:rsidRDefault="006D40E7" w:rsidP="006D40E7">
      <w:pPr>
        <w:rPr>
          <w:sz w:val="28"/>
          <w:szCs w:val="28"/>
        </w:rPr>
      </w:pPr>
    </w:p>
    <w:p w14:paraId="6643ACB7" w14:textId="77777777" w:rsidR="006D40E7" w:rsidRPr="00845B96" w:rsidRDefault="006D40E7" w:rsidP="006D40E7">
      <w:pPr>
        <w:pStyle w:val="Prrafodelista"/>
        <w:numPr>
          <w:ilvl w:val="1"/>
          <w:numId w:val="2"/>
        </w:numPr>
        <w:rPr>
          <w:b/>
          <w:bCs/>
          <w:sz w:val="28"/>
          <w:szCs w:val="28"/>
        </w:rPr>
      </w:pPr>
      <w:r w:rsidRPr="00845B96">
        <w:rPr>
          <w:b/>
          <w:bCs/>
          <w:sz w:val="28"/>
          <w:szCs w:val="28"/>
        </w:rPr>
        <w:t>Evitar que se dé continuidad del tratamiento a todo evento</w:t>
      </w:r>
      <w:r w:rsidR="00D66461" w:rsidRPr="00845B96">
        <w:rPr>
          <w:b/>
          <w:bCs/>
          <w:sz w:val="28"/>
          <w:szCs w:val="28"/>
        </w:rPr>
        <w:t>.</w:t>
      </w:r>
    </w:p>
    <w:p w14:paraId="4D45E1B7" w14:textId="77777777" w:rsidR="00340214" w:rsidRPr="00845B96" w:rsidRDefault="00340214" w:rsidP="00340214">
      <w:pPr>
        <w:pStyle w:val="Prrafodelista"/>
        <w:ind w:left="1140"/>
        <w:rPr>
          <w:sz w:val="28"/>
          <w:szCs w:val="28"/>
        </w:rPr>
      </w:pPr>
    </w:p>
    <w:p w14:paraId="0CF0FF47" w14:textId="77777777" w:rsidR="00340214" w:rsidRPr="00845B96" w:rsidRDefault="00340214" w:rsidP="00340214">
      <w:pPr>
        <w:pStyle w:val="Prrafodelista"/>
        <w:ind w:left="1140"/>
        <w:jc w:val="both"/>
        <w:rPr>
          <w:sz w:val="28"/>
          <w:szCs w:val="28"/>
        </w:rPr>
      </w:pPr>
      <w:r w:rsidRPr="00845B96">
        <w:rPr>
          <w:sz w:val="28"/>
          <w:szCs w:val="28"/>
        </w:rPr>
        <w:t xml:space="preserve">El actual art. 111 C del Código Sanitario dispone: “El paciente que haya participado en un ensayo clínico tendrá derecho a que, una vez terminado éste, el titular de la autorización especial para uso provisional con fines de investigación y, con posterioridad en su caso, el titular del registro sanitario del producto sanitario de que se trate, </w:t>
      </w:r>
      <w:r w:rsidRPr="00845B96">
        <w:rPr>
          <w:b/>
          <w:bCs/>
          <w:sz w:val="28"/>
          <w:szCs w:val="28"/>
          <w:highlight w:val="yellow"/>
        </w:rPr>
        <w:t>le otorgue a sin costo para el paciente la continuidad del tratamiento por todo el tiempo que persista su utilidad terapéutica</w:t>
      </w:r>
      <w:r w:rsidRPr="00845B96">
        <w:rPr>
          <w:sz w:val="28"/>
          <w:szCs w:val="28"/>
        </w:rPr>
        <w:t>, conforme al protocolo de investigación respectivo”.</w:t>
      </w:r>
    </w:p>
    <w:p w14:paraId="147DF973" w14:textId="77777777" w:rsidR="00340214" w:rsidRPr="00845B96" w:rsidRDefault="00340214" w:rsidP="00340214">
      <w:pPr>
        <w:jc w:val="both"/>
        <w:rPr>
          <w:sz w:val="28"/>
          <w:szCs w:val="28"/>
        </w:rPr>
      </w:pPr>
    </w:p>
    <w:p w14:paraId="3FD75C29" w14:textId="77777777" w:rsidR="00340214" w:rsidRPr="00845B96" w:rsidRDefault="00340214" w:rsidP="00936DE5">
      <w:pPr>
        <w:pBdr>
          <w:top w:val="single" w:sz="4" w:space="1" w:color="auto"/>
          <w:left w:val="single" w:sz="4" w:space="4" w:color="auto"/>
          <w:bottom w:val="single" w:sz="4" w:space="1" w:color="auto"/>
          <w:right w:val="single" w:sz="4" w:space="4" w:color="auto"/>
        </w:pBdr>
        <w:ind w:left="700"/>
        <w:jc w:val="both"/>
        <w:rPr>
          <w:sz w:val="28"/>
          <w:szCs w:val="28"/>
        </w:rPr>
      </w:pPr>
      <w:r w:rsidRPr="00845B96">
        <w:rPr>
          <w:sz w:val="28"/>
          <w:szCs w:val="28"/>
        </w:rPr>
        <w:t xml:space="preserve">Dicha norma aumenta considerablemente los costos de la investigación clínica inhibiendo la investigación en el sector. </w:t>
      </w:r>
    </w:p>
    <w:p w14:paraId="43F77141" w14:textId="77777777" w:rsidR="00340214" w:rsidRDefault="00340214" w:rsidP="00340214">
      <w:pPr>
        <w:jc w:val="both"/>
        <w:rPr>
          <w:sz w:val="28"/>
          <w:szCs w:val="28"/>
        </w:rPr>
      </w:pPr>
      <w:r w:rsidRPr="00845B96">
        <w:rPr>
          <w:sz w:val="28"/>
          <w:szCs w:val="28"/>
        </w:rPr>
        <w:tab/>
      </w:r>
      <w:r w:rsidRPr="00845B96">
        <w:rPr>
          <w:sz w:val="28"/>
          <w:szCs w:val="28"/>
        </w:rPr>
        <w:tab/>
      </w:r>
    </w:p>
    <w:p w14:paraId="553306C0" w14:textId="77777777" w:rsidR="00FB5FD7" w:rsidRPr="00845B96" w:rsidRDefault="00FB5FD7" w:rsidP="00340214">
      <w:pPr>
        <w:jc w:val="both"/>
        <w:rPr>
          <w:sz w:val="28"/>
          <w:szCs w:val="28"/>
        </w:rPr>
      </w:pPr>
    </w:p>
    <w:p w14:paraId="06C094B9" w14:textId="77777777" w:rsidR="006D40E7" w:rsidRPr="00845B96" w:rsidRDefault="006D40E7" w:rsidP="00340214">
      <w:pPr>
        <w:pStyle w:val="Prrafodelista"/>
        <w:numPr>
          <w:ilvl w:val="1"/>
          <w:numId w:val="2"/>
        </w:numPr>
        <w:jc w:val="both"/>
        <w:rPr>
          <w:b/>
          <w:bCs/>
          <w:sz w:val="28"/>
          <w:szCs w:val="28"/>
        </w:rPr>
      </w:pPr>
      <w:r w:rsidRPr="00845B96">
        <w:rPr>
          <w:b/>
          <w:bCs/>
          <w:sz w:val="28"/>
          <w:szCs w:val="28"/>
        </w:rPr>
        <w:t xml:space="preserve">Modifica el régimen de responsabilidad objetiva. </w:t>
      </w:r>
    </w:p>
    <w:p w14:paraId="251622F9" w14:textId="77777777" w:rsidR="00936DE5" w:rsidRPr="00845B96" w:rsidRDefault="00936DE5" w:rsidP="00936DE5">
      <w:pPr>
        <w:ind w:left="720"/>
        <w:jc w:val="both"/>
        <w:rPr>
          <w:sz w:val="28"/>
          <w:szCs w:val="28"/>
        </w:rPr>
      </w:pPr>
    </w:p>
    <w:p w14:paraId="5D4872E9" w14:textId="35310F21" w:rsidR="00936DE5" w:rsidRPr="00845B96" w:rsidRDefault="00936DE5" w:rsidP="00936DE5">
      <w:pPr>
        <w:pBdr>
          <w:top w:val="single" w:sz="4" w:space="1" w:color="auto"/>
          <w:left w:val="single" w:sz="4" w:space="4" w:color="auto"/>
          <w:bottom w:val="single" w:sz="4" w:space="1" w:color="auto"/>
          <w:right w:val="single" w:sz="4" w:space="4" w:color="auto"/>
        </w:pBdr>
        <w:ind w:left="720"/>
        <w:jc w:val="both"/>
        <w:rPr>
          <w:sz w:val="28"/>
          <w:szCs w:val="28"/>
        </w:rPr>
      </w:pPr>
      <w:r w:rsidRPr="00845B96">
        <w:rPr>
          <w:sz w:val="28"/>
          <w:szCs w:val="28"/>
        </w:rPr>
        <w:t>La norma actual se funda en la responsabilidad objetiva, la que no co</w:t>
      </w:r>
      <w:r w:rsidR="00175BD2">
        <w:rPr>
          <w:sz w:val="28"/>
          <w:szCs w:val="28"/>
        </w:rPr>
        <w:t>nsidera en absoluto</w:t>
      </w:r>
      <w:r w:rsidRPr="00845B96">
        <w:rPr>
          <w:sz w:val="28"/>
          <w:szCs w:val="28"/>
        </w:rPr>
        <w:t xml:space="preserve"> la conducta (culpa o dolo) del sujeto responsable, régimen que es excepcional y que no se condice con las reglas generales de responsabilidad subjetiv</w:t>
      </w:r>
      <w:r w:rsidR="006811CC" w:rsidRPr="00845B96">
        <w:rPr>
          <w:sz w:val="28"/>
          <w:szCs w:val="28"/>
        </w:rPr>
        <w:t>a</w:t>
      </w:r>
      <w:r w:rsidRPr="00845B96">
        <w:rPr>
          <w:sz w:val="28"/>
          <w:szCs w:val="28"/>
        </w:rPr>
        <w:t xml:space="preserve"> o por culpa o dolo, establecidas en el estatuto de responsabilidad extracontractual de nuestro Código Civil.</w:t>
      </w:r>
    </w:p>
    <w:p w14:paraId="3F6D4749" w14:textId="77777777" w:rsidR="00936DE5" w:rsidRDefault="00936DE5" w:rsidP="00936DE5">
      <w:pPr>
        <w:ind w:left="720"/>
        <w:jc w:val="both"/>
        <w:rPr>
          <w:sz w:val="28"/>
          <w:szCs w:val="28"/>
        </w:rPr>
      </w:pPr>
    </w:p>
    <w:p w14:paraId="2196E9B0" w14:textId="77777777" w:rsidR="00FB5FD7" w:rsidRPr="00845B96" w:rsidRDefault="00FB5FD7" w:rsidP="00936DE5">
      <w:pPr>
        <w:ind w:left="720"/>
        <w:jc w:val="both"/>
        <w:rPr>
          <w:sz w:val="28"/>
          <w:szCs w:val="28"/>
        </w:rPr>
      </w:pPr>
    </w:p>
    <w:p w14:paraId="6D6E820A" w14:textId="77777777" w:rsidR="006D40E7" w:rsidRPr="00845B96" w:rsidRDefault="006D40E7" w:rsidP="00340214">
      <w:pPr>
        <w:pStyle w:val="Prrafodelista"/>
        <w:numPr>
          <w:ilvl w:val="1"/>
          <w:numId w:val="2"/>
        </w:numPr>
        <w:jc w:val="both"/>
        <w:rPr>
          <w:b/>
          <w:bCs/>
          <w:sz w:val="28"/>
          <w:szCs w:val="28"/>
        </w:rPr>
      </w:pPr>
      <w:r w:rsidRPr="00845B96">
        <w:rPr>
          <w:b/>
          <w:bCs/>
          <w:sz w:val="28"/>
          <w:szCs w:val="28"/>
        </w:rPr>
        <w:t>Fija un plazo de prescripción de diez años desde que es acreditado el daño.</w:t>
      </w:r>
    </w:p>
    <w:p w14:paraId="437FB723" w14:textId="77777777" w:rsidR="00936DE5" w:rsidRDefault="00936DE5" w:rsidP="00340214">
      <w:pPr>
        <w:jc w:val="both"/>
        <w:rPr>
          <w:sz w:val="28"/>
          <w:szCs w:val="28"/>
        </w:rPr>
      </w:pPr>
    </w:p>
    <w:p w14:paraId="358FDB08" w14:textId="77777777" w:rsidR="00FB5FD7" w:rsidRPr="00845B96" w:rsidRDefault="00FB5FD7" w:rsidP="00340214">
      <w:pPr>
        <w:jc w:val="both"/>
        <w:rPr>
          <w:sz w:val="28"/>
          <w:szCs w:val="28"/>
        </w:rPr>
      </w:pPr>
    </w:p>
    <w:p w14:paraId="15A19D26" w14:textId="77777777" w:rsidR="006D40E7" w:rsidRPr="00845B96" w:rsidRDefault="006811CC" w:rsidP="00A2071D">
      <w:pPr>
        <w:pStyle w:val="Prrafodelista"/>
        <w:numPr>
          <w:ilvl w:val="0"/>
          <w:numId w:val="2"/>
        </w:numPr>
        <w:jc w:val="both"/>
        <w:rPr>
          <w:b/>
          <w:bCs/>
          <w:sz w:val="28"/>
          <w:szCs w:val="28"/>
        </w:rPr>
      </w:pPr>
      <w:r w:rsidRPr="00845B96">
        <w:rPr>
          <w:b/>
          <w:bCs/>
          <w:sz w:val="28"/>
          <w:szCs w:val="28"/>
        </w:rPr>
        <w:t xml:space="preserve">Concurso público para la </w:t>
      </w:r>
      <w:r w:rsidR="006D40E7" w:rsidRPr="00845B96">
        <w:rPr>
          <w:b/>
          <w:bCs/>
          <w:sz w:val="28"/>
          <w:szCs w:val="28"/>
        </w:rPr>
        <w:t xml:space="preserve">designación de </w:t>
      </w:r>
      <w:r w:rsidRPr="00845B96">
        <w:rPr>
          <w:b/>
          <w:bCs/>
          <w:sz w:val="28"/>
          <w:szCs w:val="28"/>
        </w:rPr>
        <w:t>directores de obras municipales.</w:t>
      </w:r>
    </w:p>
    <w:p w14:paraId="74166FB4" w14:textId="77777777" w:rsidR="006811CC" w:rsidRPr="00845B96" w:rsidRDefault="006811CC" w:rsidP="00A2071D">
      <w:pPr>
        <w:pStyle w:val="Prrafodelista"/>
        <w:jc w:val="both"/>
        <w:rPr>
          <w:sz w:val="28"/>
          <w:szCs w:val="28"/>
        </w:rPr>
      </w:pPr>
    </w:p>
    <w:p w14:paraId="1BC82F60" w14:textId="77777777" w:rsidR="006D40E7" w:rsidRPr="00845B96" w:rsidRDefault="00A2071D" w:rsidP="00A2071D">
      <w:pPr>
        <w:pStyle w:val="Prrafodelista"/>
        <w:numPr>
          <w:ilvl w:val="0"/>
          <w:numId w:val="2"/>
        </w:numPr>
        <w:jc w:val="both"/>
        <w:rPr>
          <w:b/>
          <w:bCs/>
          <w:sz w:val="28"/>
          <w:szCs w:val="28"/>
        </w:rPr>
      </w:pPr>
      <w:r w:rsidRPr="00845B96">
        <w:rPr>
          <w:b/>
          <w:bCs/>
          <w:sz w:val="28"/>
          <w:szCs w:val="28"/>
        </w:rPr>
        <w:t>Aumenta de un 15% a un 30% el</w:t>
      </w:r>
      <w:r w:rsidR="006D40E7" w:rsidRPr="00845B96">
        <w:rPr>
          <w:b/>
          <w:bCs/>
          <w:sz w:val="28"/>
          <w:szCs w:val="28"/>
        </w:rPr>
        <w:t xml:space="preserve"> tope máximo</w:t>
      </w:r>
      <w:r w:rsidR="00C31820" w:rsidRPr="00845B96">
        <w:rPr>
          <w:b/>
          <w:bCs/>
          <w:sz w:val="28"/>
          <w:szCs w:val="28"/>
        </w:rPr>
        <w:t xml:space="preserve"> de contratación de extranjeros.</w:t>
      </w:r>
    </w:p>
    <w:p w14:paraId="69CE2766" w14:textId="77777777" w:rsidR="006D40E7" w:rsidRPr="00845B96" w:rsidRDefault="006D40E7" w:rsidP="00A2071D">
      <w:pPr>
        <w:jc w:val="both"/>
        <w:rPr>
          <w:sz w:val="28"/>
          <w:szCs w:val="28"/>
        </w:rPr>
      </w:pPr>
    </w:p>
    <w:p w14:paraId="24CA76BB" w14:textId="77777777" w:rsidR="006D40E7" w:rsidRPr="00845B96" w:rsidRDefault="006D40E7" w:rsidP="00A2071D">
      <w:pPr>
        <w:pStyle w:val="Prrafodelista"/>
        <w:numPr>
          <w:ilvl w:val="0"/>
          <w:numId w:val="2"/>
        </w:numPr>
        <w:jc w:val="both"/>
        <w:rPr>
          <w:b/>
          <w:bCs/>
          <w:sz w:val="28"/>
          <w:szCs w:val="28"/>
        </w:rPr>
      </w:pPr>
      <w:r w:rsidRPr="00845B96">
        <w:rPr>
          <w:b/>
          <w:bCs/>
          <w:sz w:val="28"/>
          <w:szCs w:val="28"/>
        </w:rPr>
        <w:t>Establecer tiempo máximo para declarar áreas apropiadas para acuicultura</w:t>
      </w:r>
      <w:r w:rsidR="00A2071D" w:rsidRPr="00845B96">
        <w:rPr>
          <w:b/>
          <w:bCs/>
          <w:sz w:val="28"/>
          <w:szCs w:val="28"/>
        </w:rPr>
        <w:t>.</w:t>
      </w:r>
    </w:p>
    <w:p w14:paraId="0639B562" w14:textId="77777777" w:rsidR="00A2071D" w:rsidRPr="00845B96" w:rsidRDefault="00A2071D" w:rsidP="00A2071D">
      <w:pPr>
        <w:rPr>
          <w:sz w:val="28"/>
          <w:szCs w:val="28"/>
        </w:rPr>
      </w:pPr>
    </w:p>
    <w:p w14:paraId="6EF03515" w14:textId="77777777" w:rsidR="006D40E7" w:rsidRPr="00845B96" w:rsidRDefault="00A2071D" w:rsidP="00A2071D">
      <w:pPr>
        <w:pStyle w:val="Prrafodelista"/>
        <w:jc w:val="both"/>
        <w:rPr>
          <w:sz w:val="28"/>
          <w:szCs w:val="28"/>
        </w:rPr>
      </w:pPr>
      <w:r w:rsidRPr="00845B96">
        <w:rPr>
          <w:sz w:val="28"/>
          <w:szCs w:val="28"/>
        </w:rPr>
        <w:t xml:space="preserve">Reduce los tiempos de respuesta </w:t>
      </w:r>
      <w:r w:rsidR="006D40E7" w:rsidRPr="00845B96">
        <w:rPr>
          <w:sz w:val="28"/>
          <w:szCs w:val="28"/>
        </w:rPr>
        <w:t>de la Subsecretaría para las Fuerzas Armadas en lo que respecta a declarar las áreas</w:t>
      </w:r>
      <w:r w:rsidRPr="00845B96">
        <w:rPr>
          <w:sz w:val="28"/>
          <w:szCs w:val="28"/>
        </w:rPr>
        <w:t xml:space="preserve"> apropiadas para la acuicultura.</w:t>
      </w:r>
    </w:p>
    <w:p w14:paraId="10316795" w14:textId="77777777" w:rsidR="006D40E7" w:rsidRPr="00845B96" w:rsidRDefault="006D40E7" w:rsidP="006D40E7">
      <w:pPr>
        <w:rPr>
          <w:sz w:val="28"/>
          <w:szCs w:val="28"/>
        </w:rPr>
      </w:pPr>
    </w:p>
    <w:p w14:paraId="525F89D5" w14:textId="1FE46490" w:rsidR="006D40E7" w:rsidRPr="00845B96" w:rsidRDefault="00175BD2" w:rsidP="00A2071D">
      <w:pPr>
        <w:pStyle w:val="Prrafodelista"/>
        <w:numPr>
          <w:ilvl w:val="0"/>
          <w:numId w:val="2"/>
        </w:numPr>
        <w:jc w:val="both"/>
        <w:rPr>
          <w:b/>
          <w:bCs/>
          <w:sz w:val="28"/>
          <w:szCs w:val="28"/>
        </w:rPr>
      </w:pPr>
      <w:r>
        <w:rPr>
          <w:b/>
          <w:bCs/>
          <w:sz w:val="28"/>
          <w:szCs w:val="28"/>
        </w:rPr>
        <w:t>Modifica la</w:t>
      </w:r>
      <w:r w:rsidR="006D40E7" w:rsidRPr="00845B96">
        <w:rPr>
          <w:b/>
          <w:bCs/>
          <w:sz w:val="28"/>
          <w:szCs w:val="28"/>
        </w:rPr>
        <w:t xml:space="preserve"> causal de cad</w:t>
      </w:r>
      <w:r w:rsidR="00A2071D" w:rsidRPr="00845B96">
        <w:rPr>
          <w:b/>
          <w:bCs/>
          <w:sz w:val="28"/>
          <w:szCs w:val="28"/>
        </w:rPr>
        <w:t>ucidad en concesiones acuícolas</w:t>
      </w:r>
    </w:p>
    <w:p w14:paraId="36378DE4" w14:textId="77777777" w:rsidR="006D40E7" w:rsidRPr="00845B96" w:rsidRDefault="006D40E7" w:rsidP="006D40E7">
      <w:pPr>
        <w:rPr>
          <w:b/>
          <w:bCs/>
          <w:sz w:val="28"/>
          <w:szCs w:val="28"/>
        </w:rPr>
      </w:pPr>
    </w:p>
    <w:p w14:paraId="0C4B31AF" w14:textId="361E30BE" w:rsidR="006D40E7" w:rsidRPr="00845B96" w:rsidRDefault="00A2071D" w:rsidP="00175BD2">
      <w:pPr>
        <w:ind w:left="700"/>
        <w:jc w:val="both"/>
        <w:rPr>
          <w:sz w:val="28"/>
          <w:szCs w:val="28"/>
        </w:rPr>
      </w:pPr>
      <w:r w:rsidRPr="00845B96">
        <w:rPr>
          <w:sz w:val="28"/>
          <w:szCs w:val="28"/>
        </w:rPr>
        <w:t>“El descanso que haya cumplido el centro de cultivo en cumplimiento de un plan de manejo, aprobado de conformidad con el numeral 52) del artículo 2º, no se contabilizará para efectos de la configuración de la causal de caducidad por falta de inicio o de paralización de operaciones a que se refiere el párrafo primero de este numeral, siempre que no haya excedido de dos períodos productivos consecutivos, al término de los cuales deberá operar por al menos un período productivo, y el titular haya suscrito un programa de manejo para someterse a la medida de porcentaje de reducción de siembra.”.</w:t>
      </w:r>
    </w:p>
    <w:p w14:paraId="3BBDAF7C" w14:textId="77777777" w:rsidR="006D40E7" w:rsidRPr="00845B96" w:rsidRDefault="006D40E7" w:rsidP="006D40E7">
      <w:pPr>
        <w:rPr>
          <w:sz w:val="28"/>
          <w:szCs w:val="28"/>
        </w:rPr>
      </w:pPr>
    </w:p>
    <w:p w14:paraId="770208A0" w14:textId="52A85689" w:rsidR="006D40E7" w:rsidRPr="00845B96" w:rsidRDefault="00175BD2" w:rsidP="00A2071D">
      <w:pPr>
        <w:pStyle w:val="Prrafodelista"/>
        <w:numPr>
          <w:ilvl w:val="0"/>
          <w:numId w:val="2"/>
        </w:numPr>
        <w:rPr>
          <w:b/>
          <w:bCs/>
          <w:sz w:val="28"/>
          <w:szCs w:val="28"/>
        </w:rPr>
      </w:pPr>
      <w:r>
        <w:rPr>
          <w:b/>
          <w:bCs/>
          <w:sz w:val="28"/>
          <w:szCs w:val="28"/>
        </w:rPr>
        <w:t>Incorpora</w:t>
      </w:r>
      <w:r w:rsidR="006D40E7" w:rsidRPr="00845B96">
        <w:rPr>
          <w:b/>
          <w:bCs/>
          <w:sz w:val="28"/>
          <w:szCs w:val="28"/>
        </w:rPr>
        <w:t xml:space="preserve"> al Congreso Nacional al sistema de compras y contratación pública</w:t>
      </w:r>
      <w:r w:rsidR="00A2071D" w:rsidRPr="00845B96">
        <w:rPr>
          <w:b/>
          <w:bCs/>
          <w:sz w:val="28"/>
          <w:szCs w:val="28"/>
        </w:rPr>
        <w:t>.</w:t>
      </w:r>
      <w:r w:rsidR="006D40E7" w:rsidRPr="00845B96">
        <w:rPr>
          <w:b/>
          <w:bCs/>
          <w:sz w:val="28"/>
          <w:szCs w:val="28"/>
        </w:rPr>
        <w:t xml:space="preserve"> </w:t>
      </w:r>
    </w:p>
    <w:p w14:paraId="2411E780" w14:textId="77777777" w:rsidR="006D40E7" w:rsidRPr="00845B96" w:rsidRDefault="006D40E7" w:rsidP="006D40E7">
      <w:pPr>
        <w:rPr>
          <w:sz w:val="28"/>
          <w:szCs w:val="28"/>
        </w:rPr>
      </w:pPr>
    </w:p>
    <w:p w14:paraId="5DEAD943" w14:textId="77777777" w:rsidR="006D40E7" w:rsidRPr="00845B96" w:rsidRDefault="00274E83" w:rsidP="00274E83">
      <w:pPr>
        <w:pBdr>
          <w:top w:val="single" w:sz="4" w:space="1" w:color="auto"/>
          <w:left w:val="single" w:sz="4" w:space="4" w:color="auto"/>
          <w:bottom w:val="single" w:sz="4" w:space="1" w:color="auto"/>
          <w:right w:val="single" w:sz="4" w:space="4" w:color="auto"/>
        </w:pBdr>
        <w:ind w:left="360"/>
        <w:jc w:val="both"/>
        <w:rPr>
          <w:sz w:val="28"/>
          <w:szCs w:val="28"/>
        </w:rPr>
      </w:pPr>
      <w:r w:rsidRPr="00845B96">
        <w:rPr>
          <w:sz w:val="28"/>
          <w:szCs w:val="28"/>
        </w:rPr>
        <w:t xml:space="preserve">La modificación propuesta parece razonable, por cuanto incorpora mayores estándares de transparencia y posibilita la participación de más agentes, permitiendo al Congreso Nacional acceder a mejores servicios y productos, generando una competencia sana y deseada entre los oferentes y proveedores de los distintos insumos del Poder Legislativo. </w:t>
      </w:r>
    </w:p>
    <w:p w14:paraId="159DCF49" w14:textId="77777777" w:rsidR="006D40E7" w:rsidRDefault="006D40E7" w:rsidP="006D40E7">
      <w:pPr>
        <w:rPr>
          <w:sz w:val="28"/>
          <w:szCs w:val="28"/>
        </w:rPr>
      </w:pPr>
    </w:p>
    <w:p w14:paraId="6AD2906E" w14:textId="77777777" w:rsidR="00FB5FD7" w:rsidRPr="00845B96" w:rsidRDefault="00FB5FD7" w:rsidP="006D40E7">
      <w:pPr>
        <w:rPr>
          <w:sz w:val="28"/>
          <w:szCs w:val="28"/>
        </w:rPr>
      </w:pPr>
    </w:p>
    <w:p w14:paraId="6225E53B" w14:textId="3AC47182" w:rsidR="006D40E7" w:rsidRPr="00845B96" w:rsidRDefault="00175BD2" w:rsidP="00321EB7">
      <w:pPr>
        <w:pStyle w:val="Prrafodelista"/>
        <w:numPr>
          <w:ilvl w:val="0"/>
          <w:numId w:val="2"/>
        </w:numPr>
        <w:rPr>
          <w:b/>
          <w:bCs/>
          <w:sz w:val="28"/>
          <w:szCs w:val="28"/>
        </w:rPr>
      </w:pPr>
      <w:r>
        <w:rPr>
          <w:b/>
          <w:bCs/>
          <w:sz w:val="28"/>
          <w:szCs w:val="28"/>
        </w:rPr>
        <w:t>Introduce</w:t>
      </w:r>
      <w:r w:rsidR="006D40E7" w:rsidRPr="00845B96">
        <w:rPr>
          <w:b/>
          <w:bCs/>
          <w:sz w:val="28"/>
          <w:szCs w:val="28"/>
        </w:rPr>
        <w:t xml:space="preserve"> perfeccionamientos al sistema de Chile-Compra</w:t>
      </w:r>
    </w:p>
    <w:p w14:paraId="62D7EDBC" w14:textId="77777777" w:rsidR="006D40E7" w:rsidRPr="00845B96" w:rsidRDefault="006D40E7" w:rsidP="006D40E7">
      <w:pPr>
        <w:rPr>
          <w:sz w:val="28"/>
          <w:szCs w:val="28"/>
        </w:rPr>
      </w:pPr>
    </w:p>
    <w:p w14:paraId="10C83551" w14:textId="77777777" w:rsidR="00274E83" w:rsidRPr="00845B96" w:rsidRDefault="00274E83" w:rsidP="00C31820">
      <w:pPr>
        <w:pBdr>
          <w:top w:val="single" w:sz="4" w:space="1" w:color="auto"/>
          <w:left w:val="single" w:sz="4" w:space="4" w:color="auto"/>
          <w:bottom w:val="single" w:sz="4" w:space="1" w:color="auto"/>
          <w:right w:val="single" w:sz="4" w:space="4" w:color="auto"/>
        </w:pBdr>
        <w:ind w:left="360"/>
        <w:jc w:val="both"/>
        <w:rPr>
          <w:sz w:val="28"/>
          <w:szCs w:val="28"/>
        </w:rPr>
      </w:pPr>
      <w:r w:rsidRPr="00845B96">
        <w:rPr>
          <w:sz w:val="28"/>
          <w:szCs w:val="28"/>
        </w:rPr>
        <w:t xml:space="preserve">El </w:t>
      </w:r>
      <w:r w:rsidRPr="00FB5FD7">
        <w:rPr>
          <w:b/>
          <w:bCs/>
          <w:sz w:val="28"/>
          <w:szCs w:val="28"/>
        </w:rPr>
        <w:t>uso eficiente de los recursos estatales debe ser una política pública constante y norte inspirador de todo proyecto de ley</w:t>
      </w:r>
      <w:r w:rsidRPr="00845B96">
        <w:rPr>
          <w:sz w:val="28"/>
          <w:szCs w:val="28"/>
        </w:rPr>
        <w:t xml:space="preserve">, por ello la simplificación y perfeccionamiento del sistema de Chile-Compra se comparte. </w:t>
      </w:r>
    </w:p>
    <w:p w14:paraId="6BB22D1B" w14:textId="77777777" w:rsidR="00274E83" w:rsidRPr="00845B96" w:rsidRDefault="00274E83" w:rsidP="00C31820">
      <w:pPr>
        <w:pBdr>
          <w:top w:val="single" w:sz="4" w:space="1" w:color="auto"/>
          <w:left w:val="single" w:sz="4" w:space="4" w:color="auto"/>
          <w:bottom w:val="single" w:sz="4" w:space="1" w:color="auto"/>
          <w:right w:val="single" w:sz="4" w:space="4" w:color="auto"/>
        </w:pBdr>
        <w:ind w:left="360"/>
        <w:jc w:val="both"/>
        <w:rPr>
          <w:sz w:val="28"/>
          <w:szCs w:val="28"/>
        </w:rPr>
      </w:pPr>
    </w:p>
    <w:p w14:paraId="2D7945FE" w14:textId="0A7EACDD" w:rsidR="00274E83" w:rsidRPr="00845B96" w:rsidRDefault="00274E83" w:rsidP="00C31820">
      <w:pPr>
        <w:pBdr>
          <w:top w:val="single" w:sz="4" w:space="1" w:color="auto"/>
          <w:left w:val="single" w:sz="4" w:space="4" w:color="auto"/>
          <w:bottom w:val="single" w:sz="4" w:space="1" w:color="auto"/>
          <w:right w:val="single" w:sz="4" w:space="4" w:color="auto"/>
        </w:pBdr>
        <w:ind w:left="360"/>
        <w:jc w:val="both"/>
        <w:rPr>
          <w:sz w:val="28"/>
          <w:szCs w:val="28"/>
        </w:rPr>
      </w:pPr>
      <w:r w:rsidRPr="00845B96">
        <w:rPr>
          <w:sz w:val="28"/>
          <w:szCs w:val="28"/>
        </w:rPr>
        <w:t xml:space="preserve">Con todo, </w:t>
      </w:r>
      <w:r w:rsidRPr="00FB5FD7">
        <w:rPr>
          <w:b/>
          <w:bCs/>
          <w:sz w:val="28"/>
          <w:szCs w:val="28"/>
        </w:rPr>
        <w:t>parece extraño entregar al reglamento</w:t>
      </w:r>
      <w:r w:rsidRPr="00845B96">
        <w:rPr>
          <w:sz w:val="28"/>
          <w:szCs w:val="28"/>
        </w:rPr>
        <w:t>, sin parámetros claros</w:t>
      </w:r>
      <w:r w:rsidR="008A40AE">
        <w:rPr>
          <w:sz w:val="28"/>
          <w:szCs w:val="28"/>
        </w:rPr>
        <w:t>,</w:t>
      </w:r>
      <w:r w:rsidRPr="00845B96">
        <w:rPr>
          <w:sz w:val="28"/>
          <w:szCs w:val="28"/>
        </w:rPr>
        <w:t xml:space="preserve"> los montos en los casos que la licitación pú</w:t>
      </w:r>
      <w:r w:rsidR="00C31820" w:rsidRPr="00845B96">
        <w:rPr>
          <w:sz w:val="28"/>
          <w:szCs w:val="28"/>
        </w:rPr>
        <w:t>blica será</w:t>
      </w:r>
      <w:r w:rsidRPr="00845B96">
        <w:rPr>
          <w:sz w:val="28"/>
          <w:szCs w:val="28"/>
        </w:rPr>
        <w:t xml:space="preserve"> obligatoria. En el régimen actual, toda compra sobre 1000 UTM debe ser por medio de licitación pública. Por lo anterior, si bien se comparte, como se dijo la reforma normativa, será un elemento a considerar en la discusión en particular. </w:t>
      </w:r>
    </w:p>
    <w:p w14:paraId="207EEB61" w14:textId="77777777" w:rsidR="00274E83" w:rsidRPr="00845B96" w:rsidRDefault="00274E83" w:rsidP="00C31820">
      <w:pPr>
        <w:pBdr>
          <w:top w:val="single" w:sz="4" w:space="1" w:color="auto"/>
          <w:left w:val="single" w:sz="4" w:space="4" w:color="auto"/>
          <w:bottom w:val="single" w:sz="4" w:space="1" w:color="auto"/>
          <w:right w:val="single" w:sz="4" w:space="4" w:color="auto"/>
        </w:pBdr>
        <w:ind w:left="360"/>
        <w:jc w:val="both"/>
        <w:rPr>
          <w:sz w:val="28"/>
          <w:szCs w:val="28"/>
        </w:rPr>
      </w:pPr>
    </w:p>
    <w:p w14:paraId="4018B45E" w14:textId="77777777" w:rsidR="00C31820" w:rsidRPr="00845B96" w:rsidRDefault="00C31820" w:rsidP="00FB5FD7">
      <w:pPr>
        <w:pBdr>
          <w:top w:val="single" w:sz="4" w:space="1" w:color="auto"/>
          <w:left w:val="single" w:sz="4" w:space="4" w:color="auto"/>
          <w:bottom w:val="single" w:sz="4" w:space="1" w:color="auto"/>
          <w:right w:val="single" w:sz="4" w:space="4" w:color="auto"/>
        </w:pBdr>
        <w:ind w:left="360" w:firstLine="348"/>
        <w:jc w:val="both"/>
        <w:rPr>
          <w:sz w:val="28"/>
          <w:szCs w:val="28"/>
        </w:rPr>
      </w:pPr>
      <w:r w:rsidRPr="00845B96">
        <w:rPr>
          <w:sz w:val="28"/>
          <w:szCs w:val="28"/>
        </w:rPr>
        <w:t xml:space="preserve">Proyecto: “La licitación pública será obligatoria, salvo lo dispuesto en el artículo 8º de esta ley y cuando se trate de contrataciones de bienes y servicios de </w:t>
      </w:r>
      <w:r w:rsidRPr="00845B96">
        <w:rPr>
          <w:sz w:val="28"/>
          <w:szCs w:val="28"/>
          <w:highlight w:val="yellow"/>
        </w:rPr>
        <w:t>montos inferiores al límite que fije el reglamento de esta ley</w:t>
      </w:r>
      <w:r w:rsidRPr="00845B96">
        <w:rPr>
          <w:sz w:val="28"/>
          <w:szCs w:val="28"/>
        </w:rPr>
        <w:t>, el que también establecerá los mecanismos para resguardar su transparencia y trazabilidad.”.</w:t>
      </w:r>
    </w:p>
    <w:p w14:paraId="0ECC429C" w14:textId="77777777" w:rsidR="00C31820" w:rsidRDefault="00C31820" w:rsidP="00C31820">
      <w:pPr>
        <w:pBdr>
          <w:top w:val="single" w:sz="4" w:space="1" w:color="auto"/>
          <w:left w:val="single" w:sz="4" w:space="4" w:color="auto"/>
          <w:bottom w:val="single" w:sz="4" w:space="1" w:color="auto"/>
          <w:right w:val="single" w:sz="4" w:space="4" w:color="auto"/>
        </w:pBdr>
        <w:ind w:left="360"/>
        <w:jc w:val="both"/>
        <w:rPr>
          <w:sz w:val="28"/>
          <w:szCs w:val="28"/>
        </w:rPr>
      </w:pPr>
    </w:p>
    <w:p w14:paraId="13EE2898" w14:textId="1256DF0D" w:rsidR="00FB5FD7" w:rsidRPr="00FB5FD7" w:rsidRDefault="00FB5FD7" w:rsidP="00FB5FD7">
      <w:pPr>
        <w:pBdr>
          <w:top w:val="single" w:sz="4" w:space="1" w:color="auto"/>
          <w:left w:val="single" w:sz="4" w:space="4" w:color="auto"/>
          <w:bottom w:val="single" w:sz="4" w:space="1" w:color="auto"/>
          <w:right w:val="single" w:sz="4" w:space="4" w:color="auto"/>
        </w:pBdr>
        <w:ind w:left="360"/>
        <w:jc w:val="both"/>
        <w:rPr>
          <w:b/>
          <w:bCs/>
          <w:sz w:val="28"/>
          <w:szCs w:val="28"/>
        </w:rPr>
      </w:pPr>
      <w:r w:rsidRPr="00FB5FD7">
        <w:rPr>
          <w:b/>
          <w:bCs/>
          <w:sz w:val="28"/>
          <w:szCs w:val="28"/>
        </w:rPr>
        <w:t>Otr</w:t>
      </w:r>
      <w:r>
        <w:rPr>
          <w:b/>
          <w:bCs/>
          <w:sz w:val="28"/>
          <w:szCs w:val="28"/>
        </w:rPr>
        <w:t>o</w:t>
      </w:r>
      <w:r w:rsidRPr="00FB5FD7">
        <w:rPr>
          <w:b/>
          <w:bCs/>
          <w:sz w:val="28"/>
          <w:szCs w:val="28"/>
        </w:rPr>
        <w:t xml:space="preserve"> punto:</w:t>
      </w:r>
    </w:p>
    <w:p w14:paraId="4D240096" w14:textId="29B7A887" w:rsidR="00274E83" w:rsidRDefault="00C31820" w:rsidP="00C31820">
      <w:pPr>
        <w:pBdr>
          <w:top w:val="single" w:sz="4" w:space="1" w:color="auto"/>
          <w:left w:val="single" w:sz="4" w:space="4" w:color="auto"/>
          <w:bottom w:val="single" w:sz="4" w:space="1" w:color="auto"/>
          <w:right w:val="single" w:sz="4" w:space="4" w:color="auto"/>
        </w:pBdr>
        <w:ind w:left="360"/>
        <w:jc w:val="both"/>
        <w:rPr>
          <w:sz w:val="28"/>
          <w:szCs w:val="28"/>
        </w:rPr>
      </w:pPr>
      <w:r w:rsidRPr="00845B96">
        <w:rPr>
          <w:sz w:val="28"/>
          <w:szCs w:val="28"/>
        </w:rPr>
        <w:t xml:space="preserve">La modificación que </w:t>
      </w:r>
      <w:r w:rsidRPr="008A40AE">
        <w:rPr>
          <w:b/>
          <w:bCs/>
          <w:sz w:val="28"/>
          <w:szCs w:val="28"/>
        </w:rPr>
        <w:t>elimina la exigencia de caución o boleta de garantía</w:t>
      </w:r>
      <w:r w:rsidRPr="00845B96">
        <w:rPr>
          <w:sz w:val="28"/>
          <w:szCs w:val="28"/>
        </w:rPr>
        <w:t xml:space="preserve"> para las licitaciones que no sean públicas parece absolutamente razonable, por cuanto permite que mayores actores, sobre todo las PYMES puedan celebrar contratos con el Estado, ya que muchas veces el monto de la garantía o caución les impedía contrata</w:t>
      </w:r>
      <w:r w:rsidR="00FB5FD7">
        <w:rPr>
          <w:sz w:val="28"/>
          <w:szCs w:val="28"/>
        </w:rPr>
        <w:t>r</w:t>
      </w:r>
      <w:r w:rsidRPr="00845B96">
        <w:rPr>
          <w:sz w:val="28"/>
          <w:szCs w:val="28"/>
        </w:rPr>
        <w:t xml:space="preserve">. </w:t>
      </w:r>
    </w:p>
    <w:p w14:paraId="56B8C710" w14:textId="77777777" w:rsidR="00FF57B3" w:rsidRDefault="00FF57B3" w:rsidP="00C31820">
      <w:pPr>
        <w:pBdr>
          <w:top w:val="single" w:sz="4" w:space="1" w:color="auto"/>
          <w:left w:val="single" w:sz="4" w:space="4" w:color="auto"/>
          <w:bottom w:val="single" w:sz="4" w:space="1" w:color="auto"/>
          <w:right w:val="single" w:sz="4" w:space="4" w:color="auto"/>
        </w:pBdr>
        <w:ind w:left="360"/>
        <w:jc w:val="both"/>
        <w:rPr>
          <w:sz w:val="28"/>
          <w:szCs w:val="28"/>
        </w:rPr>
      </w:pPr>
    </w:p>
    <w:p w14:paraId="64B77AD5" w14:textId="35A0AD08" w:rsidR="00FF57B3" w:rsidRDefault="00FF57B3" w:rsidP="00C31820">
      <w:pPr>
        <w:pBdr>
          <w:top w:val="single" w:sz="4" w:space="1" w:color="auto"/>
          <w:left w:val="single" w:sz="4" w:space="4" w:color="auto"/>
          <w:bottom w:val="single" w:sz="4" w:space="1" w:color="auto"/>
          <w:right w:val="single" w:sz="4" w:space="4" w:color="auto"/>
        </w:pBdr>
        <w:ind w:left="360"/>
        <w:jc w:val="both"/>
        <w:rPr>
          <w:sz w:val="28"/>
          <w:szCs w:val="28"/>
        </w:rPr>
      </w:pPr>
      <w:r w:rsidRPr="00FF57B3">
        <w:rPr>
          <w:sz w:val="28"/>
          <w:szCs w:val="28"/>
        </w:rPr>
        <w:t xml:space="preserve">“No obstante ello, esta caución no será necesaria tratándose de las contrataciones menores señaladas en el artículo 5° de esta ley, cuando hayan sido celebradas por medios electrónicos, de acuerdo al artículo 12 A de la ley N° 19.496. En estas contrataciones se podrá efectuar el pago en forma previa a la recepción conforme del producto, manteniendo la respectiva entidad contratante </w:t>
      </w:r>
      <w:r w:rsidRPr="00FF57B3">
        <w:rPr>
          <w:sz w:val="28"/>
          <w:szCs w:val="28"/>
          <w:highlight w:val="yellow"/>
        </w:rPr>
        <w:t>su derecho de retracto</w:t>
      </w:r>
      <w:r w:rsidRPr="00FF57B3">
        <w:rPr>
          <w:sz w:val="28"/>
          <w:szCs w:val="28"/>
        </w:rPr>
        <w:t xml:space="preserve">, así como los demás derechos y deberes del consumidor, establecidos en el párrafo 1° del Título II de dicha ley.”.  </w:t>
      </w:r>
    </w:p>
    <w:p w14:paraId="09B983E9" w14:textId="77777777" w:rsidR="00FF57B3" w:rsidRDefault="00FF57B3" w:rsidP="00C31820">
      <w:pPr>
        <w:pBdr>
          <w:top w:val="single" w:sz="4" w:space="1" w:color="auto"/>
          <w:left w:val="single" w:sz="4" w:space="4" w:color="auto"/>
          <w:bottom w:val="single" w:sz="4" w:space="1" w:color="auto"/>
          <w:right w:val="single" w:sz="4" w:space="4" w:color="auto"/>
        </w:pBdr>
        <w:ind w:left="360"/>
        <w:jc w:val="both"/>
        <w:rPr>
          <w:sz w:val="28"/>
          <w:szCs w:val="28"/>
        </w:rPr>
      </w:pPr>
    </w:p>
    <w:p w14:paraId="701ADC60" w14:textId="05C8FC5E" w:rsidR="00FF57B3" w:rsidRDefault="00FF57B3" w:rsidP="00C31820">
      <w:pPr>
        <w:pBdr>
          <w:top w:val="single" w:sz="4" w:space="1" w:color="auto"/>
          <w:left w:val="single" w:sz="4" w:space="4" w:color="auto"/>
          <w:bottom w:val="single" w:sz="4" w:space="1" w:color="auto"/>
          <w:right w:val="single" w:sz="4" w:space="4" w:color="auto"/>
        </w:pBdr>
        <w:ind w:left="360"/>
        <w:jc w:val="both"/>
        <w:rPr>
          <w:sz w:val="28"/>
          <w:szCs w:val="28"/>
        </w:rPr>
      </w:pPr>
      <w:r w:rsidRPr="00FB5FD7">
        <w:rPr>
          <w:b/>
          <w:bCs/>
          <w:sz w:val="28"/>
          <w:szCs w:val="28"/>
        </w:rPr>
        <w:t>NOTA</w:t>
      </w:r>
      <w:r>
        <w:rPr>
          <w:sz w:val="28"/>
          <w:szCs w:val="28"/>
        </w:rPr>
        <w:t xml:space="preserve">: </w:t>
      </w:r>
      <w:r w:rsidRPr="00FB5FD7">
        <w:rPr>
          <w:b/>
          <w:bCs/>
          <w:sz w:val="28"/>
          <w:szCs w:val="28"/>
        </w:rPr>
        <w:t>respecto del derecho a retracto</w:t>
      </w:r>
      <w:r>
        <w:rPr>
          <w:sz w:val="28"/>
          <w:szCs w:val="28"/>
        </w:rPr>
        <w:t>, en la discusión en particular se debiera regular o introducir alguna modificación</w:t>
      </w:r>
      <w:r w:rsidR="00FB5FD7">
        <w:rPr>
          <w:sz w:val="28"/>
          <w:szCs w:val="28"/>
        </w:rPr>
        <w:t>,</w:t>
      </w:r>
      <w:r>
        <w:rPr>
          <w:sz w:val="28"/>
          <w:szCs w:val="28"/>
        </w:rPr>
        <w:t xml:space="preserve"> para evitar abusos por parte de los órganos del estado en su ejercicio. </w:t>
      </w:r>
    </w:p>
    <w:p w14:paraId="2D0645FB" w14:textId="77777777" w:rsidR="00FF57B3" w:rsidRPr="00845B96" w:rsidRDefault="00FF57B3" w:rsidP="00C31820">
      <w:pPr>
        <w:pBdr>
          <w:top w:val="single" w:sz="4" w:space="1" w:color="auto"/>
          <w:left w:val="single" w:sz="4" w:space="4" w:color="auto"/>
          <w:bottom w:val="single" w:sz="4" w:space="1" w:color="auto"/>
          <w:right w:val="single" w:sz="4" w:space="4" w:color="auto"/>
        </w:pBdr>
        <w:ind w:left="360"/>
        <w:jc w:val="both"/>
        <w:rPr>
          <w:sz w:val="28"/>
          <w:szCs w:val="28"/>
        </w:rPr>
      </w:pPr>
    </w:p>
    <w:p w14:paraId="793750E2" w14:textId="77777777" w:rsidR="00274E83" w:rsidRDefault="00274E83" w:rsidP="00274E83">
      <w:pPr>
        <w:ind w:left="360"/>
        <w:jc w:val="both"/>
        <w:rPr>
          <w:sz w:val="28"/>
          <w:szCs w:val="28"/>
        </w:rPr>
      </w:pPr>
    </w:p>
    <w:p w14:paraId="0A8653E8" w14:textId="77777777" w:rsidR="00FB5FD7" w:rsidRPr="00845B96" w:rsidRDefault="00FB5FD7" w:rsidP="00274E83">
      <w:pPr>
        <w:ind w:left="360"/>
        <w:jc w:val="both"/>
        <w:rPr>
          <w:sz w:val="28"/>
          <w:szCs w:val="28"/>
        </w:rPr>
      </w:pPr>
    </w:p>
    <w:p w14:paraId="5A26D880" w14:textId="3BD6E634" w:rsidR="006D40E7" w:rsidRPr="00845B96" w:rsidRDefault="00175BD2" w:rsidP="00C31820">
      <w:pPr>
        <w:pStyle w:val="Prrafodelista"/>
        <w:numPr>
          <w:ilvl w:val="0"/>
          <w:numId w:val="2"/>
        </w:numPr>
        <w:rPr>
          <w:b/>
          <w:bCs/>
          <w:sz w:val="28"/>
          <w:szCs w:val="28"/>
        </w:rPr>
      </w:pPr>
      <w:r>
        <w:rPr>
          <w:b/>
          <w:bCs/>
          <w:sz w:val="28"/>
          <w:szCs w:val="28"/>
        </w:rPr>
        <w:t>Impulsa</w:t>
      </w:r>
      <w:r w:rsidR="006D40E7" w:rsidRPr="00845B96">
        <w:rPr>
          <w:b/>
          <w:bCs/>
          <w:sz w:val="28"/>
          <w:szCs w:val="28"/>
        </w:rPr>
        <w:t xml:space="preserve"> medidas de reemprendimiento </w:t>
      </w:r>
    </w:p>
    <w:p w14:paraId="1F4C7DA5" w14:textId="77777777" w:rsidR="006D40E7" w:rsidRPr="00845B96" w:rsidRDefault="006D40E7" w:rsidP="006D40E7">
      <w:pPr>
        <w:rPr>
          <w:sz w:val="28"/>
          <w:szCs w:val="28"/>
        </w:rPr>
      </w:pPr>
    </w:p>
    <w:p w14:paraId="547CDFEF" w14:textId="3F07A76D" w:rsidR="00C31820" w:rsidRPr="00845B96" w:rsidRDefault="00C31820" w:rsidP="00C31820">
      <w:pPr>
        <w:pStyle w:val="Prrafodelista"/>
        <w:numPr>
          <w:ilvl w:val="0"/>
          <w:numId w:val="2"/>
        </w:numPr>
        <w:rPr>
          <w:b/>
          <w:bCs/>
          <w:sz w:val="28"/>
          <w:szCs w:val="28"/>
        </w:rPr>
      </w:pPr>
      <w:r w:rsidRPr="00845B96">
        <w:rPr>
          <w:b/>
          <w:bCs/>
          <w:sz w:val="28"/>
          <w:szCs w:val="28"/>
        </w:rPr>
        <w:t>F</w:t>
      </w:r>
      <w:r w:rsidR="00175BD2">
        <w:rPr>
          <w:b/>
          <w:bCs/>
          <w:sz w:val="28"/>
          <w:szCs w:val="28"/>
        </w:rPr>
        <w:t>acilita</w:t>
      </w:r>
      <w:r w:rsidR="006D40E7" w:rsidRPr="00845B96">
        <w:rPr>
          <w:b/>
          <w:bCs/>
          <w:sz w:val="28"/>
          <w:szCs w:val="28"/>
        </w:rPr>
        <w:t xml:space="preserve"> registro de empresas en un día</w:t>
      </w:r>
    </w:p>
    <w:p w14:paraId="55A7A81E" w14:textId="77777777" w:rsidR="00C31820" w:rsidRPr="00845B96" w:rsidRDefault="00C31820" w:rsidP="00C31820">
      <w:pPr>
        <w:rPr>
          <w:b/>
          <w:bCs/>
          <w:sz w:val="28"/>
          <w:szCs w:val="28"/>
        </w:rPr>
      </w:pPr>
    </w:p>
    <w:p w14:paraId="1BE96E01" w14:textId="04F93822" w:rsidR="006D40E7" w:rsidRPr="00845B96" w:rsidRDefault="006D40E7" w:rsidP="00C31820">
      <w:pPr>
        <w:pStyle w:val="Prrafodelista"/>
        <w:numPr>
          <w:ilvl w:val="0"/>
          <w:numId w:val="2"/>
        </w:numPr>
        <w:rPr>
          <w:b/>
          <w:bCs/>
          <w:sz w:val="28"/>
          <w:szCs w:val="28"/>
        </w:rPr>
      </w:pPr>
      <w:r w:rsidRPr="00845B96">
        <w:rPr>
          <w:b/>
          <w:bCs/>
          <w:sz w:val="28"/>
          <w:szCs w:val="28"/>
        </w:rPr>
        <w:t xml:space="preserve"> </w:t>
      </w:r>
      <w:r w:rsidR="00175BD2">
        <w:rPr>
          <w:b/>
          <w:bCs/>
          <w:sz w:val="28"/>
          <w:szCs w:val="28"/>
        </w:rPr>
        <w:t>Facilita</w:t>
      </w:r>
      <w:r w:rsidRPr="00845B96">
        <w:rPr>
          <w:b/>
          <w:bCs/>
          <w:sz w:val="28"/>
          <w:szCs w:val="28"/>
        </w:rPr>
        <w:t xml:space="preserve"> funcionamiento de empresas en un día </w:t>
      </w:r>
    </w:p>
    <w:p w14:paraId="652DCD70" w14:textId="77777777" w:rsidR="006D40E7" w:rsidRPr="00845B96" w:rsidRDefault="006D40E7" w:rsidP="006D40E7">
      <w:pPr>
        <w:rPr>
          <w:b/>
          <w:bCs/>
          <w:sz w:val="28"/>
          <w:szCs w:val="28"/>
        </w:rPr>
      </w:pPr>
    </w:p>
    <w:p w14:paraId="292F40EB" w14:textId="1B8E65C3" w:rsidR="006D40E7" w:rsidRPr="00845B96" w:rsidRDefault="008A40AE" w:rsidP="00FB5FD7">
      <w:pPr>
        <w:pStyle w:val="Prrafodelista"/>
        <w:numPr>
          <w:ilvl w:val="0"/>
          <w:numId w:val="2"/>
        </w:numPr>
        <w:jc w:val="both"/>
        <w:rPr>
          <w:b/>
          <w:bCs/>
          <w:sz w:val="28"/>
          <w:szCs w:val="28"/>
        </w:rPr>
      </w:pPr>
      <w:r>
        <w:rPr>
          <w:b/>
          <w:bCs/>
          <w:sz w:val="28"/>
          <w:szCs w:val="28"/>
        </w:rPr>
        <w:t>Permite</w:t>
      </w:r>
      <w:r w:rsidR="006D40E7" w:rsidRPr="00845B96">
        <w:rPr>
          <w:b/>
          <w:bCs/>
          <w:sz w:val="28"/>
          <w:szCs w:val="28"/>
        </w:rPr>
        <w:t xml:space="preserve"> instalación de infraestructura de telecomunicacion</w:t>
      </w:r>
      <w:r w:rsidR="00C31820" w:rsidRPr="00845B96">
        <w:rPr>
          <w:b/>
          <w:bCs/>
          <w:sz w:val="28"/>
          <w:szCs w:val="28"/>
        </w:rPr>
        <w:t>es en sanitarias.</w:t>
      </w:r>
    </w:p>
    <w:p w14:paraId="14DA3B2F" w14:textId="77777777" w:rsidR="00C31820" w:rsidRPr="00845B96" w:rsidRDefault="00C31820" w:rsidP="00C31820">
      <w:pPr>
        <w:rPr>
          <w:b/>
          <w:bCs/>
          <w:sz w:val="28"/>
          <w:szCs w:val="28"/>
        </w:rPr>
      </w:pPr>
    </w:p>
    <w:p w14:paraId="131D3C50" w14:textId="40E2B8D1" w:rsidR="006D40E7" w:rsidRPr="00845B96" w:rsidRDefault="006D40E7" w:rsidP="008A40AE">
      <w:pPr>
        <w:pStyle w:val="Prrafodelista"/>
        <w:numPr>
          <w:ilvl w:val="0"/>
          <w:numId w:val="2"/>
        </w:numPr>
        <w:jc w:val="both"/>
        <w:rPr>
          <w:b/>
          <w:bCs/>
          <w:sz w:val="28"/>
          <w:szCs w:val="28"/>
        </w:rPr>
      </w:pPr>
      <w:r w:rsidRPr="00845B96">
        <w:rPr>
          <w:b/>
          <w:bCs/>
          <w:sz w:val="28"/>
          <w:szCs w:val="28"/>
        </w:rPr>
        <w:t xml:space="preserve"> Permitir comunicación por medio electrónico en procedimientos regulados </w:t>
      </w:r>
    </w:p>
    <w:p w14:paraId="639F926A" w14:textId="77777777" w:rsidR="006D40E7" w:rsidRPr="00845B96" w:rsidRDefault="006D40E7" w:rsidP="00C31820">
      <w:pPr>
        <w:rPr>
          <w:sz w:val="28"/>
          <w:szCs w:val="28"/>
        </w:rPr>
      </w:pPr>
    </w:p>
    <w:p w14:paraId="7BC0E60A" w14:textId="77777777" w:rsidR="00C31820" w:rsidRPr="00845B96" w:rsidRDefault="00C31820" w:rsidP="00C31820">
      <w:pPr>
        <w:pStyle w:val="Prrafodelista"/>
        <w:numPr>
          <w:ilvl w:val="0"/>
          <w:numId w:val="1"/>
        </w:numPr>
        <w:rPr>
          <w:b/>
          <w:bCs/>
          <w:sz w:val="28"/>
          <w:szCs w:val="28"/>
        </w:rPr>
      </w:pPr>
      <w:r w:rsidRPr="00845B96">
        <w:rPr>
          <w:b/>
          <w:bCs/>
          <w:sz w:val="28"/>
          <w:szCs w:val="28"/>
        </w:rPr>
        <w:t xml:space="preserve">Observaciones </w:t>
      </w:r>
    </w:p>
    <w:p w14:paraId="3245FF4D" w14:textId="77777777" w:rsidR="00C31820" w:rsidRPr="00845B96" w:rsidRDefault="00C31820" w:rsidP="00C31820">
      <w:pPr>
        <w:rPr>
          <w:sz w:val="28"/>
          <w:szCs w:val="28"/>
        </w:rPr>
      </w:pPr>
    </w:p>
    <w:tbl>
      <w:tblPr>
        <w:tblStyle w:val="Tablaconcuadrcula"/>
        <w:tblW w:w="6265" w:type="pct"/>
        <w:tblInd w:w="-1139" w:type="dxa"/>
        <w:tblLook w:val="04A0" w:firstRow="1" w:lastRow="0" w:firstColumn="1" w:lastColumn="0" w:noHBand="0" w:noVBand="1"/>
      </w:tblPr>
      <w:tblGrid>
        <w:gridCol w:w="3448"/>
        <w:gridCol w:w="4354"/>
        <w:gridCol w:w="3259"/>
      </w:tblGrid>
      <w:tr w:rsidR="00845B96" w:rsidRPr="00845B96" w14:paraId="3C766786" w14:textId="77777777" w:rsidTr="008F0A6E">
        <w:trPr>
          <w:tblHeader/>
        </w:trPr>
        <w:tc>
          <w:tcPr>
            <w:tcW w:w="1559" w:type="pct"/>
            <w:shd w:val="clear" w:color="auto" w:fill="D9D9D9" w:themeFill="background1" w:themeFillShade="D9"/>
          </w:tcPr>
          <w:p w14:paraId="425FF594" w14:textId="77777777" w:rsidR="00C31820" w:rsidRPr="00845B96" w:rsidRDefault="00C31820" w:rsidP="00354561">
            <w:pPr>
              <w:jc w:val="center"/>
              <w:rPr>
                <w:rFonts w:cs="Arial"/>
                <w:b/>
              </w:rPr>
            </w:pPr>
          </w:p>
          <w:p w14:paraId="765D08FA" w14:textId="77777777" w:rsidR="00C31820" w:rsidRPr="00845B96" w:rsidRDefault="00C31820" w:rsidP="00354561">
            <w:pPr>
              <w:pStyle w:val="Encabezado"/>
              <w:jc w:val="center"/>
              <w:rPr>
                <w:rFonts w:cs="Arial"/>
                <w:b/>
                <w:szCs w:val="24"/>
                <w:lang w:val="es-ES_tradnl"/>
              </w:rPr>
            </w:pPr>
            <w:r w:rsidRPr="00845B96">
              <w:rPr>
                <w:rFonts w:cs="Arial"/>
                <w:b/>
                <w:szCs w:val="24"/>
                <w:lang w:val="es-ES_tradnl"/>
              </w:rPr>
              <w:t xml:space="preserve">NORMAS LEGALES VIGENTES </w:t>
            </w:r>
          </w:p>
          <w:p w14:paraId="6A2E5355" w14:textId="77777777" w:rsidR="00C31820" w:rsidRPr="00845B96" w:rsidRDefault="00C31820" w:rsidP="00354561">
            <w:pPr>
              <w:pStyle w:val="Encabezado"/>
              <w:jc w:val="center"/>
              <w:rPr>
                <w:rFonts w:cs="Arial"/>
                <w:b/>
                <w:szCs w:val="24"/>
                <w:lang w:val="es-ES_tradnl"/>
              </w:rPr>
            </w:pPr>
          </w:p>
        </w:tc>
        <w:tc>
          <w:tcPr>
            <w:tcW w:w="1968" w:type="pct"/>
            <w:shd w:val="clear" w:color="auto" w:fill="D9D9D9" w:themeFill="background1" w:themeFillShade="D9"/>
          </w:tcPr>
          <w:p w14:paraId="0E3FCF1B" w14:textId="77777777" w:rsidR="00C31820" w:rsidRPr="00845B96" w:rsidRDefault="00C31820" w:rsidP="00354561">
            <w:pPr>
              <w:jc w:val="center"/>
              <w:rPr>
                <w:rFonts w:cs="Arial"/>
                <w:b/>
              </w:rPr>
            </w:pPr>
          </w:p>
          <w:p w14:paraId="40F8EF83" w14:textId="77777777" w:rsidR="00C31820" w:rsidRPr="00845B96" w:rsidRDefault="00C31820" w:rsidP="00354561">
            <w:pPr>
              <w:jc w:val="center"/>
              <w:rPr>
                <w:rFonts w:cs="Arial"/>
                <w:b/>
              </w:rPr>
            </w:pPr>
            <w:r w:rsidRPr="00845B96">
              <w:rPr>
                <w:rFonts w:cs="Arial"/>
                <w:b/>
              </w:rPr>
              <w:t>TEXTO APROBADO EN GENERAL POR LA COMISIÓN</w:t>
            </w:r>
          </w:p>
        </w:tc>
        <w:tc>
          <w:tcPr>
            <w:tcW w:w="1473" w:type="pct"/>
            <w:shd w:val="clear" w:color="auto" w:fill="D9D9D9" w:themeFill="background1" w:themeFillShade="D9"/>
          </w:tcPr>
          <w:p w14:paraId="290950FA" w14:textId="77777777" w:rsidR="00C31820" w:rsidRPr="00845B96" w:rsidRDefault="00C31820" w:rsidP="00354561">
            <w:pPr>
              <w:jc w:val="center"/>
              <w:rPr>
                <w:rFonts w:cs="Arial"/>
                <w:b/>
              </w:rPr>
            </w:pPr>
          </w:p>
          <w:p w14:paraId="65745F3C" w14:textId="77777777" w:rsidR="00C31820" w:rsidRPr="00845B96" w:rsidRDefault="00C31820" w:rsidP="00354561">
            <w:pPr>
              <w:jc w:val="center"/>
              <w:rPr>
                <w:rFonts w:cs="Arial"/>
                <w:b/>
              </w:rPr>
            </w:pPr>
            <w:r w:rsidRPr="00845B96">
              <w:rPr>
                <w:rFonts w:cs="Arial"/>
                <w:b/>
                <w:sz w:val="28"/>
                <w:szCs w:val="28"/>
                <w:highlight w:val="yellow"/>
              </w:rPr>
              <w:t>OBSERVACIONES</w:t>
            </w:r>
          </w:p>
        </w:tc>
      </w:tr>
      <w:tr w:rsidR="008F0A6E" w:rsidRPr="00845B96" w14:paraId="2C3F48B7" w14:textId="77777777" w:rsidTr="008F0A6E">
        <w:trPr>
          <w:trHeight w:val="1934"/>
        </w:trPr>
        <w:tc>
          <w:tcPr>
            <w:tcW w:w="1559" w:type="pct"/>
          </w:tcPr>
          <w:p w14:paraId="256E5AA5" w14:textId="77777777" w:rsidR="00C31820" w:rsidRPr="00845B96" w:rsidRDefault="00C31820" w:rsidP="00354561">
            <w:pPr>
              <w:rPr>
                <w:rFonts w:cs="Arial"/>
                <w:sz w:val="22"/>
              </w:rPr>
            </w:pPr>
          </w:p>
          <w:p w14:paraId="1598330D" w14:textId="77777777" w:rsidR="00C31820" w:rsidRPr="00845B96" w:rsidRDefault="00C31820" w:rsidP="00354561">
            <w:pPr>
              <w:jc w:val="center"/>
              <w:rPr>
                <w:rFonts w:cs="Arial"/>
                <w:b/>
                <w:sz w:val="22"/>
              </w:rPr>
            </w:pPr>
            <w:r w:rsidRPr="00845B96">
              <w:rPr>
                <w:rFonts w:cs="Arial"/>
                <w:b/>
                <w:sz w:val="22"/>
              </w:rPr>
              <w:t>LEY N° 18.918</w:t>
            </w:r>
          </w:p>
          <w:p w14:paraId="0AEB3BAA" w14:textId="77777777" w:rsidR="00C31820" w:rsidRPr="00845B96" w:rsidRDefault="00C31820" w:rsidP="00354561">
            <w:pPr>
              <w:jc w:val="center"/>
              <w:rPr>
                <w:rFonts w:cs="Arial"/>
                <w:b/>
                <w:sz w:val="22"/>
              </w:rPr>
            </w:pPr>
            <w:r w:rsidRPr="00845B96">
              <w:rPr>
                <w:rFonts w:cs="Arial"/>
                <w:b/>
                <w:sz w:val="22"/>
              </w:rPr>
              <w:t>ORGÁNICA CONSTITUCIONAL DEL CONGRESO NACIONAL</w:t>
            </w:r>
          </w:p>
          <w:p w14:paraId="7D5C963C" w14:textId="77777777" w:rsidR="00C31820" w:rsidRPr="00845B96" w:rsidRDefault="00C31820" w:rsidP="00354561">
            <w:pPr>
              <w:rPr>
                <w:rFonts w:cs="Arial"/>
                <w:sz w:val="22"/>
              </w:rPr>
            </w:pPr>
          </w:p>
          <w:p w14:paraId="63FC85D0" w14:textId="77777777" w:rsidR="00C31820" w:rsidRPr="00845B96" w:rsidRDefault="00C31820" w:rsidP="00354561">
            <w:pPr>
              <w:rPr>
                <w:rFonts w:cs="Arial"/>
                <w:sz w:val="22"/>
              </w:rPr>
            </w:pPr>
            <w:r w:rsidRPr="00845B96">
              <w:rPr>
                <w:rFonts w:cs="Arial"/>
                <w:sz w:val="22"/>
              </w:rPr>
              <w:t>Artículo 14.- Los fundamentos de los proyectos deberán acompañarse en el mismo documento en que se presenten, conjuntamente con los antecedentes que expliquen los gastos que pudiere importar la aplicación de sus normas, la fuente de los recursos que la iniciativa demande y la estimación de su posible monto.</w:t>
            </w:r>
          </w:p>
          <w:p w14:paraId="69A66CE1" w14:textId="77777777" w:rsidR="00C31820" w:rsidRPr="00845B96" w:rsidRDefault="00C31820" w:rsidP="00354561">
            <w:pPr>
              <w:rPr>
                <w:rFonts w:cs="Arial"/>
                <w:sz w:val="22"/>
              </w:rPr>
            </w:pPr>
          </w:p>
        </w:tc>
        <w:tc>
          <w:tcPr>
            <w:tcW w:w="1968" w:type="pct"/>
          </w:tcPr>
          <w:p w14:paraId="30ABD84B" w14:textId="77777777" w:rsidR="00C31820" w:rsidRPr="00845B96" w:rsidRDefault="00C31820" w:rsidP="00354561">
            <w:pPr>
              <w:rPr>
                <w:rFonts w:cs="Arial"/>
                <w:sz w:val="22"/>
              </w:rPr>
            </w:pPr>
          </w:p>
          <w:p w14:paraId="4B9585F2" w14:textId="77777777" w:rsidR="00C31820" w:rsidRPr="00845B96" w:rsidRDefault="00C31820" w:rsidP="00354561">
            <w:pPr>
              <w:jc w:val="center"/>
              <w:rPr>
                <w:rFonts w:cs="Arial"/>
                <w:sz w:val="22"/>
              </w:rPr>
            </w:pPr>
            <w:r w:rsidRPr="00845B96">
              <w:rPr>
                <w:rFonts w:cs="Arial"/>
                <w:sz w:val="22"/>
              </w:rPr>
              <w:t>PROYECTO DE LEY</w:t>
            </w:r>
          </w:p>
          <w:p w14:paraId="42406071" w14:textId="77777777" w:rsidR="00C31820" w:rsidRPr="00845B96" w:rsidRDefault="00C31820" w:rsidP="00354561">
            <w:pPr>
              <w:rPr>
                <w:rFonts w:cs="Arial"/>
                <w:sz w:val="22"/>
              </w:rPr>
            </w:pPr>
          </w:p>
          <w:p w14:paraId="3AC0AC7D" w14:textId="77777777" w:rsidR="00C31820" w:rsidRPr="00845B96" w:rsidRDefault="00C31820" w:rsidP="00354561">
            <w:pPr>
              <w:rPr>
                <w:rFonts w:cs="Arial"/>
                <w:sz w:val="22"/>
              </w:rPr>
            </w:pPr>
            <w:r w:rsidRPr="00845B96">
              <w:rPr>
                <w:rFonts w:cs="Arial"/>
                <w:sz w:val="22"/>
              </w:rPr>
              <w:t>“Artículo 1.- Modifícase la ley N° 18.918, orgánica constitucional del Congreso Nacional, en el siguiente sentido:</w:t>
            </w:r>
          </w:p>
          <w:p w14:paraId="0CA5FE4C" w14:textId="77777777" w:rsidR="00C31820" w:rsidRPr="00845B96" w:rsidRDefault="00C31820" w:rsidP="00354561">
            <w:pPr>
              <w:rPr>
                <w:rFonts w:cs="Arial"/>
                <w:sz w:val="22"/>
              </w:rPr>
            </w:pPr>
          </w:p>
          <w:p w14:paraId="571956A4" w14:textId="77777777" w:rsidR="00C31820" w:rsidRPr="00845B96" w:rsidRDefault="00C31820" w:rsidP="00354561">
            <w:pPr>
              <w:rPr>
                <w:rFonts w:cs="Arial"/>
                <w:sz w:val="22"/>
              </w:rPr>
            </w:pPr>
            <w:r w:rsidRPr="00845B96">
              <w:rPr>
                <w:rFonts w:cs="Arial"/>
                <w:sz w:val="22"/>
              </w:rPr>
              <w:t xml:space="preserve">1) Introdúcese el siguiente inciso segundo nuevo al artículo 14: </w:t>
            </w:r>
          </w:p>
          <w:p w14:paraId="021DB1CA" w14:textId="77777777" w:rsidR="00C31820" w:rsidRPr="00845B96" w:rsidRDefault="00C31820" w:rsidP="00354561">
            <w:pPr>
              <w:rPr>
                <w:rFonts w:cs="Arial"/>
                <w:sz w:val="22"/>
              </w:rPr>
            </w:pPr>
          </w:p>
          <w:p w14:paraId="483A4E8D" w14:textId="77777777" w:rsidR="00C31820" w:rsidRPr="00845B96" w:rsidRDefault="00C31820" w:rsidP="00354561">
            <w:pPr>
              <w:rPr>
                <w:rFonts w:cs="Arial"/>
                <w:sz w:val="22"/>
              </w:rPr>
            </w:pPr>
            <w:r w:rsidRPr="00845B96">
              <w:rPr>
                <w:rFonts w:cs="Arial"/>
                <w:sz w:val="22"/>
              </w:rPr>
              <w:t>“Asimismo, cuando corresponda, deberán especificarse las leyes que deban quedar derogadas.”.</w:t>
            </w:r>
          </w:p>
          <w:p w14:paraId="7FE44B97" w14:textId="77777777" w:rsidR="00C31820" w:rsidRPr="00845B96" w:rsidRDefault="00C31820" w:rsidP="00354561">
            <w:pPr>
              <w:rPr>
                <w:rFonts w:cs="Arial"/>
                <w:sz w:val="22"/>
              </w:rPr>
            </w:pPr>
          </w:p>
        </w:tc>
        <w:tc>
          <w:tcPr>
            <w:tcW w:w="1473" w:type="pct"/>
          </w:tcPr>
          <w:p w14:paraId="7434E4ED" w14:textId="77777777" w:rsidR="00C31820" w:rsidRPr="00845B96" w:rsidRDefault="00C31820" w:rsidP="00354561">
            <w:pPr>
              <w:rPr>
                <w:rFonts w:cs="Arial"/>
                <w:sz w:val="22"/>
              </w:rPr>
            </w:pPr>
          </w:p>
        </w:tc>
      </w:tr>
      <w:tr w:rsidR="008F0A6E" w:rsidRPr="00845B96" w14:paraId="5EA2E6F7" w14:textId="77777777" w:rsidTr="008F0A6E">
        <w:trPr>
          <w:trHeight w:val="96"/>
        </w:trPr>
        <w:tc>
          <w:tcPr>
            <w:tcW w:w="1559" w:type="pct"/>
          </w:tcPr>
          <w:p w14:paraId="12D56E9F" w14:textId="77777777" w:rsidR="00C31820" w:rsidRPr="00845B96" w:rsidRDefault="00C31820" w:rsidP="00354561">
            <w:pPr>
              <w:rPr>
                <w:rFonts w:cs="Arial"/>
                <w:sz w:val="22"/>
              </w:rPr>
            </w:pPr>
          </w:p>
          <w:p w14:paraId="210190F2" w14:textId="77777777" w:rsidR="00C31820" w:rsidRPr="00845B96" w:rsidRDefault="00C31820" w:rsidP="00354561">
            <w:pPr>
              <w:rPr>
                <w:rFonts w:cs="Arial"/>
                <w:sz w:val="22"/>
              </w:rPr>
            </w:pPr>
          </w:p>
          <w:p w14:paraId="54225CD2" w14:textId="77777777" w:rsidR="00C31820" w:rsidRPr="00845B96" w:rsidRDefault="00C31820" w:rsidP="00354561">
            <w:pPr>
              <w:rPr>
                <w:rFonts w:cs="Arial"/>
                <w:sz w:val="22"/>
              </w:rPr>
            </w:pPr>
          </w:p>
        </w:tc>
        <w:tc>
          <w:tcPr>
            <w:tcW w:w="1968" w:type="pct"/>
          </w:tcPr>
          <w:p w14:paraId="454FB403" w14:textId="77777777" w:rsidR="00C31820" w:rsidRPr="00845B96" w:rsidRDefault="00C31820" w:rsidP="00354561">
            <w:pPr>
              <w:rPr>
                <w:rFonts w:cs="Arial"/>
                <w:sz w:val="22"/>
              </w:rPr>
            </w:pPr>
          </w:p>
          <w:p w14:paraId="1DB9BB1F" w14:textId="77777777" w:rsidR="00C31820" w:rsidRPr="00845B96" w:rsidRDefault="00C31820" w:rsidP="00354561">
            <w:pPr>
              <w:rPr>
                <w:rFonts w:cs="Arial"/>
                <w:sz w:val="22"/>
              </w:rPr>
            </w:pPr>
            <w:r w:rsidRPr="00845B96">
              <w:rPr>
                <w:rFonts w:cs="Arial"/>
                <w:sz w:val="22"/>
              </w:rPr>
              <w:t>2) Agregáse el siguiente artículo 14 bis, nuevo:</w:t>
            </w:r>
          </w:p>
          <w:p w14:paraId="794C5A8B" w14:textId="77777777" w:rsidR="00C31820" w:rsidRPr="00845B96" w:rsidRDefault="00C31820" w:rsidP="00354561">
            <w:pPr>
              <w:rPr>
                <w:rFonts w:cs="Arial"/>
                <w:sz w:val="22"/>
              </w:rPr>
            </w:pPr>
          </w:p>
          <w:p w14:paraId="013A6EE0" w14:textId="77777777" w:rsidR="00C31820" w:rsidRPr="00845B96" w:rsidRDefault="00C31820" w:rsidP="00354561">
            <w:pPr>
              <w:rPr>
                <w:rFonts w:cs="Arial"/>
                <w:sz w:val="22"/>
              </w:rPr>
            </w:pPr>
            <w:r w:rsidRPr="00845B96">
              <w:rPr>
                <w:rFonts w:cs="Arial"/>
                <w:sz w:val="22"/>
              </w:rPr>
              <w:t xml:space="preserve">“Artículo 14 </w:t>
            </w:r>
            <w:proofErr w:type="gramStart"/>
            <w:r w:rsidRPr="00845B96">
              <w:rPr>
                <w:rFonts w:cs="Arial"/>
                <w:sz w:val="22"/>
              </w:rPr>
              <w:t>bis.-</w:t>
            </w:r>
            <w:proofErr w:type="gramEnd"/>
            <w:r w:rsidRPr="00845B96">
              <w:rPr>
                <w:rFonts w:cs="Arial"/>
                <w:sz w:val="22"/>
              </w:rPr>
              <w:t xml:space="preserve"> </w:t>
            </w:r>
            <w:r w:rsidRPr="0026632D">
              <w:rPr>
                <w:rFonts w:cs="Arial"/>
                <w:sz w:val="22"/>
                <w:highlight w:val="yellow"/>
              </w:rPr>
              <w:t>Los proyectos de ley susceptibles de causar impacto regulatorio por contener reglas que modifiquen los incentivos o el comportamiento económico de personas naturales o jurídicas,</w:t>
            </w:r>
            <w:r w:rsidRPr="00845B96">
              <w:rPr>
                <w:rFonts w:cs="Arial"/>
                <w:sz w:val="22"/>
              </w:rPr>
              <w:t xml:space="preserve"> </w:t>
            </w:r>
            <w:r w:rsidRPr="00845B96">
              <w:rPr>
                <w:rFonts w:cs="Arial"/>
                <w:sz w:val="22"/>
                <w:highlight w:val="yellow"/>
              </w:rPr>
              <w:t>deberán acompañarse de un informe que analice sus efectos probables, denominado “</w:t>
            </w:r>
            <w:r w:rsidRPr="00FB5FD7">
              <w:rPr>
                <w:rFonts w:cs="Arial"/>
                <w:b/>
                <w:bCs/>
                <w:sz w:val="22"/>
                <w:highlight w:val="yellow"/>
              </w:rPr>
              <w:t>Informe de Productividad y Coherencia Regulatoria</w:t>
            </w:r>
            <w:r w:rsidRPr="00845B96">
              <w:rPr>
                <w:rFonts w:cs="Arial"/>
                <w:sz w:val="22"/>
                <w:highlight w:val="yellow"/>
              </w:rPr>
              <w:t>”.</w:t>
            </w:r>
            <w:r w:rsidRPr="00845B96">
              <w:rPr>
                <w:rFonts w:cs="Arial"/>
                <w:sz w:val="22"/>
              </w:rPr>
              <w:t xml:space="preserve"> El Ministerio de Economía, Fomento y Turismo será el responsable de su elaboración, sin perjuicio de la colaboración que, para estos efectos, le deban prestar el o los ministerios sectoriales competentes, y será suscrito por el Ministro de Economía, Fomento y Turismo.</w:t>
            </w:r>
          </w:p>
          <w:p w14:paraId="39BC3BE7" w14:textId="77777777" w:rsidR="00C31820" w:rsidRPr="00845B96" w:rsidRDefault="00C31820" w:rsidP="00354561">
            <w:pPr>
              <w:rPr>
                <w:rFonts w:cs="Arial"/>
                <w:sz w:val="22"/>
              </w:rPr>
            </w:pPr>
          </w:p>
          <w:p w14:paraId="0552CD10" w14:textId="77777777" w:rsidR="00C31820" w:rsidRPr="00845B96" w:rsidRDefault="00C31820" w:rsidP="00354561">
            <w:pPr>
              <w:rPr>
                <w:rFonts w:cs="Arial"/>
                <w:sz w:val="22"/>
              </w:rPr>
            </w:pPr>
            <w:r w:rsidRPr="00845B96">
              <w:rPr>
                <w:rFonts w:cs="Arial"/>
                <w:sz w:val="22"/>
              </w:rPr>
              <w:t>El Ministerio de Economía, Fomento y Turismo a través de un reglamento determinará qué proyectos deberán acompañarse de este informe y la metodología para su elaboración, el que deberá contener al menos el análisis de los eventuales efectos tanto cuantitativos como cualitativos del proyecto, esto es, los costos probables y beneficios esperados que podría tener. Lo anterior, es sin perjuicio de los antecedentes que deben acompañarse al proyecto, relativos a los gastos que importe la aplicación de sus normas, las fuentes de los recursos y la estimación de su monto, a los que se refiere el artículo anterior.</w:t>
            </w:r>
          </w:p>
          <w:p w14:paraId="549189F8" w14:textId="77777777" w:rsidR="00C31820" w:rsidRPr="00845B96" w:rsidRDefault="00C31820" w:rsidP="00354561">
            <w:pPr>
              <w:rPr>
                <w:rFonts w:cs="Arial"/>
                <w:sz w:val="22"/>
              </w:rPr>
            </w:pPr>
          </w:p>
          <w:p w14:paraId="6E66E0E8" w14:textId="77777777" w:rsidR="00C31820" w:rsidRPr="00845B96" w:rsidRDefault="00C31820" w:rsidP="00354561">
            <w:pPr>
              <w:rPr>
                <w:rFonts w:cs="Arial"/>
                <w:sz w:val="22"/>
              </w:rPr>
            </w:pPr>
            <w:r w:rsidRPr="00845B96">
              <w:rPr>
                <w:rFonts w:cs="Arial"/>
                <w:sz w:val="22"/>
                <w:highlight w:val="yellow"/>
              </w:rPr>
              <w:t>Tratándose de las mociones, el referido informe deberá ser suscrito por el autor del proyecto.</w:t>
            </w:r>
            <w:r w:rsidRPr="00845B96">
              <w:rPr>
                <w:rFonts w:cs="Arial"/>
                <w:sz w:val="22"/>
              </w:rPr>
              <w:t xml:space="preserve"> Para estos efectos, cada una de las Cámaras determinará los criterios y la metodología a que se refiere el inciso anterior, en sus respectivos reglamentos. </w:t>
            </w:r>
          </w:p>
          <w:p w14:paraId="7BCF211C" w14:textId="77777777" w:rsidR="00C31820" w:rsidRPr="00845B96" w:rsidRDefault="00C31820" w:rsidP="00354561">
            <w:pPr>
              <w:rPr>
                <w:rFonts w:cs="Arial"/>
                <w:sz w:val="22"/>
              </w:rPr>
            </w:pPr>
          </w:p>
          <w:p w14:paraId="543620B0" w14:textId="77777777" w:rsidR="00C31820" w:rsidRPr="00845B96" w:rsidRDefault="00C31820" w:rsidP="00354561">
            <w:pPr>
              <w:rPr>
                <w:rFonts w:cs="Arial"/>
                <w:sz w:val="22"/>
              </w:rPr>
            </w:pPr>
            <w:r w:rsidRPr="0026632D">
              <w:rPr>
                <w:rFonts w:cs="Arial"/>
                <w:sz w:val="22"/>
                <w:highlight w:val="yellow"/>
              </w:rPr>
              <w:t>En todo caso, el Presidente de la República, los diputados o senadores autores del proyecto podrán prescindir, fundadamente,</w:t>
            </w:r>
            <w:r w:rsidRPr="00845B96">
              <w:rPr>
                <w:rFonts w:cs="Arial"/>
                <w:sz w:val="22"/>
              </w:rPr>
              <w:t xml:space="preserve"> del referido informe por razones de urgencia o cuando, para el despacho del proyecto, exista un plazo obligatorio. La justificación deberá fundarse únicamente en los criterios señalados en el reglamento dictado por el Ministerio de Economía, Fomento y Turismo y en lo instruido por las respectivas Cámaras, según sea el caso.”.</w:t>
            </w:r>
          </w:p>
          <w:p w14:paraId="3B90E0F8" w14:textId="77777777" w:rsidR="00C31820" w:rsidRPr="00845B96" w:rsidRDefault="00C31820" w:rsidP="00354561">
            <w:pPr>
              <w:rPr>
                <w:rFonts w:cs="Arial"/>
                <w:sz w:val="22"/>
              </w:rPr>
            </w:pPr>
          </w:p>
        </w:tc>
        <w:tc>
          <w:tcPr>
            <w:tcW w:w="1473" w:type="pct"/>
          </w:tcPr>
          <w:p w14:paraId="40136C8D" w14:textId="77777777" w:rsidR="00C31820" w:rsidRPr="00845B96" w:rsidRDefault="00C31820" w:rsidP="00354561">
            <w:pPr>
              <w:rPr>
                <w:rFonts w:cs="Arial"/>
                <w:sz w:val="22"/>
              </w:rPr>
            </w:pPr>
          </w:p>
          <w:p w14:paraId="44382AA0" w14:textId="77777777" w:rsidR="008F0A6E" w:rsidRPr="00845B96" w:rsidRDefault="008F0A6E" w:rsidP="00354561">
            <w:pPr>
              <w:rPr>
                <w:rFonts w:cs="Arial"/>
                <w:sz w:val="22"/>
              </w:rPr>
            </w:pPr>
          </w:p>
          <w:p w14:paraId="39C807F4" w14:textId="5E4D8FC5" w:rsidR="008F0A6E" w:rsidRPr="00FB5FD7" w:rsidRDefault="00FB5FD7" w:rsidP="00354561">
            <w:pPr>
              <w:rPr>
                <w:rFonts w:cs="Arial"/>
                <w:b/>
                <w:bCs/>
                <w:sz w:val="22"/>
              </w:rPr>
            </w:pPr>
            <w:r w:rsidRPr="00FB5FD7">
              <w:rPr>
                <w:rFonts w:cs="Arial"/>
                <w:b/>
                <w:bCs/>
                <w:sz w:val="22"/>
                <w:highlight w:val="red"/>
              </w:rPr>
              <w:t>NOTA:</w:t>
            </w:r>
          </w:p>
          <w:p w14:paraId="49E5EE96" w14:textId="77777777" w:rsidR="008F0A6E" w:rsidRPr="00845B96" w:rsidRDefault="008F0A6E" w:rsidP="00354561">
            <w:pPr>
              <w:rPr>
                <w:rFonts w:cs="Arial"/>
                <w:sz w:val="22"/>
              </w:rPr>
            </w:pPr>
          </w:p>
          <w:p w14:paraId="3760807C" w14:textId="16E54527" w:rsidR="008F0A6E" w:rsidRPr="0026632D" w:rsidRDefault="00845B96" w:rsidP="00845B96">
            <w:pPr>
              <w:jc w:val="both"/>
              <w:rPr>
                <w:rFonts w:cs="Arial"/>
                <w:sz w:val="22"/>
              </w:rPr>
            </w:pPr>
            <w:r w:rsidRPr="0026632D">
              <w:rPr>
                <w:rFonts w:cs="Arial"/>
                <w:sz w:val="22"/>
              </w:rPr>
              <w:t>El Art. 65 de la Constitución dispone que los proyectos de ley pueden tener su origen en Mensaje o Moción parlamentaria. Sin mayores exigencias que, en este último caso</w:t>
            </w:r>
            <w:r w:rsidR="0026632D" w:rsidRPr="0026632D">
              <w:rPr>
                <w:rFonts w:cs="Arial"/>
                <w:sz w:val="22"/>
              </w:rPr>
              <w:t>, los proyectos</w:t>
            </w:r>
            <w:r w:rsidRPr="0026632D">
              <w:rPr>
                <w:rFonts w:cs="Arial"/>
                <w:sz w:val="22"/>
              </w:rPr>
              <w:t xml:space="preserve"> sea</w:t>
            </w:r>
            <w:r w:rsidR="0026632D" w:rsidRPr="0026632D">
              <w:rPr>
                <w:rFonts w:cs="Arial"/>
                <w:sz w:val="22"/>
              </w:rPr>
              <w:t>n</w:t>
            </w:r>
            <w:r w:rsidRPr="0026632D">
              <w:rPr>
                <w:rFonts w:cs="Arial"/>
                <w:sz w:val="22"/>
              </w:rPr>
              <w:t xml:space="preserve"> presentado</w:t>
            </w:r>
            <w:r w:rsidR="0026632D" w:rsidRPr="0026632D">
              <w:rPr>
                <w:rFonts w:cs="Arial"/>
                <w:sz w:val="22"/>
              </w:rPr>
              <w:t>s</w:t>
            </w:r>
            <w:r w:rsidRPr="0026632D">
              <w:rPr>
                <w:rFonts w:cs="Arial"/>
                <w:sz w:val="22"/>
              </w:rPr>
              <w:t xml:space="preserve"> por no más</w:t>
            </w:r>
            <w:r w:rsidR="00FB5FD7">
              <w:rPr>
                <w:rFonts w:cs="Arial"/>
                <w:sz w:val="22"/>
              </w:rPr>
              <w:t xml:space="preserve"> de</w:t>
            </w:r>
            <w:r w:rsidRPr="0026632D">
              <w:rPr>
                <w:rFonts w:cs="Arial"/>
                <w:sz w:val="22"/>
              </w:rPr>
              <w:t xml:space="preserve"> 10 diputados o no más de 5 senadores. </w:t>
            </w:r>
          </w:p>
          <w:p w14:paraId="0C2DE30D" w14:textId="77777777" w:rsidR="008F0A6E" w:rsidRPr="0026632D" w:rsidRDefault="008F0A6E" w:rsidP="00354561">
            <w:pPr>
              <w:rPr>
                <w:rFonts w:cs="Arial"/>
                <w:sz w:val="22"/>
              </w:rPr>
            </w:pPr>
          </w:p>
          <w:p w14:paraId="576C2092" w14:textId="7C1FA822" w:rsidR="00845B96" w:rsidRPr="0026632D" w:rsidRDefault="00845B96" w:rsidP="00845B96">
            <w:pPr>
              <w:jc w:val="both"/>
              <w:rPr>
                <w:rFonts w:cs="Arial"/>
                <w:sz w:val="22"/>
              </w:rPr>
            </w:pPr>
            <w:r w:rsidRPr="0026632D">
              <w:rPr>
                <w:rFonts w:cs="Arial"/>
                <w:sz w:val="22"/>
              </w:rPr>
              <w:t>Pese a que la norma</w:t>
            </w:r>
            <w:r w:rsidR="0026632D" w:rsidRPr="0026632D">
              <w:rPr>
                <w:rFonts w:cs="Arial"/>
                <w:sz w:val="22"/>
              </w:rPr>
              <w:t xml:space="preserve"> propuesta</w:t>
            </w:r>
            <w:r w:rsidRPr="0026632D">
              <w:rPr>
                <w:rFonts w:cs="Arial"/>
                <w:sz w:val="22"/>
              </w:rPr>
              <w:t xml:space="preserve"> permite eximir del referido informe, resulta cuestionable su exigencia, dado que además se deberán cumplir con una serie de </w:t>
            </w:r>
            <w:r w:rsidR="008A40AE" w:rsidRPr="0026632D">
              <w:rPr>
                <w:rFonts w:cs="Arial"/>
                <w:sz w:val="22"/>
              </w:rPr>
              <w:t>requerimientos</w:t>
            </w:r>
            <w:r w:rsidRPr="0026632D">
              <w:rPr>
                <w:rFonts w:cs="Arial"/>
                <w:sz w:val="22"/>
              </w:rPr>
              <w:t xml:space="preserve"> metodológicas cuantitativas y cualitativas que determinará el Reglamento que se dicte. </w:t>
            </w:r>
          </w:p>
          <w:p w14:paraId="6A2A5961" w14:textId="77777777" w:rsidR="00845B96" w:rsidRPr="0026632D" w:rsidRDefault="00845B96" w:rsidP="00845B96">
            <w:pPr>
              <w:jc w:val="both"/>
              <w:rPr>
                <w:rFonts w:cs="Arial"/>
                <w:sz w:val="22"/>
              </w:rPr>
            </w:pPr>
          </w:p>
          <w:p w14:paraId="75B3BDFE" w14:textId="77777777" w:rsidR="00845B96" w:rsidRPr="0026632D" w:rsidRDefault="00845B96" w:rsidP="00845B96">
            <w:pPr>
              <w:jc w:val="both"/>
              <w:rPr>
                <w:rFonts w:cs="Arial"/>
                <w:sz w:val="22"/>
              </w:rPr>
            </w:pPr>
            <w:r w:rsidRPr="0026632D">
              <w:rPr>
                <w:rFonts w:cs="Arial"/>
                <w:sz w:val="22"/>
              </w:rPr>
              <w:t>Tal informe puede resultar peligroso, por cuanto se tornará</w:t>
            </w:r>
            <w:r w:rsidR="0026632D" w:rsidRPr="0026632D">
              <w:rPr>
                <w:rFonts w:cs="Arial"/>
                <w:sz w:val="22"/>
              </w:rPr>
              <w:t xml:space="preserve"> en la práctica</w:t>
            </w:r>
            <w:r w:rsidRPr="0026632D">
              <w:rPr>
                <w:rFonts w:cs="Arial"/>
                <w:sz w:val="22"/>
              </w:rPr>
              <w:t xml:space="preserve"> más importante que el proyecto mismo y sus debidos fundamentos.  Inhibiendo indebidamente la labor legislativa y el rol de los parlamentarios como colegisladores, conforme al texto de la Constitución vigente. </w:t>
            </w:r>
          </w:p>
          <w:p w14:paraId="0B8CBEB9" w14:textId="77777777" w:rsidR="008F0A6E" w:rsidRPr="0026632D" w:rsidRDefault="008F0A6E" w:rsidP="00354561">
            <w:pPr>
              <w:rPr>
                <w:rFonts w:cs="Arial"/>
                <w:sz w:val="22"/>
              </w:rPr>
            </w:pPr>
          </w:p>
          <w:p w14:paraId="317D8604" w14:textId="0D1BA71E" w:rsidR="008F0A6E" w:rsidRPr="00845B96" w:rsidRDefault="0026632D" w:rsidP="0026632D">
            <w:pPr>
              <w:jc w:val="both"/>
              <w:rPr>
                <w:rFonts w:cs="Arial"/>
                <w:sz w:val="22"/>
              </w:rPr>
            </w:pPr>
            <w:r w:rsidRPr="0026632D">
              <w:rPr>
                <w:rFonts w:cs="Arial"/>
                <w:b/>
                <w:bCs/>
                <w:sz w:val="22"/>
              </w:rPr>
              <w:t>Otro punto a considerar</w:t>
            </w:r>
            <w:r w:rsidRPr="0026632D">
              <w:rPr>
                <w:rFonts w:cs="Arial"/>
                <w:sz w:val="22"/>
              </w:rPr>
              <w:t xml:space="preserve">: La redacción de la propuesta señala que </w:t>
            </w:r>
            <w:r w:rsidRPr="0026632D">
              <w:rPr>
                <w:rFonts w:cs="Arial"/>
                <w:b/>
                <w:bCs/>
                <w:sz w:val="22"/>
              </w:rPr>
              <w:t>los proyectos de ley susceptibles de causar impacto regulatorio por contener reglas que modifiquen los incentivos o el comportamiento económico de personas naturales o jurídicas</w:t>
            </w:r>
            <w:r>
              <w:rPr>
                <w:rFonts w:cs="Arial"/>
                <w:sz w:val="22"/>
              </w:rPr>
              <w:t>: Tal disposición es omnicomprensiva de un sinnúmero de eventuales mociones, por cuanto la legislación influye, directa o indirectamente, en incentivos o aspectos regulatorios de la economía: como normas sobre propiedad intelectual e industrial; patentes; permisos de edificación; impuestos; transportes</w:t>
            </w:r>
            <w:r w:rsidR="00FB5FD7">
              <w:rPr>
                <w:rFonts w:cs="Arial"/>
                <w:sz w:val="22"/>
              </w:rPr>
              <w:t>; eficiencia energética;</w:t>
            </w:r>
            <w:r>
              <w:rPr>
                <w:rFonts w:cs="Arial"/>
                <w:sz w:val="22"/>
              </w:rPr>
              <w:t xml:space="preserve">… etc.  </w:t>
            </w:r>
          </w:p>
          <w:p w14:paraId="27BED29F" w14:textId="77777777" w:rsidR="008F0A6E" w:rsidRPr="00845B96" w:rsidRDefault="008F0A6E" w:rsidP="00354561">
            <w:pPr>
              <w:rPr>
                <w:rFonts w:cs="Arial"/>
                <w:sz w:val="22"/>
              </w:rPr>
            </w:pPr>
          </w:p>
        </w:tc>
      </w:tr>
    </w:tbl>
    <w:p w14:paraId="2B3374D1" w14:textId="77777777" w:rsidR="00C31820" w:rsidRPr="00845B96" w:rsidRDefault="00C31820" w:rsidP="00C31820">
      <w:pPr>
        <w:rPr>
          <w:sz w:val="28"/>
          <w:szCs w:val="28"/>
        </w:rPr>
      </w:pPr>
      <w:bookmarkStart w:id="1" w:name="_GoBack"/>
      <w:bookmarkEnd w:id="1"/>
    </w:p>
    <w:p w14:paraId="70153264" w14:textId="77777777" w:rsidR="007252E2" w:rsidRDefault="007252E2">
      <w:pPr>
        <w:rPr>
          <w:sz w:val="28"/>
          <w:szCs w:val="28"/>
        </w:rPr>
      </w:pPr>
      <w:r>
        <w:rPr>
          <w:sz w:val="28"/>
          <w:szCs w:val="28"/>
        </w:rPr>
        <w:br w:type="page"/>
      </w:r>
    </w:p>
    <w:p w14:paraId="783B1691" w14:textId="65821D41" w:rsidR="006B5188" w:rsidRPr="007252E2" w:rsidRDefault="007252E2" w:rsidP="007252E2">
      <w:pPr>
        <w:pStyle w:val="Prrafodelista"/>
        <w:numPr>
          <w:ilvl w:val="0"/>
          <w:numId w:val="1"/>
        </w:numPr>
        <w:rPr>
          <w:b/>
          <w:bCs/>
          <w:sz w:val="28"/>
          <w:szCs w:val="28"/>
        </w:rPr>
      </w:pPr>
      <w:r w:rsidRPr="007252E2">
        <w:rPr>
          <w:b/>
          <w:bCs/>
          <w:sz w:val="28"/>
          <w:szCs w:val="28"/>
        </w:rPr>
        <w:t xml:space="preserve">Importancia </w:t>
      </w:r>
      <w:r w:rsidR="008A40AE">
        <w:rPr>
          <w:b/>
          <w:bCs/>
          <w:sz w:val="28"/>
          <w:szCs w:val="28"/>
        </w:rPr>
        <w:t xml:space="preserve">para la </w:t>
      </w:r>
      <w:r w:rsidRPr="007252E2">
        <w:rPr>
          <w:b/>
          <w:bCs/>
          <w:sz w:val="28"/>
          <w:szCs w:val="28"/>
        </w:rPr>
        <w:t>Región del Maule</w:t>
      </w:r>
    </w:p>
    <w:p w14:paraId="0DDDBCC7" w14:textId="77777777" w:rsidR="007252E2" w:rsidRDefault="007252E2" w:rsidP="007252E2">
      <w:pPr>
        <w:rPr>
          <w:sz w:val="28"/>
          <w:szCs w:val="28"/>
        </w:rPr>
      </w:pPr>
    </w:p>
    <w:p w14:paraId="0E9FDAC3" w14:textId="77777777" w:rsidR="007252E2" w:rsidRDefault="007252E2" w:rsidP="007252E2">
      <w:pPr>
        <w:jc w:val="both"/>
        <w:rPr>
          <w:sz w:val="28"/>
          <w:szCs w:val="28"/>
        </w:rPr>
      </w:pPr>
      <w:r>
        <w:rPr>
          <w:sz w:val="28"/>
          <w:szCs w:val="28"/>
        </w:rPr>
        <w:t xml:space="preserve">La Región del Maule presentó el mayor índice de actividad económica regional en 2018: </w:t>
      </w:r>
    </w:p>
    <w:p w14:paraId="259834B9" w14:textId="77777777" w:rsidR="007252E2" w:rsidRDefault="007252E2" w:rsidP="007252E2">
      <w:pPr>
        <w:jc w:val="both"/>
        <w:rPr>
          <w:sz w:val="28"/>
          <w:szCs w:val="28"/>
        </w:rPr>
      </w:pPr>
    </w:p>
    <w:p w14:paraId="5B2B546E" w14:textId="77777777" w:rsidR="007252E2" w:rsidRPr="007252E2" w:rsidRDefault="007252E2" w:rsidP="007252E2">
      <w:pPr>
        <w:jc w:val="both"/>
        <w:rPr>
          <w:sz w:val="28"/>
          <w:szCs w:val="28"/>
        </w:rPr>
      </w:pPr>
      <w:r>
        <w:rPr>
          <w:noProof/>
          <w:sz w:val="28"/>
          <w:szCs w:val="28"/>
        </w:rPr>
        <w:drawing>
          <wp:inline distT="0" distB="0" distL="0" distR="0" wp14:anchorId="2852D4C8" wp14:editId="0CB9C7D0">
            <wp:extent cx="5612130" cy="5352415"/>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4-23 a la(s) 22.12.37.png"/>
                    <pic:cNvPicPr/>
                  </pic:nvPicPr>
                  <pic:blipFill>
                    <a:blip r:embed="rId5">
                      <a:extLst>
                        <a:ext uri="{28A0092B-C50C-407E-A947-70E740481C1C}">
                          <a14:useLocalDpi xmlns:a14="http://schemas.microsoft.com/office/drawing/2010/main" val="0"/>
                        </a:ext>
                      </a:extLst>
                    </a:blip>
                    <a:stretch>
                      <a:fillRect/>
                    </a:stretch>
                  </pic:blipFill>
                  <pic:spPr>
                    <a:xfrm>
                      <a:off x="0" y="0"/>
                      <a:ext cx="5612130" cy="5352415"/>
                    </a:xfrm>
                    <a:prstGeom prst="rect">
                      <a:avLst/>
                    </a:prstGeom>
                  </pic:spPr>
                </pic:pic>
              </a:graphicData>
            </a:graphic>
          </wp:inline>
        </w:drawing>
      </w:r>
    </w:p>
    <w:sectPr w:rsidR="007252E2" w:rsidRPr="007252E2" w:rsidSect="00EA0A60">
      <w:pgSz w:w="12240" w:h="15840"/>
      <w:pgMar w:top="1417" w:right="1701" w:bottom="1417" w:left="1701"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C2517"/>
    <w:multiLevelType w:val="hybridMultilevel"/>
    <w:tmpl w:val="B2201CC8"/>
    <w:lvl w:ilvl="0" w:tplc="B09AB42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5C26EF6"/>
    <w:multiLevelType w:val="multilevel"/>
    <w:tmpl w:val="C7D60064"/>
    <w:lvl w:ilvl="0">
      <w:start w:val="1"/>
      <w:numFmt w:val="decimal"/>
      <w:lvlText w:val="%1."/>
      <w:lvlJc w:val="left"/>
      <w:pPr>
        <w:ind w:left="720" w:hanging="360"/>
      </w:pPr>
      <w:rPr>
        <w:rFonts w:hint="default"/>
        <w:b/>
        <w:bCs/>
        <w:u w:val="single"/>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88"/>
    <w:rsid w:val="000F21AB"/>
    <w:rsid w:val="00175BD2"/>
    <w:rsid w:val="0026632D"/>
    <w:rsid w:val="00274E83"/>
    <w:rsid w:val="00340214"/>
    <w:rsid w:val="004C20E3"/>
    <w:rsid w:val="00505572"/>
    <w:rsid w:val="006811CC"/>
    <w:rsid w:val="006B5188"/>
    <w:rsid w:val="006D40E7"/>
    <w:rsid w:val="007252E2"/>
    <w:rsid w:val="00797236"/>
    <w:rsid w:val="00800250"/>
    <w:rsid w:val="00845B96"/>
    <w:rsid w:val="008A40AE"/>
    <w:rsid w:val="008F0A6E"/>
    <w:rsid w:val="00936DE5"/>
    <w:rsid w:val="009F7F30"/>
    <w:rsid w:val="00A2071D"/>
    <w:rsid w:val="00BB4B8E"/>
    <w:rsid w:val="00C31820"/>
    <w:rsid w:val="00D66461"/>
    <w:rsid w:val="00EA0A60"/>
    <w:rsid w:val="00F44344"/>
    <w:rsid w:val="00FB5FD7"/>
    <w:rsid w:val="00FE1E43"/>
    <w:rsid w:val="00FF57B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9F57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6B5188"/>
    <w:pPr>
      <w:tabs>
        <w:tab w:val="left" w:pos="2268"/>
      </w:tabs>
      <w:jc w:val="both"/>
    </w:pPr>
    <w:rPr>
      <w:rFonts w:ascii="Arial" w:eastAsia="Times New Roman" w:hAnsi="Arial" w:cs="Times New Roman"/>
      <w:szCs w:val="20"/>
      <w:lang w:eastAsia="es-ES"/>
    </w:rPr>
  </w:style>
  <w:style w:type="table" w:styleId="Tablaconcuadrcula">
    <w:name w:val="Table Grid"/>
    <w:basedOn w:val="Tablanormal"/>
    <w:uiPriority w:val="59"/>
    <w:rsid w:val="006B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5188"/>
    <w:pPr>
      <w:ind w:left="720"/>
      <w:contextualSpacing/>
    </w:pPr>
  </w:style>
  <w:style w:type="paragraph" w:styleId="Encabezado">
    <w:name w:val="header"/>
    <w:basedOn w:val="Normal"/>
    <w:link w:val="EncabezadoCar"/>
    <w:uiPriority w:val="99"/>
    <w:unhideWhenUsed/>
    <w:rsid w:val="00C31820"/>
    <w:pPr>
      <w:tabs>
        <w:tab w:val="center" w:pos="4419"/>
        <w:tab w:val="right" w:pos="8838"/>
      </w:tabs>
      <w:jc w:val="both"/>
    </w:pPr>
    <w:rPr>
      <w:rFonts w:ascii="Arial" w:eastAsiaTheme="minorHAnsi" w:hAnsi="Arial"/>
      <w:szCs w:val="22"/>
      <w:lang w:val="es-CL" w:eastAsia="en-US"/>
    </w:rPr>
  </w:style>
  <w:style w:type="character" w:customStyle="1" w:styleId="EncabezadoCar">
    <w:name w:val="Encabezado Car"/>
    <w:basedOn w:val="Fuentedeprrafopredeter"/>
    <w:link w:val="Encabezado"/>
    <w:uiPriority w:val="99"/>
    <w:rsid w:val="00C31820"/>
    <w:rPr>
      <w:rFonts w:ascii="Arial" w:eastAsiaTheme="minorHAnsi" w:hAnsi="Arial"/>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58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1886</Words>
  <Characters>10377</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Valenzuela Villalobos</dc:creator>
  <cp:keywords/>
  <dc:description/>
  <cp:lastModifiedBy>Williams Valenzuela Villalobos</cp:lastModifiedBy>
  <cp:revision>5</cp:revision>
  <dcterms:created xsi:type="dcterms:W3CDTF">2019-04-23T23:48:00Z</dcterms:created>
  <dcterms:modified xsi:type="dcterms:W3CDTF">2019-04-24T18:43:00Z</dcterms:modified>
</cp:coreProperties>
</file>