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E5C68" w14:textId="0FF404CA" w:rsidR="001D380E" w:rsidRPr="00DA0799" w:rsidRDefault="00C777AB" w:rsidP="00517275">
      <w:pPr>
        <w:shd w:val="clear" w:color="auto" w:fill="FFFFFF"/>
        <w:tabs>
          <w:tab w:val="center" w:pos="4702"/>
          <w:tab w:val="left" w:pos="7140"/>
        </w:tabs>
        <w:jc w:val="center"/>
        <w:rPr>
          <w:rFonts w:asciiTheme="minorHAnsi" w:hAnsiTheme="minorHAnsi" w:cs="Arial"/>
          <w:b/>
          <w:color w:val="222222"/>
          <w:sz w:val="24"/>
          <w:szCs w:val="24"/>
          <w:lang w:val="es-CL" w:eastAsia="es-CL"/>
        </w:rPr>
      </w:pPr>
      <w:bookmarkStart w:id="0" w:name="_GoBack"/>
      <w:bookmarkEnd w:id="0"/>
      <w:r w:rsidRPr="00DA0799">
        <w:rPr>
          <w:rFonts w:asciiTheme="minorHAnsi" w:hAnsiTheme="minorHAnsi" w:cs="Arial"/>
          <w:b/>
          <w:color w:val="222222"/>
          <w:sz w:val="24"/>
          <w:szCs w:val="24"/>
          <w:lang w:val="es-CL" w:eastAsia="es-CL"/>
        </w:rPr>
        <w:t>COMISI</w:t>
      </w:r>
      <w:r w:rsidR="00405CF0" w:rsidRPr="00DA0799">
        <w:rPr>
          <w:rFonts w:asciiTheme="minorHAnsi" w:hAnsiTheme="minorHAnsi" w:cs="Arial"/>
          <w:b/>
          <w:color w:val="222222"/>
          <w:sz w:val="24"/>
          <w:szCs w:val="24"/>
          <w:lang w:val="es-CL" w:eastAsia="es-CL"/>
        </w:rPr>
        <w:t xml:space="preserve">ÓN </w:t>
      </w:r>
      <w:r w:rsidR="00D147FB" w:rsidRPr="00492733">
        <w:rPr>
          <w:rFonts w:asciiTheme="minorHAnsi" w:hAnsiTheme="minorHAnsi" w:cs="Arial"/>
          <w:b/>
          <w:color w:val="222222"/>
          <w:sz w:val="24"/>
          <w:szCs w:val="24"/>
          <w:lang w:val="es-CL" w:eastAsia="es-CL"/>
        </w:rPr>
        <w:t>DE AGRICULTURA</w:t>
      </w:r>
    </w:p>
    <w:p w14:paraId="5BD96ABC" w14:textId="71637EDE" w:rsidR="00492733" w:rsidRPr="00492733" w:rsidRDefault="00C777AB" w:rsidP="00517275">
      <w:pPr>
        <w:shd w:val="clear" w:color="auto" w:fill="FFFFFF"/>
        <w:jc w:val="center"/>
        <w:rPr>
          <w:rFonts w:asciiTheme="minorHAnsi" w:hAnsiTheme="minorHAnsi" w:cs="Arial"/>
          <w:b/>
          <w:color w:val="222222"/>
          <w:sz w:val="24"/>
          <w:szCs w:val="24"/>
          <w:lang w:val="es-CL" w:eastAsia="es-CL"/>
        </w:rPr>
      </w:pPr>
      <w:r w:rsidRPr="00DA0799">
        <w:rPr>
          <w:rFonts w:asciiTheme="minorHAnsi" w:hAnsiTheme="minorHAnsi" w:cs="Arial"/>
          <w:b/>
          <w:color w:val="222222"/>
          <w:sz w:val="24"/>
          <w:szCs w:val="24"/>
          <w:lang w:val="es-CL" w:eastAsia="es-CL"/>
        </w:rPr>
        <w:t xml:space="preserve">PROYECTO DE LEY </w:t>
      </w:r>
      <w:r w:rsidR="00D147FB" w:rsidRPr="00492733">
        <w:rPr>
          <w:rFonts w:asciiTheme="minorHAnsi" w:hAnsiTheme="minorHAnsi" w:cs="Arial"/>
          <w:b/>
          <w:color w:val="222222"/>
          <w:sz w:val="24"/>
          <w:szCs w:val="24"/>
          <w:lang w:val="es-CL" w:eastAsia="es-CL"/>
        </w:rPr>
        <w:t xml:space="preserve">QUE </w:t>
      </w:r>
      <w:r w:rsidR="00492733" w:rsidRPr="00492733">
        <w:rPr>
          <w:rFonts w:asciiTheme="minorHAnsi" w:hAnsiTheme="minorHAnsi" w:cs="Arial"/>
          <w:b/>
          <w:color w:val="222222"/>
          <w:sz w:val="24"/>
          <w:szCs w:val="24"/>
          <w:lang w:val="es-CL" w:eastAsia="es-CL"/>
        </w:rPr>
        <w:t>REFORMA EL CÓDIGO DE AGUAS</w:t>
      </w:r>
    </w:p>
    <w:p w14:paraId="0AA9D477" w14:textId="77777777" w:rsidR="00D147FB" w:rsidRDefault="00D147FB" w:rsidP="00517275">
      <w:pPr>
        <w:shd w:val="clear" w:color="auto" w:fill="FFFFFF"/>
        <w:jc w:val="both"/>
        <w:rPr>
          <w:rFonts w:asciiTheme="minorHAnsi" w:hAnsiTheme="minorHAnsi" w:cs="Arial"/>
          <w:color w:val="222222"/>
          <w:sz w:val="24"/>
          <w:szCs w:val="24"/>
          <w:lang w:val="es-CL" w:eastAsia="es-CL"/>
        </w:rPr>
      </w:pPr>
    </w:p>
    <w:p w14:paraId="28A8CBAC" w14:textId="44E84774" w:rsidR="000331F4" w:rsidRDefault="00517275" w:rsidP="00517275">
      <w:pPr>
        <w:shd w:val="clear" w:color="auto" w:fill="FFFFFF"/>
        <w:jc w:val="both"/>
        <w:rPr>
          <w:rFonts w:asciiTheme="minorHAnsi" w:hAnsiTheme="minorHAnsi" w:cs="Arial"/>
          <w:color w:val="222222"/>
          <w:sz w:val="24"/>
          <w:szCs w:val="24"/>
          <w:lang w:val="es-CL" w:eastAsia="es-CL"/>
        </w:rPr>
      </w:pPr>
      <w:r>
        <w:rPr>
          <w:rFonts w:asciiTheme="minorHAnsi" w:hAnsiTheme="minorHAnsi" w:cs="Arial"/>
          <w:color w:val="222222"/>
          <w:sz w:val="24"/>
          <w:szCs w:val="24"/>
          <w:lang w:val="es-CL" w:eastAsia="es-CL"/>
        </w:rPr>
        <w:t xml:space="preserve">Gonzalo Mardones </w:t>
      </w:r>
      <w:hyperlink r:id="rId9" w:history="1">
        <w:r w:rsidR="001D23AD" w:rsidRPr="00BE4C84">
          <w:rPr>
            <w:rStyle w:val="Hipervnculo"/>
            <w:rFonts w:asciiTheme="minorHAnsi" w:hAnsiTheme="minorHAnsi" w:cs="Arial"/>
            <w:sz w:val="24"/>
            <w:szCs w:val="24"/>
            <w:lang w:val="es-CL" w:eastAsia="es-CL"/>
          </w:rPr>
          <w:t>gnmardon@gmail.com</w:t>
        </w:r>
      </w:hyperlink>
      <w:r w:rsidR="001D23AD">
        <w:rPr>
          <w:rFonts w:asciiTheme="minorHAnsi" w:hAnsiTheme="minorHAnsi" w:cs="Arial"/>
          <w:color w:val="222222"/>
          <w:sz w:val="24"/>
          <w:szCs w:val="24"/>
          <w:lang w:val="es-CL" w:eastAsia="es-CL"/>
        </w:rPr>
        <w:t xml:space="preserve"> </w:t>
      </w:r>
    </w:p>
    <w:p w14:paraId="1317A20C" w14:textId="77777777" w:rsidR="00517275" w:rsidRPr="00DA0799" w:rsidRDefault="00517275" w:rsidP="00517275">
      <w:pPr>
        <w:shd w:val="clear" w:color="auto" w:fill="FFFFFF"/>
        <w:jc w:val="both"/>
        <w:rPr>
          <w:rFonts w:asciiTheme="minorHAnsi" w:hAnsiTheme="minorHAnsi" w:cs="Arial"/>
          <w:color w:val="222222"/>
          <w:sz w:val="24"/>
          <w:szCs w:val="24"/>
          <w:lang w:val="es-CL" w:eastAsia="es-CL"/>
        </w:rPr>
      </w:pPr>
    </w:p>
    <w:tbl>
      <w:tblPr>
        <w:tblStyle w:val="Tablaconcuadrcula"/>
        <w:tblW w:w="10206" w:type="dxa"/>
        <w:jc w:val="center"/>
        <w:tblLayout w:type="fixed"/>
        <w:tblCellMar>
          <w:left w:w="57" w:type="dxa"/>
          <w:right w:w="57" w:type="dxa"/>
        </w:tblCellMar>
        <w:tblLook w:val="04A0" w:firstRow="1" w:lastRow="0" w:firstColumn="1" w:lastColumn="0" w:noHBand="0" w:noVBand="1"/>
      </w:tblPr>
      <w:tblGrid>
        <w:gridCol w:w="1826"/>
        <w:gridCol w:w="3723"/>
        <w:gridCol w:w="2167"/>
        <w:gridCol w:w="2490"/>
      </w:tblGrid>
      <w:tr w:rsidR="006E2778" w14:paraId="69E1F50F" w14:textId="77777777" w:rsidTr="00644D7F">
        <w:trPr>
          <w:trHeight w:val="38"/>
          <w:jc w:val="center"/>
        </w:trPr>
        <w:tc>
          <w:tcPr>
            <w:tcW w:w="1644" w:type="dxa"/>
          </w:tcPr>
          <w:p w14:paraId="42D6DDFF" w14:textId="36619D94" w:rsidR="00D147FB" w:rsidRPr="00492733" w:rsidRDefault="00D147FB" w:rsidP="00517275">
            <w:pPr>
              <w:shd w:val="clear" w:color="auto" w:fill="FFFFFF"/>
              <w:jc w:val="both"/>
              <w:rPr>
                <w:rFonts w:asciiTheme="minorHAnsi" w:hAnsiTheme="minorHAnsi" w:cs="Arial"/>
                <w:b/>
                <w:bCs/>
                <w:color w:val="222222"/>
                <w:sz w:val="24"/>
                <w:szCs w:val="24"/>
                <w:lang w:val="es-CL" w:eastAsia="es-CL"/>
              </w:rPr>
            </w:pPr>
            <w:r w:rsidRPr="00492733">
              <w:rPr>
                <w:rFonts w:asciiTheme="minorHAnsi" w:hAnsiTheme="minorHAnsi" w:cs="Arial"/>
                <w:b/>
                <w:bCs/>
                <w:color w:val="222222"/>
                <w:sz w:val="24"/>
                <w:szCs w:val="24"/>
                <w:lang w:val="es-CL" w:eastAsia="es-CL"/>
              </w:rPr>
              <w:t>Boletín N°:</w:t>
            </w:r>
          </w:p>
        </w:tc>
        <w:tc>
          <w:tcPr>
            <w:tcW w:w="3352" w:type="dxa"/>
          </w:tcPr>
          <w:p w14:paraId="0C4E39A3" w14:textId="58A1A21F" w:rsidR="00D147FB" w:rsidRPr="00492733" w:rsidRDefault="00492733" w:rsidP="00517275">
            <w:pPr>
              <w:shd w:val="clear" w:color="auto" w:fill="FFFFFF"/>
              <w:tabs>
                <w:tab w:val="center" w:pos="1804"/>
              </w:tabs>
              <w:jc w:val="both"/>
              <w:rPr>
                <w:rFonts w:asciiTheme="minorHAnsi" w:hAnsiTheme="minorHAnsi" w:cs="Arial"/>
                <w:bCs/>
                <w:color w:val="222222"/>
                <w:sz w:val="22"/>
                <w:szCs w:val="22"/>
                <w:lang w:val="es-CL" w:eastAsia="es-CL"/>
              </w:rPr>
            </w:pPr>
            <w:r w:rsidRPr="00492733">
              <w:rPr>
                <w:rFonts w:asciiTheme="minorHAnsi" w:hAnsiTheme="minorHAnsi" w:cs="Arial"/>
                <w:bCs/>
                <w:color w:val="222222"/>
                <w:sz w:val="22"/>
                <w:szCs w:val="22"/>
                <w:lang w:val="es-CL" w:eastAsia="es-CL"/>
              </w:rPr>
              <w:t>7543-12</w:t>
            </w:r>
            <w:r w:rsidRPr="00492733">
              <w:rPr>
                <w:rFonts w:asciiTheme="minorHAnsi" w:hAnsiTheme="minorHAnsi" w:cs="Arial"/>
                <w:bCs/>
                <w:color w:val="222222"/>
                <w:sz w:val="22"/>
                <w:szCs w:val="22"/>
                <w:lang w:val="es-CL" w:eastAsia="es-CL"/>
              </w:rPr>
              <w:tab/>
            </w:r>
          </w:p>
        </w:tc>
        <w:tc>
          <w:tcPr>
            <w:tcW w:w="1951" w:type="dxa"/>
          </w:tcPr>
          <w:p w14:paraId="3005C6EE" w14:textId="144D494D" w:rsidR="00D147FB" w:rsidRPr="00492733" w:rsidRDefault="00D147FB" w:rsidP="00517275">
            <w:pPr>
              <w:shd w:val="clear" w:color="auto" w:fill="FFFFFF"/>
              <w:jc w:val="both"/>
              <w:rPr>
                <w:rFonts w:asciiTheme="minorHAnsi" w:hAnsiTheme="minorHAnsi" w:cs="Arial"/>
                <w:b/>
                <w:bCs/>
                <w:color w:val="222222"/>
                <w:sz w:val="24"/>
                <w:szCs w:val="24"/>
                <w:lang w:val="es-CL" w:eastAsia="es-CL"/>
              </w:rPr>
            </w:pPr>
            <w:r>
              <w:rPr>
                <w:rFonts w:asciiTheme="minorHAnsi" w:hAnsiTheme="minorHAnsi" w:cs="Arial"/>
                <w:b/>
                <w:bCs/>
                <w:color w:val="222222"/>
                <w:sz w:val="24"/>
                <w:szCs w:val="24"/>
                <w:lang w:val="es-CL" w:eastAsia="es-CL"/>
              </w:rPr>
              <w:t>Fecha de Ingreso:</w:t>
            </w:r>
          </w:p>
        </w:tc>
        <w:tc>
          <w:tcPr>
            <w:tcW w:w="2242" w:type="dxa"/>
          </w:tcPr>
          <w:p w14:paraId="15C2D7A7" w14:textId="01B0990B" w:rsidR="00D147FB" w:rsidRPr="00492733" w:rsidRDefault="00492733" w:rsidP="00517275">
            <w:pPr>
              <w:shd w:val="clear" w:color="auto" w:fill="FFFFFF"/>
              <w:jc w:val="both"/>
              <w:rPr>
                <w:rFonts w:asciiTheme="minorHAnsi" w:hAnsiTheme="minorHAnsi" w:cs="Arial"/>
                <w:bCs/>
                <w:color w:val="222222"/>
                <w:sz w:val="22"/>
                <w:szCs w:val="24"/>
                <w:lang w:val="es-CL" w:eastAsia="es-CL"/>
              </w:rPr>
            </w:pPr>
            <w:r w:rsidRPr="00492733">
              <w:rPr>
                <w:rFonts w:asciiTheme="minorHAnsi" w:hAnsiTheme="minorHAnsi" w:cs="Arial"/>
                <w:bCs/>
                <w:color w:val="222222"/>
                <w:sz w:val="22"/>
                <w:szCs w:val="24"/>
                <w:lang w:val="es-CL" w:eastAsia="es-CL"/>
              </w:rPr>
              <w:t>17.3.2011</w:t>
            </w:r>
          </w:p>
        </w:tc>
      </w:tr>
      <w:tr w:rsidR="006E2778" w14:paraId="1AEEA374" w14:textId="77777777" w:rsidTr="00644D7F">
        <w:trPr>
          <w:trHeight w:val="32"/>
          <w:jc w:val="center"/>
        </w:trPr>
        <w:tc>
          <w:tcPr>
            <w:tcW w:w="1644" w:type="dxa"/>
          </w:tcPr>
          <w:p w14:paraId="287A92EC" w14:textId="3022BE36" w:rsidR="00D147FB" w:rsidRPr="00492733" w:rsidRDefault="00D147FB" w:rsidP="00517275">
            <w:pPr>
              <w:shd w:val="clear" w:color="auto" w:fill="FFFFFF"/>
              <w:jc w:val="both"/>
              <w:rPr>
                <w:rFonts w:asciiTheme="minorHAnsi" w:hAnsiTheme="minorHAnsi" w:cs="Arial"/>
                <w:b/>
                <w:bCs/>
                <w:color w:val="222222"/>
                <w:sz w:val="24"/>
                <w:szCs w:val="24"/>
                <w:lang w:val="es-CL" w:eastAsia="es-CL"/>
              </w:rPr>
            </w:pPr>
            <w:r>
              <w:rPr>
                <w:rFonts w:asciiTheme="minorHAnsi" w:hAnsiTheme="minorHAnsi" w:cs="Arial"/>
                <w:b/>
                <w:bCs/>
                <w:color w:val="222222"/>
                <w:sz w:val="24"/>
                <w:szCs w:val="24"/>
                <w:lang w:val="es-CL" w:eastAsia="es-CL"/>
              </w:rPr>
              <w:t>Iniciativa:</w:t>
            </w:r>
          </w:p>
        </w:tc>
        <w:tc>
          <w:tcPr>
            <w:tcW w:w="3352" w:type="dxa"/>
          </w:tcPr>
          <w:p w14:paraId="27CB2E5F" w14:textId="0B15580D" w:rsidR="00D147FB" w:rsidRPr="00492733" w:rsidRDefault="00492733" w:rsidP="00517275">
            <w:pPr>
              <w:shd w:val="clear" w:color="auto" w:fill="FFFFFF"/>
              <w:jc w:val="both"/>
              <w:rPr>
                <w:rFonts w:asciiTheme="minorHAnsi" w:hAnsiTheme="minorHAnsi" w:cs="Arial"/>
                <w:bCs/>
                <w:color w:val="222222"/>
                <w:sz w:val="22"/>
                <w:szCs w:val="22"/>
                <w:lang w:val="es-CL" w:eastAsia="es-CL"/>
              </w:rPr>
            </w:pPr>
            <w:r w:rsidRPr="00492733">
              <w:rPr>
                <w:rFonts w:asciiTheme="minorHAnsi" w:hAnsiTheme="minorHAnsi" w:cs="Arial"/>
                <w:bCs/>
                <w:color w:val="222222"/>
                <w:sz w:val="22"/>
                <w:szCs w:val="22"/>
                <w:lang w:val="es-CL" w:eastAsia="es-CL"/>
              </w:rPr>
              <w:t xml:space="preserve">Moción (+indicación sustitutiva </w:t>
            </w:r>
            <w:proofErr w:type="spellStart"/>
            <w:r w:rsidRPr="00492733">
              <w:rPr>
                <w:rFonts w:asciiTheme="minorHAnsi" w:hAnsiTheme="minorHAnsi" w:cs="Arial"/>
                <w:bCs/>
                <w:color w:val="222222"/>
                <w:sz w:val="22"/>
                <w:szCs w:val="22"/>
                <w:lang w:val="es-CL" w:eastAsia="es-CL"/>
              </w:rPr>
              <w:t>Pdte</w:t>
            </w:r>
            <w:proofErr w:type="spellEnd"/>
            <w:r w:rsidRPr="00492733">
              <w:rPr>
                <w:rFonts w:asciiTheme="minorHAnsi" w:hAnsiTheme="minorHAnsi" w:cs="Arial"/>
                <w:bCs/>
                <w:color w:val="222222"/>
                <w:sz w:val="22"/>
                <w:szCs w:val="22"/>
                <w:lang w:val="es-CL" w:eastAsia="es-CL"/>
              </w:rPr>
              <w:t>)</w:t>
            </w:r>
          </w:p>
        </w:tc>
        <w:tc>
          <w:tcPr>
            <w:tcW w:w="1951" w:type="dxa"/>
          </w:tcPr>
          <w:p w14:paraId="38BEB340" w14:textId="056BAEAC" w:rsidR="00D147FB" w:rsidRPr="00492733" w:rsidRDefault="00D147FB" w:rsidP="00517275">
            <w:pPr>
              <w:shd w:val="clear" w:color="auto" w:fill="FFFFFF"/>
              <w:jc w:val="both"/>
              <w:rPr>
                <w:rFonts w:asciiTheme="minorHAnsi" w:hAnsiTheme="minorHAnsi" w:cs="Arial"/>
                <w:b/>
                <w:bCs/>
                <w:color w:val="222222"/>
                <w:sz w:val="24"/>
                <w:szCs w:val="24"/>
                <w:lang w:val="es-CL" w:eastAsia="es-CL"/>
              </w:rPr>
            </w:pPr>
            <w:r>
              <w:rPr>
                <w:rFonts w:asciiTheme="minorHAnsi" w:hAnsiTheme="minorHAnsi" w:cs="Arial"/>
                <w:b/>
                <w:bCs/>
                <w:color w:val="222222"/>
                <w:sz w:val="24"/>
                <w:szCs w:val="24"/>
                <w:lang w:val="es-CL" w:eastAsia="es-CL"/>
              </w:rPr>
              <w:t>Cámara de origen:</w:t>
            </w:r>
          </w:p>
        </w:tc>
        <w:tc>
          <w:tcPr>
            <w:tcW w:w="2242" w:type="dxa"/>
          </w:tcPr>
          <w:p w14:paraId="11418DEE" w14:textId="0FCFE505" w:rsidR="00D147FB" w:rsidRPr="00492733" w:rsidRDefault="00492733" w:rsidP="00517275">
            <w:pPr>
              <w:shd w:val="clear" w:color="auto" w:fill="FFFFFF"/>
              <w:jc w:val="both"/>
              <w:rPr>
                <w:rFonts w:asciiTheme="minorHAnsi" w:hAnsiTheme="minorHAnsi" w:cs="Arial"/>
                <w:bCs/>
                <w:color w:val="222222"/>
                <w:sz w:val="22"/>
                <w:szCs w:val="24"/>
                <w:lang w:val="es-CL" w:eastAsia="es-CL"/>
              </w:rPr>
            </w:pPr>
            <w:r w:rsidRPr="00492733">
              <w:rPr>
                <w:rFonts w:asciiTheme="minorHAnsi" w:hAnsiTheme="minorHAnsi" w:cs="Arial"/>
                <w:bCs/>
                <w:color w:val="222222"/>
                <w:sz w:val="22"/>
                <w:szCs w:val="24"/>
                <w:lang w:val="es-CL" w:eastAsia="es-CL"/>
              </w:rPr>
              <w:t>C. diputados</w:t>
            </w:r>
          </w:p>
        </w:tc>
      </w:tr>
      <w:tr w:rsidR="006E2778" w14:paraId="44C49742" w14:textId="77777777" w:rsidTr="00644D7F">
        <w:trPr>
          <w:trHeight w:val="32"/>
          <w:jc w:val="center"/>
        </w:trPr>
        <w:tc>
          <w:tcPr>
            <w:tcW w:w="1644" w:type="dxa"/>
          </w:tcPr>
          <w:p w14:paraId="77B37EBD" w14:textId="53BAD0AB" w:rsidR="00D147FB" w:rsidRPr="00492733" w:rsidRDefault="00D147FB" w:rsidP="00517275">
            <w:pPr>
              <w:shd w:val="clear" w:color="auto" w:fill="FFFFFF"/>
              <w:jc w:val="both"/>
              <w:rPr>
                <w:rFonts w:asciiTheme="minorHAnsi" w:hAnsiTheme="minorHAnsi" w:cs="Arial"/>
                <w:b/>
                <w:bCs/>
                <w:color w:val="222222"/>
                <w:sz w:val="24"/>
                <w:szCs w:val="24"/>
                <w:lang w:val="es-CL" w:eastAsia="es-CL"/>
              </w:rPr>
            </w:pPr>
            <w:r>
              <w:rPr>
                <w:rFonts w:asciiTheme="minorHAnsi" w:hAnsiTheme="minorHAnsi" w:cs="Arial"/>
                <w:b/>
                <w:bCs/>
                <w:color w:val="222222"/>
                <w:sz w:val="24"/>
                <w:szCs w:val="24"/>
                <w:lang w:val="es-CL" w:eastAsia="es-CL"/>
              </w:rPr>
              <w:t>Trámite actual:</w:t>
            </w:r>
          </w:p>
        </w:tc>
        <w:tc>
          <w:tcPr>
            <w:tcW w:w="3352" w:type="dxa"/>
          </w:tcPr>
          <w:p w14:paraId="7C1664FE" w14:textId="23474F0E" w:rsidR="00D147FB" w:rsidRPr="00492733" w:rsidRDefault="00492733" w:rsidP="00517275">
            <w:pPr>
              <w:shd w:val="clear" w:color="auto" w:fill="FFFFFF"/>
              <w:jc w:val="both"/>
              <w:rPr>
                <w:rFonts w:asciiTheme="minorHAnsi" w:hAnsiTheme="minorHAnsi" w:cs="Arial"/>
                <w:bCs/>
                <w:color w:val="222222"/>
                <w:sz w:val="22"/>
                <w:szCs w:val="22"/>
                <w:lang w:val="es-CL" w:eastAsia="es-CL"/>
              </w:rPr>
            </w:pPr>
            <w:r w:rsidRPr="00492733">
              <w:rPr>
                <w:rFonts w:asciiTheme="minorHAnsi" w:hAnsiTheme="minorHAnsi" w:cs="Arial"/>
                <w:bCs/>
                <w:color w:val="222222"/>
                <w:sz w:val="22"/>
                <w:szCs w:val="22"/>
                <w:lang w:val="es-CL" w:eastAsia="es-CL"/>
              </w:rPr>
              <w:t>2do trámite constitucional</w:t>
            </w:r>
          </w:p>
        </w:tc>
        <w:tc>
          <w:tcPr>
            <w:tcW w:w="1951" w:type="dxa"/>
          </w:tcPr>
          <w:p w14:paraId="022D6BF9" w14:textId="091B8866" w:rsidR="00D147FB" w:rsidRPr="00492733" w:rsidRDefault="00D147FB" w:rsidP="00517275">
            <w:pPr>
              <w:shd w:val="clear" w:color="auto" w:fill="FFFFFF"/>
              <w:jc w:val="both"/>
              <w:rPr>
                <w:rFonts w:asciiTheme="minorHAnsi" w:hAnsiTheme="minorHAnsi" w:cs="Arial"/>
                <w:b/>
                <w:bCs/>
                <w:color w:val="222222"/>
                <w:sz w:val="24"/>
                <w:szCs w:val="24"/>
                <w:lang w:val="es-CL" w:eastAsia="es-CL"/>
              </w:rPr>
            </w:pPr>
            <w:r>
              <w:rPr>
                <w:rFonts w:asciiTheme="minorHAnsi" w:hAnsiTheme="minorHAnsi" w:cs="Arial"/>
                <w:b/>
                <w:bCs/>
                <w:color w:val="222222"/>
                <w:sz w:val="24"/>
                <w:szCs w:val="24"/>
                <w:lang w:val="es-CL" w:eastAsia="es-CL"/>
              </w:rPr>
              <w:t>Urgencia actual:</w:t>
            </w:r>
          </w:p>
        </w:tc>
        <w:tc>
          <w:tcPr>
            <w:tcW w:w="2242" w:type="dxa"/>
          </w:tcPr>
          <w:p w14:paraId="115A0027" w14:textId="3E081F32" w:rsidR="00D147FB" w:rsidRPr="00492733" w:rsidRDefault="00492733" w:rsidP="00517275">
            <w:pPr>
              <w:shd w:val="clear" w:color="auto" w:fill="FFFFFF"/>
              <w:jc w:val="both"/>
              <w:rPr>
                <w:rFonts w:asciiTheme="minorHAnsi" w:hAnsiTheme="minorHAnsi" w:cs="Arial"/>
                <w:bCs/>
                <w:color w:val="222222"/>
                <w:sz w:val="22"/>
                <w:szCs w:val="24"/>
                <w:lang w:val="es-CL" w:eastAsia="es-CL"/>
              </w:rPr>
            </w:pPr>
            <w:r w:rsidRPr="00492733">
              <w:rPr>
                <w:rFonts w:asciiTheme="minorHAnsi" w:hAnsiTheme="minorHAnsi" w:cs="Arial"/>
                <w:bCs/>
                <w:color w:val="222222"/>
                <w:sz w:val="22"/>
                <w:szCs w:val="24"/>
                <w:lang w:val="es-CL" w:eastAsia="es-CL"/>
              </w:rPr>
              <w:t>Simple</w:t>
            </w:r>
          </w:p>
        </w:tc>
      </w:tr>
    </w:tbl>
    <w:p w14:paraId="4181336C" w14:textId="77777777" w:rsidR="00C52984" w:rsidRDefault="00C52984" w:rsidP="00517275">
      <w:pPr>
        <w:jc w:val="both"/>
        <w:rPr>
          <w:rFonts w:asciiTheme="minorHAnsi" w:hAnsiTheme="minorHAnsi"/>
          <w:b/>
          <w:sz w:val="24"/>
          <w:szCs w:val="24"/>
          <w:lang w:val="es-CL"/>
        </w:rPr>
      </w:pPr>
    </w:p>
    <w:tbl>
      <w:tblPr>
        <w:tblStyle w:val="Tablaconcuadrcula"/>
        <w:tblW w:w="10206" w:type="dxa"/>
        <w:jc w:val="center"/>
        <w:tblLook w:val="04A0" w:firstRow="1" w:lastRow="0" w:firstColumn="1" w:lastColumn="0" w:noHBand="0" w:noVBand="1"/>
      </w:tblPr>
      <w:tblGrid>
        <w:gridCol w:w="10206"/>
      </w:tblGrid>
      <w:tr w:rsidR="00DA0799" w14:paraId="23DDB901" w14:textId="6C50E25E" w:rsidTr="00644D7F">
        <w:trPr>
          <w:jc w:val="center"/>
        </w:trPr>
        <w:tc>
          <w:tcPr>
            <w:tcW w:w="10091" w:type="dxa"/>
            <w:tcBorders>
              <w:bottom w:val="single" w:sz="4" w:space="0" w:color="auto"/>
            </w:tcBorders>
          </w:tcPr>
          <w:p w14:paraId="2034C7B2" w14:textId="0CDE7F4F" w:rsidR="00DA0799" w:rsidRDefault="00FF6FC1" w:rsidP="00860C28">
            <w:pPr>
              <w:jc w:val="center"/>
              <w:rPr>
                <w:rFonts w:asciiTheme="minorHAnsi" w:hAnsiTheme="minorHAnsi"/>
                <w:b/>
                <w:sz w:val="24"/>
                <w:szCs w:val="24"/>
                <w:lang w:val="es-CL"/>
              </w:rPr>
            </w:pPr>
            <w:r>
              <w:rPr>
                <w:rFonts w:asciiTheme="minorHAnsi" w:hAnsiTheme="minorHAnsi"/>
                <w:b/>
                <w:sz w:val="24"/>
                <w:szCs w:val="24"/>
                <w:lang w:val="es-CL"/>
              </w:rPr>
              <w:t>RESUMEN</w:t>
            </w:r>
          </w:p>
        </w:tc>
      </w:tr>
      <w:tr w:rsidR="00DA0799" w:rsidRPr="00492733" w14:paraId="48C57DB3" w14:textId="5723DA60" w:rsidTr="00644D7F">
        <w:trPr>
          <w:jc w:val="center"/>
        </w:trPr>
        <w:tc>
          <w:tcPr>
            <w:tcW w:w="10091" w:type="dxa"/>
          </w:tcPr>
          <w:p w14:paraId="499D2A73" w14:textId="4C0982CC" w:rsidR="001E55B2" w:rsidRPr="001E55B2" w:rsidRDefault="00492733" w:rsidP="00517275">
            <w:pPr>
              <w:pStyle w:val="Prrafodelista"/>
              <w:numPr>
                <w:ilvl w:val="0"/>
                <w:numId w:val="17"/>
              </w:numPr>
              <w:jc w:val="both"/>
              <w:rPr>
                <w:rFonts w:asciiTheme="minorHAnsi" w:hAnsiTheme="minorHAnsi"/>
                <w:b/>
                <w:sz w:val="24"/>
                <w:szCs w:val="24"/>
                <w:lang w:val="es-CL"/>
              </w:rPr>
            </w:pPr>
            <w:r>
              <w:rPr>
                <w:rFonts w:asciiTheme="minorHAnsi" w:hAnsiTheme="minorHAnsi"/>
                <w:sz w:val="24"/>
                <w:szCs w:val="24"/>
                <w:lang w:val="es-CL"/>
              </w:rPr>
              <w:t xml:space="preserve">Respuesta oficio </w:t>
            </w:r>
            <w:r w:rsidR="001E55B2">
              <w:rPr>
                <w:rFonts w:asciiTheme="minorHAnsi" w:hAnsiTheme="minorHAnsi"/>
                <w:sz w:val="24"/>
                <w:szCs w:val="24"/>
                <w:lang w:val="es-CL"/>
              </w:rPr>
              <w:t>Min. Desarrollo Social (</w:t>
            </w:r>
            <w:r w:rsidR="001E55B2">
              <w:rPr>
                <w:rFonts w:asciiTheme="minorHAnsi" w:hAnsiTheme="minorHAnsi"/>
                <w:sz w:val="24"/>
                <w:szCs w:val="24"/>
              </w:rPr>
              <w:t>22.4.2019)</w:t>
            </w:r>
            <w:r w:rsidR="001E55B2">
              <w:rPr>
                <w:rFonts w:asciiTheme="minorHAnsi" w:hAnsiTheme="minorHAnsi"/>
                <w:sz w:val="24"/>
                <w:szCs w:val="24"/>
                <w:lang w:val="es-CL"/>
              </w:rPr>
              <w:t>: corresponde al Congreso pronunciarse sobre la procedencia de la consulta indígena. No queda zanjado en la comisión el tema.</w:t>
            </w:r>
          </w:p>
          <w:p w14:paraId="236A9CAE" w14:textId="3B51B132" w:rsidR="001E55B2" w:rsidRPr="008C5D7F" w:rsidRDefault="00770B3E" w:rsidP="00517275">
            <w:pPr>
              <w:pStyle w:val="Prrafodelista"/>
              <w:numPr>
                <w:ilvl w:val="0"/>
                <w:numId w:val="17"/>
              </w:numPr>
              <w:jc w:val="both"/>
              <w:rPr>
                <w:rFonts w:asciiTheme="minorHAnsi" w:hAnsiTheme="minorHAnsi"/>
                <w:b/>
                <w:sz w:val="24"/>
                <w:szCs w:val="24"/>
                <w:lang w:val="es-CL"/>
              </w:rPr>
            </w:pPr>
            <w:r>
              <w:rPr>
                <w:rFonts w:asciiTheme="minorHAnsi" w:hAnsiTheme="minorHAnsi"/>
                <w:sz w:val="24"/>
                <w:szCs w:val="24"/>
                <w:lang w:val="es-CL"/>
              </w:rPr>
              <w:t xml:space="preserve">Art. 2 DS 66 – 2014 establece que es un </w:t>
            </w:r>
            <w:r>
              <w:rPr>
                <w:rFonts w:asciiTheme="minorHAnsi" w:hAnsiTheme="minorHAnsi"/>
                <w:b/>
                <w:sz w:val="24"/>
                <w:szCs w:val="24"/>
                <w:lang w:val="es-CL"/>
              </w:rPr>
              <w:t>deber de la Administraci</w:t>
            </w:r>
            <w:r w:rsidR="00023DC0">
              <w:rPr>
                <w:rFonts w:asciiTheme="minorHAnsi" w:hAnsiTheme="minorHAnsi"/>
                <w:b/>
                <w:sz w:val="24"/>
                <w:szCs w:val="24"/>
                <w:lang w:val="es-CL"/>
              </w:rPr>
              <w:t>ón del Estado</w:t>
            </w:r>
            <w:r>
              <w:rPr>
                <w:rFonts w:asciiTheme="minorHAnsi" w:hAnsiTheme="minorHAnsi"/>
                <w:sz w:val="24"/>
                <w:szCs w:val="24"/>
                <w:lang w:val="es-CL"/>
              </w:rPr>
              <w:t xml:space="preserve"> </w:t>
            </w:r>
            <w:r w:rsidR="00023DC0">
              <w:rPr>
                <w:rFonts w:asciiTheme="minorHAnsi" w:hAnsiTheme="minorHAnsi"/>
                <w:sz w:val="24"/>
                <w:szCs w:val="24"/>
                <w:lang w:val="es-CL"/>
              </w:rPr>
              <w:t xml:space="preserve">(Min. Des. Social) </w:t>
            </w:r>
            <w:r>
              <w:rPr>
                <w:rFonts w:asciiTheme="minorHAnsi" w:hAnsiTheme="minorHAnsi"/>
                <w:sz w:val="24"/>
                <w:szCs w:val="24"/>
                <w:lang w:val="es-CL"/>
              </w:rPr>
              <w:t xml:space="preserve">establecer la consulta indígena, </w:t>
            </w:r>
            <w:r>
              <w:rPr>
                <w:rFonts w:asciiTheme="minorHAnsi" w:hAnsiTheme="minorHAnsi"/>
                <w:b/>
                <w:sz w:val="24"/>
                <w:szCs w:val="24"/>
                <w:lang w:val="es-CL"/>
              </w:rPr>
              <w:t>sin distinguir si la medida legislativa</w:t>
            </w:r>
            <w:r w:rsidR="00DC6403">
              <w:rPr>
                <w:rFonts w:asciiTheme="minorHAnsi" w:hAnsiTheme="minorHAnsi"/>
                <w:b/>
                <w:sz w:val="24"/>
                <w:szCs w:val="24"/>
                <w:lang w:val="es-CL"/>
              </w:rPr>
              <w:t xml:space="preserve"> (PDL)</w:t>
            </w:r>
            <w:r>
              <w:rPr>
                <w:rFonts w:asciiTheme="minorHAnsi" w:hAnsiTheme="minorHAnsi"/>
                <w:b/>
                <w:sz w:val="24"/>
                <w:szCs w:val="24"/>
                <w:lang w:val="es-CL"/>
              </w:rPr>
              <w:t xml:space="preserve"> </w:t>
            </w:r>
            <w:r w:rsidR="00DC6403">
              <w:rPr>
                <w:rFonts w:asciiTheme="minorHAnsi" w:hAnsiTheme="minorHAnsi"/>
                <w:b/>
                <w:sz w:val="24"/>
                <w:szCs w:val="24"/>
                <w:lang w:val="es-CL"/>
              </w:rPr>
              <w:t>que pueda afectar a las tierras indígenas o a sus recursos,</w:t>
            </w:r>
            <w:r>
              <w:rPr>
                <w:rFonts w:asciiTheme="minorHAnsi" w:hAnsiTheme="minorHAnsi"/>
                <w:b/>
                <w:sz w:val="24"/>
                <w:szCs w:val="24"/>
                <w:lang w:val="es-CL"/>
              </w:rPr>
              <w:t xml:space="preserve"> fue iniciado en moción o por mensaje</w:t>
            </w:r>
            <w:r>
              <w:rPr>
                <w:rFonts w:asciiTheme="minorHAnsi" w:hAnsiTheme="minorHAnsi"/>
                <w:sz w:val="24"/>
                <w:szCs w:val="24"/>
                <w:lang w:val="es-CL"/>
              </w:rPr>
              <w:t xml:space="preserve">. </w:t>
            </w:r>
            <w:r w:rsidR="00023DC0">
              <w:rPr>
                <w:rFonts w:asciiTheme="minorHAnsi" w:hAnsiTheme="minorHAnsi"/>
                <w:sz w:val="24"/>
                <w:szCs w:val="24"/>
                <w:lang w:val="es-CL"/>
              </w:rPr>
              <w:t>Luego el art. 7 si bien establece que deberá hacerse consulta cuando el anteproyecto inicie por mensaje, no los limita a estos, sino que se extiende a todos los casos en que sea “</w:t>
            </w:r>
            <w:r w:rsidR="00023DC0" w:rsidRPr="00023DC0">
              <w:rPr>
                <w:rFonts w:asciiTheme="minorHAnsi" w:hAnsiTheme="minorHAnsi"/>
                <w:sz w:val="24"/>
                <w:szCs w:val="24"/>
                <w:lang w:val="es-CL"/>
              </w:rPr>
              <w:t>causa directa de un impacto significativo y específico sobre los pueblos</w:t>
            </w:r>
            <w:r w:rsidR="00023DC0">
              <w:rPr>
                <w:rFonts w:asciiTheme="minorHAnsi" w:hAnsiTheme="minorHAnsi"/>
                <w:sz w:val="24"/>
                <w:szCs w:val="24"/>
                <w:lang w:val="es-CL"/>
              </w:rPr>
              <w:t>”.</w:t>
            </w:r>
          </w:p>
          <w:p w14:paraId="425CBF9D" w14:textId="6DCDCE6F" w:rsidR="008C5D7F" w:rsidRPr="00023DC0" w:rsidRDefault="008C5D7F" w:rsidP="00517275">
            <w:pPr>
              <w:pStyle w:val="Prrafodelista"/>
              <w:numPr>
                <w:ilvl w:val="0"/>
                <w:numId w:val="17"/>
              </w:numPr>
              <w:jc w:val="both"/>
              <w:rPr>
                <w:rFonts w:asciiTheme="minorHAnsi" w:hAnsiTheme="minorHAnsi"/>
                <w:b/>
                <w:sz w:val="24"/>
                <w:szCs w:val="24"/>
                <w:lang w:val="es-CL"/>
              </w:rPr>
            </w:pPr>
            <w:r>
              <w:rPr>
                <w:rFonts w:asciiTheme="minorHAnsi" w:hAnsiTheme="minorHAnsi"/>
                <w:sz w:val="24"/>
                <w:szCs w:val="24"/>
                <w:lang w:val="es-CL"/>
              </w:rPr>
              <w:t xml:space="preserve">Convenio 169 OIT </w:t>
            </w:r>
            <w:r w:rsidR="00517275">
              <w:rPr>
                <w:rFonts w:asciiTheme="minorHAnsi" w:hAnsiTheme="minorHAnsi"/>
                <w:sz w:val="24"/>
                <w:szCs w:val="24"/>
                <w:lang w:val="es-CL"/>
              </w:rPr>
              <w:t xml:space="preserve">(norma autoejecutable en nuestro derecho) </w:t>
            </w:r>
            <w:r>
              <w:rPr>
                <w:rFonts w:asciiTheme="minorHAnsi" w:hAnsiTheme="minorHAnsi"/>
                <w:sz w:val="24"/>
                <w:szCs w:val="24"/>
                <w:lang w:val="es-CL"/>
              </w:rPr>
              <w:t xml:space="preserve">señala que el </w:t>
            </w:r>
            <w:r>
              <w:rPr>
                <w:rFonts w:asciiTheme="minorHAnsi" w:hAnsiTheme="minorHAnsi"/>
                <w:b/>
                <w:sz w:val="24"/>
                <w:szCs w:val="24"/>
                <w:lang w:val="es-CL"/>
              </w:rPr>
              <w:t>obligado a hacer la consulta es el gobierno</w:t>
            </w:r>
            <w:r w:rsidR="00517275">
              <w:rPr>
                <w:rFonts w:asciiTheme="minorHAnsi" w:hAnsiTheme="minorHAnsi"/>
                <w:sz w:val="24"/>
                <w:szCs w:val="24"/>
                <w:lang w:val="es-CL"/>
              </w:rPr>
              <w:t>, aunque también se ha dicho que es el Estado en su conjunto, incluyendo al Congreso.</w:t>
            </w:r>
          </w:p>
          <w:p w14:paraId="0396BC61" w14:textId="26CC100B" w:rsidR="00023DC0" w:rsidRPr="001E55B2" w:rsidRDefault="00DC6403" w:rsidP="00517275">
            <w:pPr>
              <w:pStyle w:val="Prrafodelista"/>
              <w:numPr>
                <w:ilvl w:val="0"/>
                <w:numId w:val="17"/>
              </w:numPr>
              <w:jc w:val="both"/>
              <w:rPr>
                <w:rFonts w:asciiTheme="minorHAnsi" w:hAnsiTheme="minorHAnsi"/>
                <w:b/>
                <w:sz w:val="24"/>
                <w:szCs w:val="24"/>
                <w:lang w:val="es-CL"/>
              </w:rPr>
            </w:pPr>
            <w:r>
              <w:rPr>
                <w:rFonts w:asciiTheme="minorHAnsi" w:hAnsiTheme="minorHAnsi"/>
                <w:sz w:val="24"/>
                <w:szCs w:val="24"/>
                <w:lang w:val="es-CL"/>
              </w:rPr>
              <w:t xml:space="preserve">El TC ha dicho que el </w:t>
            </w:r>
            <w:r w:rsidRPr="00DC6403">
              <w:rPr>
                <w:rFonts w:asciiTheme="minorHAnsi" w:hAnsiTheme="minorHAnsi"/>
                <w:b/>
                <w:sz w:val="24"/>
                <w:szCs w:val="24"/>
                <w:lang w:val="es-CL"/>
              </w:rPr>
              <w:t>Congreso puede determinar que materias son susceptibles de consulta</w:t>
            </w:r>
            <w:r>
              <w:rPr>
                <w:rFonts w:asciiTheme="minorHAnsi" w:hAnsiTheme="minorHAnsi"/>
                <w:sz w:val="24"/>
                <w:szCs w:val="24"/>
                <w:lang w:val="es-CL"/>
              </w:rPr>
              <w:t xml:space="preserve">, </w:t>
            </w:r>
            <w:r w:rsidRPr="008C5D7F">
              <w:rPr>
                <w:rFonts w:asciiTheme="minorHAnsi" w:hAnsiTheme="minorHAnsi"/>
                <w:b/>
                <w:sz w:val="24"/>
                <w:szCs w:val="24"/>
                <w:lang w:val="es-CL"/>
              </w:rPr>
              <w:t>pero no existe un procedimiento</w:t>
            </w:r>
            <w:r>
              <w:rPr>
                <w:rFonts w:asciiTheme="minorHAnsi" w:hAnsiTheme="minorHAnsi"/>
                <w:sz w:val="24"/>
                <w:szCs w:val="24"/>
                <w:lang w:val="es-CL"/>
              </w:rPr>
              <w:t>, a diferencia de la facultad de calificación directa que tiene el Min. Des. Social (en virtud del DTO 66)</w:t>
            </w:r>
            <w:r w:rsidR="008C5D7F">
              <w:rPr>
                <w:rFonts w:asciiTheme="minorHAnsi" w:hAnsiTheme="minorHAnsi"/>
                <w:sz w:val="24"/>
                <w:szCs w:val="24"/>
                <w:lang w:val="es-CL"/>
              </w:rPr>
              <w:t>.</w:t>
            </w:r>
          </w:p>
        </w:tc>
      </w:tr>
    </w:tbl>
    <w:p w14:paraId="4C14F46A" w14:textId="77777777" w:rsidR="00C52984" w:rsidRPr="00B65799" w:rsidRDefault="00C52984" w:rsidP="00517275">
      <w:pPr>
        <w:jc w:val="both"/>
        <w:rPr>
          <w:rFonts w:asciiTheme="minorHAnsi" w:hAnsiTheme="minorHAnsi"/>
          <w:b/>
          <w:color w:val="A6A6A6" w:themeColor="background1" w:themeShade="A6"/>
          <w:sz w:val="24"/>
          <w:szCs w:val="24"/>
          <w:lang w:val="es-CL"/>
        </w:rPr>
      </w:pPr>
    </w:p>
    <w:tbl>
      <w:tblPr>
        <w:tblStyle w:val="Tablaconcuadrcula"/>
        <w:tblW w:w="10205" w:type="dxa"/>
        <w:jc w:val="center"/>
        <w:tblLook w:val="04A0" w:firstRow="1" w:lastRow="0" w:firstColumn="1" w:lastColumn="0" w:noHBand="0" w:noVBand="1"/>
      </w:tblPr>
      <w:tblGrid>
        <w:gridCol w:w="10205"/>
      </w:tblGrid>
      <w:tr w:rsidR="004B1429" w14:paraId="48B3E4F1" w14:textId="48CCD215" w:rsidTr="004B1429">
        <w:trPr>
          <w:jc w:val="center"/>
        </w:trPr>
        <w:tc>
          <w:tcPr>
            <w:tcW w:w="10205" w:type="dxa"/>
            <w:tcBorders>
              <w:bottom w:val="single" w:sz="4" w:space="0" w:color="auto"/>
            </w:tcBorders>
          </w:tcPr>
          <w:p w14:paraId="3C594B8B" w14:textId="18EC2D78" w:rsidR="004B1429" w:rsidRDefault="00517275" w:rsidP="00860C28">
            <w:pPr>
              <w:jc w:val="center"/>
              <w:rPr>
                <w:rFonts w:asciiTheme="minorHAnsi" w:hAnsiTheme="minorHAnsi"/>
                <w:b/>
                <w:sz w:val="24"/>
                <w:szCs w:val="24"/>
                <w:lang w:val="es-CL"/>
              </w:rPr>
            </w:pPr>
            <w:r>
              <w:rPr>
                <w:rFonts w:asciiTheme="minorHAnsi" w:hAnsiTheme="minorHAnsi"/>
                <w:b/>
                <w:sz w:val="24"/>
                <w:szCs w:val="24"/>
                <w:lang w:val="es-CL"/>
              </w:rPr>
              <w:t>OPCIONES</w:t>
            </w:r>
          </w:p>
        </w:tc>
      </w:tr>
      <w:tr w:rsidR="004B1429" w:rsidRPr="001E55B2" w14:paraId="71148812" w14:textId="5D305770" w:rsidTr="004B1429">
        <w:trPr>
          <w:jc w:val="center"/>
        </w:trPr>
        <w:tc>
          <w:tcPr>
            <w:tcW w:w="10205" w:type="dxa"/>
          </w:tcPr>
          <w:p w14:paraId="78A6CB3B" w14:textId="6545C3DC" w:rsidR="004B1429" w:rsidRDefault="000A3126" w:rsidP="00517275">
            <w:pPr>
              <w:pStyle w:val="Prrafodelista"/>
              <w:numPr>
                <w:ilvl w:val="0"/>
                <w:numId w:val="17"/>
              </w:numPr>
              <w:jc w:val="both"/>
              <w:rPr>
                <w:rFonts w:asciiTheme="minorHAnsi" w:hAnsiTheme="minorHAnsi"/>
                <w:sz w:val="24"/>
                <w:szCs w:val="24"/>
                <w:lang w:val="es-CL"/>
              </w:rPr>
            </w:pPr>
            <w:r w:rsidRPr="00517275">
              <w:rPr>
                <w:rFonts w:asciiTheme="minorHAnsi" w:hAnsiTheme="minorHAnsi"/>
                <w:b/>
                <w:sz w:val="24"/>
                <w:szCs w:val="24"/>
                <w:lang w:val="es-CL"/>
              </w:rPr>
              <w:t>A)</w:t>
            </w:r>
            <w:r>
              <w:rPr>
                <w:rFonts w:asciiTheme="minorHAnsi" w:hAnsiTheme="minorHAnsi"/>
                <w:sz w:val="24"/>
                <w:szCs w:val="24"/>
                <w:lang w:val="es-CL"/>
              </w:rPr>
              <w:t xml:space="preserve"> </w:t>
            </w:r>
            <w:r w:rsidR="00517275">
              <w:rPr>
                <w:rFonts w:asciiTheme="minorHAnsi" w:hAnsiTheme="minorHAnsi"/>
                <w:b/>
                <w:sz w:val="24"/>
                <w:szCs w:val="24"/>
                <w:lang w:val="es-CL"/>
              </w:rPr>
              <w:t>Oficiar</w:t>
            </w:r>
            <w:r>
              <w:rPr>
                <w:rFonts w:asciiTheme="minorHAnsi" w:hAnsiTheme="minorHAnsi"/>
                <w:sz w:val="24"/>
                <w:szCs w:val="24"/>
                <w:lang w:val="es-CL"/>
              </w:rPr>
              <w:t xml:space="preserve"> nuevamente a </w:t>
            </w:r>
            <w:r w:rsidRPr="00517275">
              <w:rPr>
                <w:rFonts w:asciiTheme="minorHAnsi" w:hAnsiTheme="minorHAnsi"/>
                <w:b/>
                <w:sz w:val="24"/>
                <w:szCs w:val="24"/>
                <w:lang w:val="es-CL"/>
              </w:rPr>
              <w:t>Subsecretaría SS. Sociales</w:t>
            </w:r>
            <w:r>
              <w:rPr>
                <w:rFonts w:asciiTheme="minorHAnsi" w:hAnsiTheme="minorHAnsi"/>
                <w:sz w:val="24"/>
                <w:szCs w:val="24"/>
                <w:lang w:val="es-CL"/>
              </w:rPr>
              <w:t xml:space="preserve"> </w:t>
            </w:r>
            <w:r w:rsidR="001E55B2">
              <w:rPr>
                <w:rFonts w:asciiTheme="minorHAnsi" w:hAnsiTheme="minorHAnsi"/>
                <w:sz w:val="24"/>
                <w:szCs w:val="24"/>
                <w:lang w:val="es-CL"/>
              </w:rPr>
              <w:t xml:space="preserve">se pronuncie </w:t>
            </w:r>
            <w:r w:rsidR="001E55B2" w:rsidRPr="00517275">
              <w:rPr>
                <w:rFonts w:asciiTheme="minorHAnsi" w:hAnsiTheme="minorHAnsi"/>
                <w:b/>
                <w:sz w:val="24"/>
                <w:szCs w:val="24"/>
                <w:lang w:val="es-CL"/>
              </w:rPr>
              <w:t>sobre la procedencia</w:t>
            </w:r>
            <w:r w:rsidR="001E55B2">
              <w:rPr>
                <w:rFonts w:asciiTheme="minorHAnsi" w:hAnsiTheme="minorHAnsi"/>
                <w:sz w:val="24"/>
                <w:szCs w:val="24"/>
                <w:lang w:val="es-CL"/>
              </w:rPr>
              <w:t xml:space="preserve"> de la consulta indígena</w:t>
            </w:r>
            <w:r>
              <w:rPr>
                <w:rFonts w:asciiTheme="minorHAnsi" w:hAnsiTheme="minorHAnsi"/>
                <w:sz w:val="24"/>
                <w:szCs w:val="24"/>
                <w:lang w:val="es-CL"/>
              </w:rPr>
              <w:t>, al tenor del DTO 66 – 2014 Min Des Social y al Convenio 169 OIT</w:t>
            </w:r>
            <w:r w:rsidR="00517275">
              <w:rPr>
                <w:rFonts w:asciiTheme="minorHAnsi" w:hAnsiTheme="minorHAnsi"/>
                <w:sz w:val="24"/>
                <w:szCs w:val="24"/>
                <w:lang w:val="es-CL"/>
              </w:rPr>
              <w:t xml:space="preserve">, en atención que la normativa es clara al determinar que es </w:t>
            </w:r>
            <w:r w:rsidR="00517275">
              <w:rPr>
                <w:rFonts w:asciiTheme="minorHAnsi" w:hAnsiTheme="minorHAnsi"/>
                <w:b/>
                <w:sz w:val="24"/>
                <w:szCs w:val="24"/>
                <w:lang w:val="es-CL"/>
              </w:rPr>
              <w:t xml:space="preserve">obligación de los gobiernos dar cumplimiento a la consulta indígena </w:t>
            </w:r>
            <w:r w:rsidR="00517275" w:rsidRPr="00517275">
              <w:rPr>
                <w:rFonts w:asciiTheme="minorHAnsi" w:hAnsiTheme="minorHAnsi"/>
                <w:sz w:val="24"/>
                <w:szCs w:val="24"/>
                <w:lang w:val="es-CL"/>
              </w:rPr>
              <w:t xml:space="preserve">en los casos de medidas </w:t>
            </w:r>
            <w:r w:rsidR="00517275">
              <w:rPr>
                <w:rFonts w:asciiTheme="minorHAnsi" w:hAnsiTheme="minorHAnsi"/>
                <w:sz w:val="24"/>
                <w:szCs w:val="24"/>
                <w:lang w:val="es-CL"/>
              </w:rPr>
              <w:t>legislativas o administrativas.</w:t>
            </w:r>
          </w:p>
          <w:p w14:paraId="73FCEC4A" w14:textId="639AD832" w:rsidR="000A3126" w:rsidRDefault="000A3126" w:rsidP="00517275">
            <w:pPr>
              <w:pStyle w:val="Prrafodelista"/>
              <w:numPr>
                <w:ilvl w:val="0"/>
                <w:numId w:val="17"/>
              </w:numPr>
              <w:jc w:val="both"/>
              <w:rPr>
                <w:rFonts w:asciiTheme="minorHAnsi" w:hAnsiTheme="minorHAnsi"/>
                <w:sz w:val="24"/>
                <w:szCs w:val="24"/>
                <w:lang w:val="es-CL"/>
              </w:rPr>
            </w:pPr>
            <w:r w:rsidRPr="00517275">
              <w:rPr>
                <w:rFonts w:asciiTheme="minorHAnsi" w:hAnsiTheme="minorHAnsi"/>
                <w:b/>
                <w:sz w:val="24"/>
                <w:szCs w:val="24"/>
                <w:lang w:val="es-CL"/>
              </w:rPr>
              <w:t>B)</w:t>
            </w:r>
            <w:r>
              <w:rPr>
                <w:rFonts w:asciiTheme="minorHAnsi" w:hAnsiTheme="minorHAnsi"/>
                <w:sz w:val="24"/>
                <w:szCs w:val="24"/>
                <w:lang w:val="es-CL"/>
              </w:rPr>
              <w:t xml:space="preserve"> </w:t>
            </w:r>
            <w:r w:rsidRPr="00517275">
              <w:rPr>
                <w:rFonts w:asciiTheme="minorHAnsi" w:hAnsiTheme="minorHAnsi"/>
                <w:b/>
                <w:sz w:val="24"/>
                <w:szCs w:val="24"/>
                <w:lang w:val="es-CL"/>
              </w:rPr>
              <w:t>Oficiar</w:t>
            </w:r>
            <w:r>
              <w:rPr>
                <w:rFonts w:asciiTheme="minorHAnsi" w:hAnsiTheme="minorHAnsi"/>
                <w:sz w:val="24"/>
                <w:szCs w:val="24"/>
                <w:lang w:val="es-CL"/>
              </w:rPr>
              <w:t xml:space="preserve"> al </w:t>
            </w:r>
            <w:r w:rsidRPr="00517275">
              <w:rPr>
                <w:rFonts w:asciiTheme="minorHAnsi" w:hAnsiTheme="minorHAnsi"/>
                <w:b/>
                <w:sz w:val="24"/>
                <w:szCs w:val="24"/>
                <w:lang w:val="es-CL"/>
              </w:rPr>
              <w:t>Min. Des. Social</w:t>
            </w:r>
            <w:r>
              <w:rPr>
                <w:rFonts w:asciiTheme="minorHAnsi" w:hAnsiTheme="minorHAnsi"/>
                <w:sz w:val="24"/>
                <w:szCs w:val="24"/>
                <w:lang w:val="es-CL"/>
              </w:rPr>
              <w:t xml:space="preserve"> para que evalúe el inicio de la consulta en cumplimiento de los art. 2, 3, 4, 11 y 12, en especial del </w:t>
            </w:r>
            <w:r w:rsidRPr="000F1032">
              <w:rPr>
                <w:rFonts w:asciiTheme="minorHAnsi" w:hAnsiTheme="minorHAnsi"/>
                <w:b/>
                <w:sz w:val="24"/>
                <w:szCs w:val="24"/>
                <w:lang w:val="es-CL"/>
              </w:rPr>
              <w:t>art. 13 inciso primero</w:t>
            </w:r>
            <w:r>
              <w:rPr>
                <w:rFonts w:asciiTheme="minorHAnsi" w:hAnsiTheme="minorHAnsi"/>
                <w:sz w:val="24"/>
                <w:szCs w:val="24"/>
                <w:lang w:val="es-CL"/>
              </w:rPr>
              <w:t xml:space="preserve"> para que </w:t>
            </w:r>
            <w:r w:rsidR="008C5D7F">
              <w:rPr>
                <w:rFonts w:asciiTheme="minorHAnsi" w:hAnsiTheme="minorHAnsi"/>
                <w:b/>
                <w:sz w:val="24"/>
                <w:szCs w:val="24"/>
                <w:lang w:val="es-CL"/>
              </w:rPr>
              <w:t>dé inicio</w:t>
            </w:r>
            <w:r w:rsidRPr="000A3126">
              <w:rPr>
                <w:rFonts w:asciiTheme="minorHAnsi" w:hAnsiTheme="minorHAnsi"/>
                <w:b/>
                <w:sz w:val="24"/>
                <w:szCs w:val="24"/>
                <w:lang w:val="es-CL"/>
              </w:rPr>
              <w:t xml:space="preserve"> de oficio</w:t>
            </w:r>
            <w:r>
              <w:rPr>
                <w:rFonts w:asciiTheme="minorHAnsi" w:hAnsiTheme="minorHAnsi"/>
                <w:sz w:val="24"/>
                <w:szCs w:val="24"/>
                <w:lang w:val="es-CL"/>
              </w:rPr>
              <w:t xml:space="preserve"> el procedimiento de consulta</w:t>
            </w:r>
            <w:r w:rsidR="008C5D7F">
              <w:rPr>
                <w:rFonts w:asciiTheme="minorHAnsi" w:hAnsiTheme="minorHAnsi"/>
                <w:sz w:val="24"/>
                <w:szCs w:val="24"/>
                <w:lang w:val="es-CL"/>
              </w:rPr>
              <w:t>, en atención que el PDL si bien se inició por moción, se ingresó una indicación sustitutiva, lo cual presupone el patrocinio del Gobierno, con su consiguiente deber de dar cumplimiento al trámite de consulta indígena.</w:t>
            </w:r>
          </w:p>
          <w:p w14:paraId="7D904BC9" w14:textId="77777777" w:rsidR="000A3126" w:rsidRDefault="000A3126" w:rsidP="00517275">
            <w:pPr>
              <w:pStyle w:val="Prrafodelista"/>
              <w:numPr>
                <w:ilvl w:val="0"/>
                <w:numId w:val="17"/>
              </w:numPr>
              <w:jc w:val="both"/>
              <w:rPr>
                <w:rFonts w:asciiTheme="minorHAnsi" w:hAnsiTheme="minorHAnsi"/>
                <w:sz w:val="24"/>
                <w:szCs w:val="24"/>
                <w:lang w:val="es-CL"/>
              </w:rPr>
            </w:pPr>
            <w:r w:rsidRPr="00517275">
              <w:rPr>
                <w:rFonts w:asciiTheme="minorHAnsi" w:hAnsiTheme="minorHAnsi"/>
                <w:b/>
                <w:sz w:val="24"/>
                <w:szCs w:val="24"/>
                <w:lang w:val="es-CL"/>
              </w:rPr>
              <w:t>C)</w:t>
            </w:r>
            <w:r>
              <w:rPr>
                <w:rFonts w:asciiTheme="minorHAnsi" w:hAnsiTheme="minorHAnsi"/>
                <w:sz w:val="24"/>
                <w:szCs w:val="24"/>
                <w:lang w:val="es-CL"/>
              </w:rPr>
              <w:t xml:space="preserve"> </w:t>
            </w:r>
            <w:r w:rsidR="00DC6403" w:rsidRPr="00517275">
              <w:rPr>
                <w:rFonts w:asciiTheme="minorHAnsi" w:hAnsiTheme="minorHAnsi"/>
                <w:b/>
                <w:sz w:val="24"/>
                <w:szCs w:val="24"/>
                <w:lang w:val="es-CL"/>
              </w:rPr>
              <w:t>Comunicar</w:t>
            </w:r>
            <w:r w:rsidR="00DC6403">
              <w:rPr>
                <w:rFonts w:asciiTheme="minorHAnsi" w:hAnsiTheme="minorHAnsi"/>
                <w:sz w:val="24"/>
                <w:szCs w:val="24"/>
                <w:lang w:val="es-CL"/>
              </w:rPr>
              <w:t xml:space="preserve"> </w:t>
            </w:r>
            <w:r w:rsidR="00DC6403" w:rsidRPr="00517275">
              <w:rPr>
                <w:rFonts w:asciiTheme="minorHAnsi" w:hAnsiTheme="minorHAnsi"/>
                <w:b/>
                <w:sz w:val="24"/>
                <w:szCs w:val="24"/>
                <w:lang w:val="es-CL"/>
              </w:rPr>
              <w:t>a CONADI</w:t>
            </w:r>
            <w:r w:rsidR="00DC6403">
              <w:rPr>
                <w:rFonts w:asciiTheme="minorHAnsi" w:hAnsiTheme="minorHAnsi"/>
                <w:sz w:val="24"/>
                <w:szCs w:val="24"/>
                <w:lang w:val="es-CL"/>
              </w:rPr>
              <w:t xml:space="preserve"> que cuenta con la posibilidad de </w:t>
            </w:r>
            <w:r w:rsidR="00DC6403" w:rsidRPr="00DC6403">
              <w:rPr>
                <w:rFonts w:asciiTheme="minorHAnsi" w:hAnsiTheme="minorHAnsi"/>
                <w:b/>
                <w:sz w:val="24"/>
                <w:szCs w:val="24"/>
                <w:lang w:val="es-CL"/>
              </w:rPr>
              <w:t>solicitar</w:t>
            </w:r>
            <w:r w:rsidR="00DC6403">
              <w:rPr>
                <w:rFonts w:asciiTheme="minorHAnsi" w:hAnsiTheme="minorHAnsi"/>
                <w:b/>
                <w:sz w:val="24"/>
                <w:szCs w:val="24"/>
                <w:lang w:val="es-CL"/>
              </w:rPr>
              <w:t xml:space="preserve"> a </w:t>
            </w:r>
            <w:proofErr w:type="spellStart"/>
            <w:r w:rsidR="00DC6403">
              <w:rPr>
                <w:rFonts w:asciiTheme="minorHAnsi" w:hAnsiTheme="minorHAnsi"/>
                <w:b/>
                <w:sz w:val="24"/>
                <w:szCs w:val="24"/>
                <w:lang w:val="es-CL"/>
              </w:rPr>
              <w:t>Subs</w:t>
            </w:r>
            <w:proofErr w:type="spellEnd"/>
            <w:r w:rsidR="00DC6403">
              <w:rPr>
                <w:rFonts w:asciiTheme="minorHAnsi" w:hAnsiTheme="minorHAnsi"/>
                <w:b/>
                <w:sz w:val="24"/>
                <w:szCs w:val="24"/>
                <w:lang w:val="es-CL"/>
              </w:rPr>
              <w:t>. SS. Sociales</w:t>
            </w:r>
            <w:r>
              <w:rPr>
                <w:rFonts w:asciiTheme="minorHAnsi" w:hAnsiTheme="minorHAnsi"/>
                <w:b/>
                <w:sz w:val="24"/>
                <w:szCs w:val="24"/>
                <w:lang w:val="es-CL"/>
              </w:rPr>
              <w:t xml:space="preserve"> </w:t>
            </w:r>
            <w:r w:rsidRPr="000A3126">
              <w:rPr>
                <w:rFonts w:asciiTheme="minorHAnsi" w:hAnsiTheme="minorHAnsi"/>
                <w:b/>
                <w:sz w:val="24"/>
                <w:szCs w:val="24"/>
                <w:lang w:val="es-CL"/>
              </w:rPr>
              <w:t>se inicie</w:t>
            </w:r>
            <w:r>
              <w:rPr>
                <w:rFonts w:asciiTheme="minorHAnsi" w:hAnsiTheme="minorHAnsi"/>
                <w:sz w:val="24"/>
                <w:szCs w:val="24"/>
                <w:lang w:val="es-CL"/>
              </w:rPr>
              <w:t xml:space="preserve"> el procedimiento de consulta en virtud de la atribución que se le entrega a instituciones representativas en el art. </w:t>
            </w:r>
            <w:r w:rsidRPr="000A3126">
              <w:rPr>
                <w:rFonts w:asciiTheme="minorHAnsi" w:hAnsiTheme="minorHAnsi"/>
                <w:sz w:val="24"/>
                <w:szCs w:val="24"/>
                <w:lang w:val="es-CL"/>
              </w:rPr>
              <w:t>13 inciso segundo</w:t>
            </w:r>
            <w:r w:rsidR="00DC6403">
              <w:rPr>
                <w:rFonts w:asciiTheme="minorHAnsi" w:hAnsiTheme="minorHAnsi"/>
                <w:sz w:val="24"/>
                <w:szCs w:val="24"/>
                <w:lang w:val="es-CL"/>
              </w:rPr>
              <w:t>.</w:t>
            </w:r>
          </w:p>
          <w:p w14:paraId="72D50458" w14:textId="7156F0CB" w:rsidR="008C5D7F" w:rsidRPr="001E55B2" w:rsidRDefault="008C5D7F" w:rsidP="00517275">
            <w:pPr>
              <w:pStyle w:val="Prrafodelista"/>
              <w:numPr>
                <w:ilvl w:val="0"/>
                <w:numId w:val="17"/>
              </w:numPr>
              <w:jc w:val="both"/>
              <w:rPr>
                <w:rFonts w:asciiTheme="minorHAnsi" w:hAnsiTheme="minorHAnsi"/>
                <w:sz w:val="24"/>
                <w:szCs w:val="24"/>
                <w:lang w:val="es-CL"/>
              </w:rPr>
            </w:pPr>
            <w:r w:rsidRPr="00517275">
              <w:rPr>
                <w:rFonts w:asciiTheme="minorHAnsi" w:hAnsiTheme="minorHAnsi"/>
                <w:b/>
                <w:sz w:val="24"/>
                <w:szCs w:val="24"/>
                <w:lang w:val="es-CL"/>
              </w:rPr>
              <w:t>D)</w:t>
            </w:r>
            <w:r>
              <w:rPr>
                <w:rFonts w:asciiTheme="minorHAnsi" w:hAnsiTheme="minorHAnsi"/>
                <w:sz w:val="24"/>
                <w:szCs w:val="24"/>
                <w:lang w:val="es-CL"/>
              </w:rPr>
              <w:t xml:space="preserve"> </w:t>
            </w:r>
            <w:r w:rsidRPr="008C5D7F">
              <w:rPr>
                <w:rFonts w:asciiTheme="minorHAnsi" w:hAnsiTheme="minorHAnsi"/>
                <w:b/>
                <w:sz w:val="24"/>
                <w:szCs w:val="24"/>
                <w:lang w:val="es-CL"/>
              </w:rPr>
              <w:t>Proponer acordar la calificación del presente PDL como “susceptible de consulta”</w:t>
            </w:r>
            <w:r>
              <w:rPr>
                <w:rFonts w:asciiTheme="minorHAnsi" w:hAnsiTheme="minorHAnsi"/>
                <w:sz w:val="24"/>
                <w:szCs w:val="24"/>
                <w:lang w:val="es-CL"/>
              </w:rPr>
              <w:t xml:space="preserve"> y oficiar al Min. Des. Social para que dé inicio al cumplimiento de trámites necesarios para iniciar la consulta la brevedad.</w:t>
            </w:r>
          </w:p>
        </w:tc>
      </w:tr>
    </w:tbl>
    <w:p w14:paraId="4C1D1224" w14:textId="0791D0ED" w:rsidR="001E55B2" w:rsidRDefault="001E55B2" w:rsidP="00517275">
      <w:pPr>
        <w:jc w:val="both"/>
        <w:rPr>
          <w:rFonts w:asciiTheme="minorHAnsi" w:hAnsiTheme="minorHAnsi"/>
          <w:b/>
          <w:sz w:val="24"/>
          <w:szCs w:val="24"/>
          <w:lang w:val="es-CL"/>
        </w:rPr>
      </w:pPr>
      <w:r w:rsidRPr="008C5D7F">
        <w:rPr>
          <w:rFonts w:asciiTheme="minorHAnsi" w:hAnsiTheme="minorHAnsi"/>
          <w:b/>
          <w:sz w:val="24"/>
          <w:szCs w:val="24"/>
          <w:lang w:val="es-CL"/>
        </w:rPr>
        <w:t>Argumentos sobre la procedencia de la consulta indígena</w:t>
      </w:r>
    </w:p>
    <w:p w14:paraId="51F1C474" w14:textId="77777777" w:rsidR="008C5D7F" w:rsidRPr="008C5D7F" w:rsidRDefault="008C5D7F" w:rsidP="00517275">
      <w:pPr>
        <w:jc w:val="both"/>
        <w:rPr>
          <w:rFonts w:asciiTheme="minorHAnsi" w:hAnsiTheme="minorHAnsi"/>
          <w:b/>
          <w:sz w:val="24"/>
          <w:szCs w:val="24"/>
          <w:lang w:val="es-CL"/>
        </w:rPr>
      </w:pPr>
    </w:p>
    <w:p w14:paraId="2FD89CC4" w14:textId="04045497" w:rsidR="001E55B2" w:rsidRDefault="001E55B2" w:rsidP="00517275">
      <w:pPr>
        <w:pStyle w:val="Prrafodelista"/>
        <w:numPr>
          <w:ilvl w:val="0"/>
          <w:numId w:val="18"/>
        </w:numPr>
        <w:jc w:val="both"/>
        <w:rPr>
          <w:rFonts w:asciiTheme="minorHAnsi" w:hAnsiTheme="minorHAnsi"/>
          <w:sz w:val="24"/>
          <w:szCs w:val="24"/>
          <w:lang w:val="es-CL"/>
        </w:rPr>
      </w:pPr>
      <w:r>
        <w:rPr>
          <w:rFonts w:asciiTheme="minorHAnsi" w:hAnsiTheme="minorHAnsi"/>
          <w:sz w:val="24"/>
          <w:szCs w:val="24"/>
          <w:lang w:val="es-CL"/>
        </w:rPr>
        <w:t>El PDL “</w:t>
      </w:r>
      <w:r w:rsidRPr="00023DC0">
        <w:rPr>
          <w:rFonts w:asciiTheme="minorHAnsi" w:hAnsiTheme="minorHAnsi"/>
          <w:sz w:val="24"/>
          <w:szCs w:val="24"/>
          <w:lang w:val="es-CL"/>
        </w:rPr>
        <w:t>prevé medidas legislativas susceptibles de afectar directamente” a los pueblos indígenas</w:t>
      </w:r>
      <w:r w:rsidR="00517275">
        <w:rPr>
          <w:rFonts w:asciiTheme="minorHAnsi" w:hAnsiTheme="minorHAnsi"/>
          <w:sz w:val="24"/>
          <w:szCs w:val="24"/>
          <w:lang w:val="es-CL"/>
        </w:rPr>
        <w:t xml:space="preserve">, por ejemplo al incorporar la posibilidad de promover consumos no extractivos del agua (conservación u otra) en el </w:t>
      </w:r>
      <w:r w:rsidR="00517275" w:rsidRPr="00517275">
        <w:rPr>
          <w:rFonts w:asciiTheme="minorHAnsi" w:hAnsiTheme="minorHAnsi"/>
          <w:sz w:val="24"/>
          <w:szCs w:val="24"/>
          <w:lang w:val="es-CL"/>
        </w:rPr>
        <w:t>artículo 129 bis 1A/1B/1C</w:t>
      </w:r>
      <w:r w:rsidR="00517275">
        <w:rPr>
          <w:rFonts w:asciiTheme="minorHAnsi" w:hAnsiTheme="minorHAnsi"/>
          <w:sz w:val="24"/>
          <w:szCs w:val="24"/>
          <w:lang w:val="es-CL"/>
        </w:rPr>
        <w:t>; a disposiciones sobre a</w:t>
      </w:r>
      <w:r w:rsidR="00517275" w:rsidRPr="00517275">
        <w:rPr>
          <w:rFonts w:asciiTheme="minorHAnsi" w:hAnsiTheme="minorHAnsi"/>
          <w:sz w:val="24"/>
          <w:szCs w:val="24"/>
          <w:lang w:val="es-CL"/>
        </w:rPr>
        <w:t xml:space="preserve">gilizar tramitaciones relativas a </w:t>
      </w:r>
      <w:r w:rsidR="00517275">
        <w:rPr>
          <w:rFonts w:asciiTheme="minorHAnsi" w:hAnsiTheme="minorHAnsi"/>
          <w:sz w:val="24"/>
          <w:szCs w:val="24"/>
          <w:lang w:val="es-CL"/>
        </w:rPr>
        <w:t>Derecho de Aprovechamiento de Aguas (DAA)</w:t>
      </w:r>
      <w:r w:rsidR="00517275" w:rsidRPr="00517275">
        <w:rPr>
          <w:rFonts w:asciiTheme="minorHAnsi" w:hAnsiTheme="minorHAnsi"/>
          <w:sz w:val="24"/>
          <w:szCs w:val="24"/>
          <w:lang w:val="es-CL"/>
        </w:rPr>
        <w:t xml:space="preserve"> y obras hidráulicas</w:t>
      </w:r>
      <w:r w:rsidR="00517275">
        <w:rPr>
          <w:rFonts w:asciiTheme="minorHAnsi" w:hAnsiTheme="minorHAnsi"/>
          <w:sz w:val="24"/>
          <w:szCs w:val="24"/>
          <w:lang w:val="es-CL"/>
        </w:rPr>
        <w:t>, entre otras.</w:t>
      </w:r>
    </w:p>
    <w:p w14:paraId="2004B790" w14:textId="2D8F4734" w:rsidR="001E55B2" w:rsidRDefault="001E55B2" w:rsidP="00517275">
      <w:pPr>
        <w:pStyle w:val="Prrafodelista"/>
        <w:numPr>
          <w:ilvl w:val="0"/>
          <w:numId w:val="18"/>
        </w:numPr>
        <w:jc w:val="both"/>
        <w:rPr>
          <w:rFonts w:asciiTheme="minorHAnsi" w:hAnsiTheme="minorHAnsi"/>
          <w:sz w:val="24"/>
          <w:szCs w:val="24"/>
          <w:lang w:val="es-CL"/>
        </w:rPr>
      </w:pPr>
      <w:r w:rsidRPr="008C5D7F">
        <w:rPr>
          <w:rFonts w:asciiTheme="minorHAnsi" w:hAnsiTheme="minorHAnsi"/>
          <w:sz w:val="24"/>
          <w:szCs w:val="24"/>
          <w:u w:val="single"/>
          <w:lang w:val="es-CL"/>
        </w:rPr>
        <w:t>Convenio 169 OIT</w:t>
      </w:r>
      <w:r w:rsidR="00770B3E">
        <w:rPr>
          <w:rFonts w:asciiTheme="minorHAnsi" w:hAnsiTheme="minorHAnsi"/>
          <w:sz w:val="24"/>
          <w:szCs w:val="24"/>
          <w:lang w:val="es-CL"/>
        </w:rPr>
        <w:t xml:space="preserve"> (Tribunal Constitucional dice que es norma autoejecutable</w:t>
      </w:r>
      <w:r w:rsidR="00770B3E">
        <w:rPr>
          <w:rStyle w:val="Refdenotaalpie"/>
          <w:rFonts w:asciiTheme="minorHAnsi" w:hAnsiTheme="minorHAnsi"/>
          <w:sz w:val="24"/>
          <w:szCs w:val="24"/>
          <w:lang w:val="es-CL"/>
        </w:rPr>
        <w:footnoteReference w:id="1"/>
      </w:r>
      <w:r w:rsidR="00770B3E">
        <w:rPr>
          <w:rFonts w:asciiTheme="minorHAnsi" w:hAnsiTheme="minorHAnsi"/>
          <w:sz w:val="24"/>
          <w:szCs w:val="24"/>
          <w:lang w:val="es-CL"/>
        </w:rPr>
        <w:t>)</w:t>
      </w:r>
    </w:p>
    <w:p w14:paraId="54DF272A" w14:textId="10E6DBB1" w:rsidR="000A3126" w:rsidRDefault="008C5D7F" w:rsidP="00517275">
      <w:pPr>
        <w:pStyle w:val="Prrafodelista"/>
        <w:numPr>
          <w:ilvl w:val="1"/>
          <w:numId w:val="18"/>
        </w:numPr>
        <w:jc w:val="both"/>
        <w:rPr>
          <w:rFonts w:asciiTheme="minorHAnsi" w:hAnsiTheme="minorHAnsi"/>
          <w:sz w:val="24"/>
          <w:szCs w:val="24"/>
          <w:lang w:val="es-CL"/>
        </w:rPr>
      </w:pPr>
      <w:r>
        <w:rPr>
          <w:rFonts w:asciiTheme="minorHAnsi" w:hAnsiTheme="minorHAnsi"/>
          <w:sz w:val="24"/>
          <w:szCs w:val="24"/>
        </w:rPr>
        <w:t>Dispone</w:t>
      </w:r>
      <w:r w:rsidR="000A3126" w:rsidRPr="000A3126">
        <w:rPr>
          <w:rFonts w:asciiTheme="minorHAnsi" w:hAnsiTheme="minorHAnsi"/>
          <w:sz w:val="24"/>
          <w:szCs w:val="24"/>
        </w:rPr>
        <w:t xml:space="preserve"> como </w:t>
      </w:r>
      <w:r w:rsidR="000A3126" w:rsidRPr="008C5D7F">
        <w:rPr>
          <w:rFonts w:asciiTheme="minorHAnsi" w:hAnsiTheme="minorHAnsi"/>
          <w:b/>
          <w:sz w:val="24"/>
          <w:szCs w:val="24"/>
        </w:rPr>
        <w:t>principio general</w:t>
      </w:r>
      <w:r w:rsidR="000A3126" w:rsidRPr="000A3126">
        <w:rPr>
          <w:rFonts w:asciiTheme="minorHAnsi" w:hAnsiTheme="minorHAnsi"/>
          <w:sz w:val="24"/>
          <w:szCs w:val="24"/>
        </w:rPr>
        <w:t xml:space="preserve">, que </w:t>
      </w:r>
      <w:r w:rsidR="000A3126" w:rsidRPr="008C5D7F">
        <w:rPr>
          <w:rFonts w:asciiTheme="minorHAnsi" w:hAnsiTheme="minorHAnsi"/>
          <w:b/>
          <w:sz w:val="24"/>
          <w:szCs w:val="24"/>
        </w:rPr>
        <w:t>los pueblos indígenas tienen derecho «a los recursos naturales existentes en sus tierras»,</w:t>
      </w:r>
      <w:r w:rsidR="000A3126" w:rsidRPr="000A3126">
        <w:rPr>
          <w:rFonts w:asciiTheme="minorHAnsi" w:hAnsiTheme="minorHAnsi"/>
          <w:sz w:val="24"/>
          <w:szCs w:val="24"/>
        </w:rPr>
        <w:t xml:space="preserve"> que comprenden el derecho a «participar en la utilización, administración y conservación de dichos recursos»</w:t>
      </w:r>
      <w:r w:rsidR="00DC6403">
        <w:rPr>
          <w:rStyle w:val="Refdenotaalpie"/>
          <w:rFonts w:asciiTheme="minorHAnsi" w:hAnsiTheme="minorHAnsi"/>
          <w:sz w:val="24"/>
          <w:szCs w:val="24"/>
        </w:rPr>
        <w:footnoteReference w:id="2"/>
      </w:r>
    </w:p>
    <w:p w14:paraId="78397AB5" w14:textId="47131B71" w:rsidR="001E55B2" w:rsidRDefault="001E55B2" w:rsidP="00517275">
      <w:pPr>
        <w:pStyle w:val="Prrafodelista"/>
        <w:numPr>
          <w:ilvl w:val="1"/>
          <w:numId w:val="18"/>
        </w:numPr>
        <w:jc w:val="both"/>
        <w:rPr>
          <w:rFonts w:asciiTheme="minorHAnsi" w:hAnsiTheme="minorHAnsi"/>
          <w:sz w:val="24"/>
          <w:szCs w:val="24"/>
          <w:lang w:val="es-CL"/>
        </w:rPr>
      </w:pPr>
      <w:r w:rsidRPr="001E55B2">
        <w:rPr>
          <w:rFonts w:asciiTheme="minorHAnsi" w:hAnsiTheme="minorHAnsi"/>
          <w:sz w:val="24"/>
          <w:szCs w:val="24"/>
          <w:lang w:val="es-CL"/>
        </w:rPr>
        <w:t>Art. 25:</w:t>
      </w:r>
      <w:r w:rsidRPr="001E55B2">
        <w:t xml:space="preserve"> </w:t>
      </w:r>
      <w:r w:rsidRPr="001E55B2">
        <w:rPr>
          <w:rFonts w:asciiTheme="minorHAnsi" w:hAnsiTheme="minorHAnsi"/>
          <w:sz w:val="24"/>
          <w:szCs w:val="24"/>
          <w:lang w:val="es-CL"/>
        </w:rPr>
        <w:t xml:space="preserve">Los </w:t>
      </w:r>
      <w:r w:rsidRPr="001E55B2">
        <w:rPr>
          <w:rFonts w:asciiTheme="minorHAnsi" w:hAnsiTheme="minorHAnsi"/>
          <w:b/>
          <w:sz w:val="24"/>
          <w:szCs w:val="24"/>
          <w:lang w:val="es-CL"/>
        </w:rPr>
        <w:t>pueblos</w:t>
      </w:r>
      <w:r w:rsidRPr="001E55B2">
        <w:rPr>
          <w:rFonts w:asciiTheme="minorHAnsi" w:hAnsiTheme="minorHAnsi"/>
          <w:sz w:val="24"/>
          <w:szCs w:val="24"/>
          <w:lang w:val="es-CL"/>
        </w:rPr>
        <w:t xml:space="preserve"> indígenas tienen </w:t>
      </w:r>
      <w:r w:rsidRPr="001E55B2">
        <w:rPr>
          <w:rFonts w:asciiTheme="minorHAnsi" w:hAnsiTheme="minorHAnsi"/>
          <w:b/>
          <w:sz w:val="24"/>
          <w:szCs w:val="24"/>
          <w:lang w:val="es-CL"/>
        </w:rPr>
        <w:t>derecho a mantener y fortalecer</w:t>
      </w:r>
      <w:r w:rsidRPr="001E55B2">
        <w:rPr>
          <w:rFonts w:asciiTheme="minorHAnsi" w:hAnsiTheme="minorHAnsi"/>
          <w:sz w:val="24"/>
          <w:szCs w:val="24"/>
          <w:lang w:val="es-CL"/>
        </w:rPr>
        <w:t xml:space="preserve"> su propia relación</w:t>
      </w:r>
      <w:r>
        <w:rPr>
          <w:rFonts w:asciiTheme="minorHAnsi" w:hAnsiTheme="minorHAnsi"/>
          <w:sz w:val="24"/>
          <w:szCs w:val="24"/>
          <w:lang w:val="es-CL"/>
        </w:rPr>
        <w:t xml:space="preserve"> </w:t>
      </w:r>
      <w:r w:rsidRPr="001E55B2">
        <w:rPr>
          <w:rFonts w:asciiTheme="minorHAnsi" w:hAnsiTheme="minorHAnsi"/>
          <w:sz w:val="24"/>
          <w:szCs w:val="24"/>
          <w:lang w:val="es-CL"/>
        </w:rPr>
        <w:t xml:space="preserve">espiritual con </w:t>
      </w:r>
      <w:r>
        <w:rPr>
          <w:rFonts w:asciiTheme="minorHAnsi" w:hAnsiTheme="minorHAnsi"/>
          <w:sz w:val="24"/>
          <w:szCs w:val="24"/>
          <w:lang w:val="es-CL"/>
        </w:rPr>
        <w:t xml:space="preserve">las tierras, territorios, </w:t>
      </w:r>
      <w:r w:rsidRPr="001E55B2">
        <w:rPr>
          <w:rFonts w:asciiTheme="minorHAnsi" w:hAnsiTheme="minorHAnsi"/>
          <w:b/>
          <w:sz w:val="24"/>
          <w:szCs w:val="24"/>
          <w:lang w:val="es-CL"/>
        </w:rPr>
        <w:t>aguas</w:t>
      </w:r>
      <w:r>
        <w:rPr>
          <w:rFonts w:asciiTheme="minorHAnsi" w:hAnsiTheme="minorHAnsi"/>
          <w:sz w:val="24"/>
          <w:szCs w:val="24"/>
          <w:lang w:val="es-CL"/>
        </w:rPr>
        <w:t xml:space="preserve"> (…).</w:t>
      </w:r>
    </w:p>
    <w:p w14:paraId="431093EB" w14:textId="413DAFCD" w:rsidR="001E55B2" w:rsidRDefault="001E55B2" w:rsidP="00517275">
      <w:pPr>
        <w:pStyle w:val="Prrafodelista"/>
        <w:numPr>
          <w:ilvl w:val="1"/>
          <w:numId w:val="18"/>
        </w:numPr>
        <w:jc w:val="both"/>
        <w:rPr>
          <w:rFonts w:asciiTheme="minorHAnsi" w:hAnsiTheme="minorHAnsi"/>
          <w:sz w:val="24"/>
          <w:szCs w:val="24"/>
          <w:lang w:val="es-CL"/>
        </w:rPr>
      </w:pPr>
      <w:r>
        <w:rPr>
          <w:rFonts w:asciiTheme="minorHAnsi" w:hAnsiTheme="minorHAnsi"/>
          <w:sz w:val="24"/>
          <w:szCs w:val="24"/>
          <w:lang w:val="es-CL"/>
        </w:rPr>
        <w:t xml:space="preserve">Art. 32: </w:t>
      </w:r>
      <w:r w:rsidR="00770B3E" w:rsidRPr="00770B3E">
        <w:rPr>
          <w:rFonts w:asciiTheme="minorHAnsi" w:hAnsiTheme="minorHAnsi"/>
          <w:sz w:val="24"/>
          <w:szCs w:val="24"/>
          <w:lang w:val="es-CL"/>
        </w:rPr>
        <w:t xml:space="preserve">Los </w:t>
      </w:r>
      <w:r w:rsidR="00770B3E" w:rsidRPr="00770B3E">
        <w:rPr>
          <w:rFonts w:asciiTheme="minorHAnsi" w:hAnsiTheme="minorHAnsi"/>
          <w:b/>
          <w:sz w:val="24"/>
          <w:szCs w:val="24"/>
          <w:lang w:val="es-CL"/>
        </w:rPr>
        <w:t>Estados</w:t>
      </w:r>
      <w:r w:rsidR="00770B3E" w:rsidRPr="00770B3E">
        <w:rPr>
          <w:rFonts w:asciiTheme="minorHAnsi" w:hAnsiTheme="minorHAnsi"/>
          <w:sz w:val="24"/>
          <w:szCs w:val="24"/>
          <w:lang w:val="es-CL"/>
        </w:rPr>
        <w:t xml:space="preserve"> celebrarán consultas </w:t>
      </w:r>
      <w:r w:rsidR="00770B3E">
        <w:rPr>
          <w:rFonts w:asciiTheme="minorHAnsi" w:hAnsiTheme="minorHAnsi"/>
          <w:sz w:val="24"/>
          <w:szCs w:val="24"/>
          <w:lang w:val="es-CL"/>
        </w:rPr>
        <w:t>(…)</w:t>
      </w:r>
      <w:r w:rsidR="00770B3E" w:rsidRPr="00770B3E">
        <w:rPr>
          <w:rFonts w:asciiTheme="minorHAnsi" w:hAnsiTheme="minorHAnsi"/>
          <w:sz w:val="24"/>
          <w:szCs w:val="24"/>
          <w:lang w:val="es-CL"/>
        </w:rPr>
        <w:t xml:space="preserve"> con los pueblos </w:t>
      </w:r>
      <w:r w:rsidR="00770B3E">
        <w:rPr>
          <w:rFonts w:asciiTheme="minorHAnsi" w:hAnsiTheme="minorHAnsi"/>
          <w:sz w:val="24"/>
          <w:szCs w:val="24"/>
          <w:lang w:val="es-CL"/>
        </w:rPr>
        <w:t>(…) por</w:t>
      </w:r>
      <w:r w:rsidR="00770B3E" w:rsidRPr="00770B3E">
        <w:rPr>
          <w:rFonts w:asciiTheme="minorHAnsi" w:hAnsiTheme="minorHAnsi"/>
          <w:sz w:val="24"/>
          <w:szCs w:val="24"/>
          <w:lang w:val="es-CL"/>
        </w:rPr>
        <w:t xml:space="preserve"> conducto de sus propias instituciones representativas a fin de obtener su consentimiento libre e informado </w:t>
      </w:r>
      <w:r w:rsidR="00770B3E" w:rsidRPr="00770B3E">
        <w:rPr>
          <w:rFonts w:asciiTheme="minorHAnsi" w:hAnsiTheme="minorHAnsi"/>
          <w:b/>
          <w:sz w:val="24"/>
          <w:szCs w:val="24"/>
          <w:lang w:val="es-CL"/>
        </w:rPr>
        <w:t>antes de aprobar</w:t>
      </w:r>
      <w:r w:rsidR="00770B3E" w:rsidRPr="00770B3E">
        <w:rPr>
          <w:rFonts w:asciiTheme="minorHAnsi" w:hAnsiTheme="minorHAnsi"/>
          <w:sz w:val="24"/>
          <w:szCs w:val="24"/>
          <w:lang w:val="es-CL"/>
        </w:rPr>
        <w:t xml:space="preserve"> cualquier proyecto </w:t>
      </w:r>
      <w:r w:rsidR="00770B3E" w:rsidRPr="00770B3E">
        <w:rPr>
          <w:rFonts w:asciiTheme="minorHAnsi" w:hAnsiTheme="minorHAnsi"/>
          <w:b/>
          <w:sz w:val="24"/>
          <w:szCs w:val="24"/>
          <w:lang w:val="es-CL"/>
        </w:rPr>
        <w:t>que afecte a sus tierras</w:t>
      </w:r>
      <w:r w:rsidR="00770B3E" w:rsidRPr="00770B3E">
        <w:rPr>
          <w:rFonts w:asciiTheme="minorHAnsi" w:hAnsiTheme="minorHAnsi"/>
          <w:sz w:val="24"/>
          <w:szCs w:val="24"/>
          <w:lang w:val="es-CL"/>
        </w:rPr>
        <w:t xml:space="preserve"> o territorios y otros recursos, </w:t>
      </w:r>
      <w:r w:rsidR="00770B3E" w:rsidRPr="00770B3E">
        <w:rPr>
          <w:rFonts w:asciiTheme="minorHAnsi" w:hAnsiTheme="minorHAnsi"/>
          <w:b/>
          <w:sz w:val="24"/>
          <w:szCs w:val="24"/>
          <w:lang w:val="es-CL"/>
        </w:rPr>
        <w:t>particularmente</w:t>
      </w:r>
      <w:r w:rsidR="00770B3E" w:rsidRPr="00770B3E">
        <w:rPr>
          <w:rFonts w:asciiTheme="minorHAnsi" w:hAnsiTheme="minorHAnsi"/>
          <w:sz w:val="24"/>
          <w:szCs w:val="24"/>
          <w:lang w:val="es-CL"/>
        </w:rPr>
        <w:t xml:space="preserve"> en relación con el desarrollo, la utilización o la </w:t>
      </w:r>
      <w:r w:rsidR="00770B3E" w:rsidRPr="00770B3E">
        <w:rPr>
          <w:rFonts w:asciiTheme="minorHAnsi" w:hAnsiTheme="minorHAnsi"/>
          <w:b/>
          <w:sz w:val="24"/>
          <w:szCs w:val="24"/>
          <w:lang w:val="es-CL"/>
        </w:rPr>
        <w:t>explotación de recursos</w:t>
      </w:r>
      <w:r w:rsidR="00770B3E" w:rsidRPr="00770B3E">
        <w:rPr>
          <w:rFonts w:asciiTheme="minorHAnsi" w:hAnsiTheme="minorHAnsi"/>
          <w:sz w:val="24"/>
          <w:szCs w:val="24"/>
          <w:lang w:val="es-CL"/>
        </w:rPr>
        <w:t xml:space="preserve"> minerales, </w:t>
      </w:r>
      <w:r w:rsidR="00770B3E" w:rsidRPr="00770B3E">
        <w:rPr>
          <w:rFonts w:asciiTheme="minorHAnsi" w:hAnsiTheme="minorHAnsi"/>
          <w:b/>
          <w:sz w:val="24"/>
          <w:szCs w:val="24"/>
          <w:lang w:val="es-CL"/>
        </w:rPr>
        <w:t>hídricos</w:t>
      </w:r>
      <w:r w:rsidR="00770B3E" w:rsidRPr="00770B3E">
        <w:rPr>
          <w:rFonts w:asciiTheme="minorHAnsi" w:hAnsiTheme="minorHAnsi"/>
          <w:sz w:val="24"/>
          <w:szCs w:val="24"/>
          <w:lang w:val="es-CL"/>
        </w:rPr>
        <w:t xml:space="preserve"> o de otro tipo.</w:t>
      </w:r>
    </w:p>
    <w:p w14:paraId="29FF6EB3" w14:textId="0386D55E" w:rsidR="00023DC0" w:rsidRPr="00023DC0" w:rsidRDefault="001E55B2" w:rsidP="00517275">
      <w:pPr>
        <w:pStyle w:val="Prrafodelista"/>
        <w:numPr>
          <w:ilvl w:val="0"/>
          <w:numId w:val="18"/>
        </w:numPr>
        <w:jc w:val="both"/>
        <w:rPr>
          <w:rFonts w:asciiTheme="minorHAnsi" w:hAnsiTheme="minorHAnsi"/>
          <w:sz w:val="24"/>
          <w:szCs w:val="24"/>
        </w:rPr>
      </w:pPr>
      <w:r w:rsidRPr="008C5D7F">
        <w:rPr>
          <w:rFonts w:asciiTheme="minorHAnsi" w:hAnsiTheme="minorHAnsi"/>
          <w:sz w:val="24"/>
          <w:szCs w:val="24"/>
          <w:u w:val="single"/>
          <w:lang w:val="es-CL"/>
        </w:rPr>
        <w:t>DTO 66 – 2014 Min Des. Social</w:t>
      </w:r>
      <w:r w:rsidR="00023DC0" w:rsidRPr="00023DC0">
        <w:rPr>
          <w:rFonts w:asciiTheme="minorHAnsi" w:hAnsiTheme="minorHAnsi"/>
          <w:sz w:val="24"/>
          <w:szCs w:val="24"/>
        </w:rPr>
        <w:t xml:space="preserve"> </w:t>
      </w:r>
    </w:p>
    <w:p w14:paraId="64B13A50" w14:textId="3C046D49" w:rsidR="00770B3E" w:rsidRDefault="00770B3E" w:rsidP="00517275">
      <w:pPr>
        <w:pStyle w:val="Prrafodelista"/>
        <w:numPr>
          <w:ilvl w:val="1"/>
          <w:numId w:val="18"/>
        </w:numPr>
        <w:jc w:val="both"/>
        <w:rPr>
          <w:rFonts w:asciiTheme="minorHAnsi" w:hAnsiTheme="minorHAnsi"/>
          <w:sz w:val="24"/>
          <w:szCs w:val="24"/>
          <w:lang w:val="es-CL"/>
        </w:rPr>
      </w:pPr>
      <w:r>
        <w:rPr>
          <w:rFonts w:asciiTheme="minorHAnsi" w:hAnsiTheme="minorHAnsi"/>
          <w:sz w:val="24"/>
          <w:szCs w:val="24"/>
          <w:lang w:val="es-CL"/>
        </w:rPr>
        <w:t xml:space="preserve">Art. 2: </w:t>
      </w:r>
      <w:r w:rsidRPr="00770B3E">
        <w:rPr>
          <w:rFonts w:asciiTheme="minorHAnsi" w:hAnsiTheme="minorHAnsi"/>
          <w:sz w:val="24"/>
          <w:szCs w:val="24"/>
          <w:lang w:val="es-CL"/>
        </w:rPr>
        <w:t xml:space="preserve">La </w:t>
      </w:r>
      <w:r w:rsidRPr="00770B3E">
        <w:rPr>
          <w:rFonts w:asciiTheme="minorHAnsi" w:hAnsiTheme="minorHAnsi"/>
          <w:b/>
          <w:sz w:val="24"/>
          <w:szCs w:val="24"/>
          <w:lang w:val="es-CL"/>
        </w:rPr>
        <w:t>consulta es un deber de los órganos de la Administración</w:t>
      </w:r>
      <w:r>
        <w:rPr>
          <w:rFonts w:asciiTheme="minorHAnsi" w:hAnsiTheme="minorHAnsi"/>
          <w:sz w:val="24"/>
          <w:szCs w:val="24"/>
          <w:lang w:val="es-CL"/>
        </w:rPr>
        <w:t xml:space="preserve"> </w:t>
      </w:r>
      <w:r w:rsidRPr="00770B3E">
        <w:rPr>
          <w:rFonts w:asciiTheme="minorHAnsi" w:hAnsiTheme="minorHAnsi"/>
          <w:sz w:val="24"/>
          <w:szCs w:val="24"/>
          <w:lang w:val="es-CL"/>
        </w:rPr>
        <w:t>del Estado y un derecho de los pueblos indígenas susceptibles de ser afectados directamente por la adopción de medidas legislativas o administrativas</w:t>
      </w:r>
      <w:r>
        <w:rPr>
          <w:rFonts w:asciiTheme="minorHAnsi" w:hAnsiTheme="minorHAnsi"/>
          <w:sz w:val="24"/>
          <w:szCs w:val="24"/>
          <w:lang w:val="es-CL"/>
        </w:rPr>
        <w:t xml:space="preserve">. </w:t>
      </w:r>
    </w:p>
    <w:p w14:paraId="10E16995" w14:textId="366CA3E3" w:rsidR="00023DC0" w:rsidRDefault="00023DC0" w:rsidP="00517275">
      <w:pPr>
        <w:pStyle w:val="Prrafodelista"/>
        <w:numPr>
          <w:ilvl w:val="1"/>
          <w:numId w:val="18"/>
        </w:numPr>
        <w:jc w:val="both"/>
        <w:rPr>
          <w:rFonts w:asciiTheme="minorHAnsi" w:hAnsiTheme="minorHAnsi"/>
          <w:sz w:val="24"/>
          <w:szCs w:val="24"/>
          <w:lang w:val="es-CL"/>
        </w:rPr>
      </w:pPr>
      <w:r>
        <w:rPr>
          <w:rFonts w:asciiTheme="minorHAnsi" w:hAnsiTheme="minorHAnsi"/>
          <w:sz w:val="24"/>
          <w:szCs w:val="24"/>
          <w:lang w:val="es-CL"/>
        </w:rPr>
        <w:t xml:space="preserve">Art. 7: Son </w:t>
      </w:r>
      <w:r w:rsidRPr="00023DC0">
        <w:rPr>
          <w:rFonts w:asciiTheme="minorHAnsi" w:hAnsiTheme="minorHAnsi"/>
          <w:b/>
          <w:sz w:val="24"/>
          <w:szCs w:val="24"/>
          <w:lang w:val="es-CL"/>
        </w:rPr>
        <w:t>medidas susceptibles</w:t>
      </w:r>
      <w:r>
        <w:rPr>
          <w:rFonts w:asciiTheme="minorHAnsi" w:hAnsiTheme="minorHAnsi"/>
          <w:sz w:val="24"/>
          <w:szCs w:val="24"/>
          <w:lang w:val="es-CL"/>
        </w:rPr>
        <w:t xml:space="preserve"> de afecta a los pueblos, </w:t>
      </w:r>
      <w:r w:rsidRPr="00023DC0">
        <w:rPr>
          <w:rFonts w:asciiTheme="minorHAnsi" w:hAnsiTheme="minorHAnsi"/>
          <w:b/>
          <w:sz w:val="24"/>
          <w:szCs w:val="24"/>
          <w:lang w:val="es-CL"/>
        </w:rPr>
        <w:t>PDL</w:t>
      </w:r>
      <w:r>
        <w:rPr>
          <w:rFonts w:asciiTheme="minorHAnsi" w:hAnsiTheme="minorHAnsi"/>
          <w:sz w:val="24"/>
          <w:szCs w:val="24"/>
          <w:lang w:val="es-CL"/>
        </w:rPr>
        <w:t xml:space="preserve"> iniciados </w:t>
      </w:r>
      <w:r w:rsidRPr="00023DC0">
        <w:rPr>
          <w:rFonts w:asciiTheme="minorHAnsi" w:hAnsiTheme="minorHAnsi"/>
          <w:b/>
          <w:sz w:val="24"/>
          <w:szCs w:val="24"/>
          <w:lang w:val="es-CL"/>
        </w:rPr>
        <w:t>por mensaje o por la parte de éstos cuando sean causa directa de un impacto significativo</w:t>
      </w:r>
      <w:r w:rsidRPr="00023DC0">
        <w:rPr>
          <w:rFonts w:asciiTheme="minorHAnsi" w:hAnsiTheme="minorHAnsi"/>
          <w:sz w:val="24"/>
          <w:szCs w:val="24"/>
          <w:lang w:val="es-CL"/>
        </w:rPr>
        <w:t xml:space="preserve"> y específico sobre los pueblos</w:t>
      </w:r>
    </w:p>
    <w:p w14:paraId="48F798E5" w14:textId="4721E7F9" w:rsidR="000A3126" w:rsidRDefault="000A3126" w:rsidP="00517275">
      <w:pPr>
        <w:pStyle w:val="Prrafodelista"/>
        <w:numPr>
          <w:ilvl w:val="1"/>
          <w:numId w:val="18"/>
        </w:numPr>
        <w:jc w:val="both"/>
        <w:rPr>
          <w:rFonts w:asciiTheme="minorHAnsi" w:hAnsiTheme="minorHAnsi"/>
          <w:sz w:val="24"/>
          <w:szCs w:val="24"/>
          <w:lang w:val="es-CL"/>
        </w:rPr>
      </w:pPr>
      <w:r>
        <w:rPr>
          <w:rFonts w:asciiTheme="minorHAnsi" w:hAnsiTheme="minorHAnsi"/>
          <w:sz w:val="24"/>
          <w:szCs w:val="24"/>
          <w:lang w:val="es-CL"/>
        </w:rPr>
        <w:t>Art. 12 Responsable de la consulta: Min. Des. Social debe coordinar y ejecutar la consulta</w:t>
      </w:r>
    </w:p>
    <w:p w14:paraId="7637A53E" w14:textId="301F6DA1" w:rsidR="00023DC0" w:rsidRDefault="00023DC0" w:rsidP="00517275">
      <w:pPr>
        <w:pStyle w:val="Prrafodelista"/>
        <w:numPr>
          <w:ilvl w:val="1"/>
          <w:numId w:val="18"/>
        </w:numPr>
        <w:jc w:val="both"/>
        <w:rPr>
          <w:rFonts w:asciiTheme="minorHAnsi" w:hAnsiTheme="minorHAnsi"/>
          <w:sz w:val="24"/>
          <w:szCs w:val="24"/>
          <w:lang w:val="es-CL"/>
        </w:rPr>
      </w:pPr>
      <w:r>
        <w:rPr>
          <w:rFonts w:asciiTheme="minorHAnsi" w:hAnsiTheme="minorHAnsi"/>
          <w:sz w:val="24"/>
          <w:szCs w:val="24"/>
          <w:lang w:val="es-CL"/>
        </w:rPr>
        <w:t>Art. 13: Procedencia de la consulta, puede ser de oficio</w:t>
      </w:r>
      <w:r w:rsidR="008C5D7F">
        <w:rPr>
          <w:rFonts w:asciiTheme="minorHAnsi" w:hAnsiTheme="minorHAnsi"/>
          <w:sz w:val="24"/>
          <w:szCs w:val="24"/>
          <w:lang w:val="es-CL"/>
        </w:rPr>
        <w:t xml:space="preserve"> (por Min Des Social) o a petición (por CONADI por ej.)</w:t>
      </w:r>
      <w:r>
        <w:rPr>
          <w:rFonts w:asciiTheme="minorHAnsi" w:hAnsiTheme="minorHAnsi"/>
          <w:sz w:val="24"/>
          <w:szCs w:val="24"/>
          <w:lang w:val="es-CL"/>
        </w:rPr>
        <w:t xml:space="preserve"> </w:t>
      </w:r>
      <w:r w:rsidR="000A3126">
        <w:rPr>
          <w:rFonts w:asciiTheme="minorHAnsi" w:hAnsiTheme="minorHAnsi"/>
          <w:sz w:val="24"/>
          <w:szCs w:val="24"/>
          <w:lang w:val="es-CL"/>
        </w:rPr>
        <w:t xml:space="preserve">pidiendo informe a la </w:t>
      </w:r>
      <w:proofErr w:type="spellStart"/>
      <w:r w:rsidR="000A3126">
        <w:rPr>
          <w:rFonts w:asciiTheme="minorHAnsi" w:hAnsiTheme="minorHAnsi"/>
          <w:sz w:val="24"/>
          <w:szCs w:val="24"/>
          <w:lang w:val="es-CL"/>
        </w:rPr>
        <w:t>Subs</w:t>
      </w:r>
      <w:proofErr w:type="spellEnd"/>
      <w:r w:rsidR="000A3126">
        <w:rPr>
          <w:rFonts w:asciiTheme="minorHAnsi" w:hAnsiTheme="minorHAnsi"/>
          <w:sz w:val="24"/>
          <w:szCs w:val="24"/>
          <w:lang w:val="es-CL"/>
        </w:rPr>
        <w:t>. De SS. Sociales.</w:t>
      </w:r>
    </w:p>
    <w:p w14:paraId="1C159B37" w14:textId="40BD89D0" w:rsidR="00DC6403" w:rsidRPr="008C5D7F" w:rsidRDefault="00DC6403" w:rsidP="00517275">
      <w:pPr>
        <w:pStyle w:val="Prrafodelista"/>
        <w:numPr>
          <w:ilvl w:val="0"/>
          <w:numId w:val="18"/>
        </w:numPr>
        <w:jc w:val="both"/>
        <w:rPr>
          <w:rFonts w:asciiTheme="minorHAnsi" w:hAnsiTheme="minorHAnsi"/>
          <w:sz w:val="24"/>
          <w:szCs w:val="24"/>
          <w:u w:val="single"/>
          <w:lang w:val="es-CL"/>
        </w:rPr>
      </w:pPr>
      <w:r w:rsidRPr="008C5D7F">
        <w:rPr>
          <w:rFonts w:asciiTheme="minorHAnsi" w:hAnsiTheme="minorHAnsi"/>
          <w:sz w:val="24"/>
          <w:szCs w:val="24"/>
          <w:u w:val="single"/>
          <w:lang w:val="es-CL"/>
        </w:rPr>
        <w:t xml:space="preserve">Tribunal Constitucional </w:t>
      </w:r>
      <w:r w:rsidR="008C5D7F">
        <w:rPr>
          <w:rFonts w:asciiTheme="minorHAnsi" w:hAnsiTheme="minorHAnsi"/>
          <w:sz w:val="24"/>
          <w:szCs w:val="24"/>
          <w:u w:val="single"/>
          <w:lang w:val="es-CL"/>
        </w:rPr>
        <w:t xml:space="preserve"> </w:t>
      </w:r>
    </w:p>
    <w:p w14:paraId="03F04987" w14:textId="3B71985B" w:rsidR="00DC6403" w:rsidRDefault="00DC6403" w:rsidP="00517275">
      <w:pPr>
        <w:pStyle w:val="Prrafodelista"/>
        <w:numPr>
          <w:ilvl w:val="1"/>
          <w:numId w:val="18"/>
        </w:numPr>
        <w:jc w:val="both"/>
        <w:rPr>
          <w:rFonts w:asciiTheme="minorHAnsi" w:hAnsiTheme="minorHAnsi"/>
          <w:sz w:val="24"/>
          <w:szCs w:val="24"/>
          <w:lang w:val="es-CL"/>
        </w:rPr>
      </w:pPr>
      <w:r>
        <w:rPr>
          <w:rFonts w:asciiTheme="minorHAnsi" w:hAnsiTheme="minorHAnsi"/>
          <w:sz w:val="24"/>
          <w:szCs w:val="24"/>
          <w:lang w:val="es-CL"/>
        </w:rPr>
        <w:t xml:space="preserve">“(…) </w:t>
      </w:r>
      <w:r w:rsidRPr="00DC6403">
        <w:rPr>
          <w:rFonts w:asciiTheme="minorHAnsi" w:hAnsiTheme="minorHAnsi"/>
          <w:sz w:val="24"/>
          <w:szCs w:val="24"/>
          <w:lang w:val="es-CL"/>
        </w:rPr>
        <w:t>corresponde al Congreso Nacional, en uso de sus atribuciones propias, determinar qué asuntos legislativos deben ser calificados como medidas legislativas susceptibles de afectar directamente a algún pueblo originario</w:t>
      </w:r>
      <w:r>
        <w:rPr>
          <w:rFonts w:asciiTheme="minorHAnsi" w:hAnsiTheme="minorHAnsi"/>
          <w:sz w:val="24"/>
          <w:szCs w:val="24"/>
          <w:lang w:val="es-CL"/>
        </w:rPr>
        <w:t xml:space="preserve"> (…) </w:t>
      </w:r>
      <w:r w:rsidRPr="00DC6403">
        <w:rPr>
          <w:rFonts w:asciiTheme="minorHAnsi" w:hAnsiTheme="minorHAnsi"/>
          <w:sz w:val="24"/>
          <w:szCs w:val="24"/>
          <w:lang w:val="es-CL"/>
        </w:rPr>
        <w:t>deberá consultar a los pueblos interesados, y fijar, para ello, los procedimientos apropiados... en particular a través de sus organizaciones representativas</w:t>
      </w:r>
    </w:p>
    <w:p w14:paraId="2F609EA6" w14:textId="352DCA8C" w:rsidR="008C5D7F" w:rsidRPr="001E55B2" w:rsidRDefault="008C5D7F" w:rsidP="00517275">
      <w:pPr>
        <w:pStyle w:val="Prrafodelista"/>
        <w:numPr>
          <w:ilvl w:val="1"/>
          <w:numId w:val="18"/>
        </w:numPr>
        <w:jc w:val="both"/>
        <w:rPr>
          <w:rFonts w:asciiTheme="minorHAnsi" w:hAnsiTheme="minorHAnsi"/>
          <w:sz w:val="24"/>
          <w:szCs w:val="24"/>
          <w:lang w:val="es-CL"/>
        </w:rPr>
      </w:pPr>
      <w:r w:rsidRPr="00517275">
        <w:rPr>
          <w:rFonts w:asciiTheme="minorHAnsi" w:hAnsiTheme="minorHAnsi"/>
          <w:sz w:val="24"/>
          <w:szCs w:val="24"/>
          <w:lang w:val="es-CL"/>
        </w:rPr>
        <w:t>A pesar de lo anterior, no se ha determinado un procedimiento de calificación de materias susceptibles por el Congreso, sino que sólo por la Administración (DTO 66 – 2014 Min Des Social)</w:t>
      </w:r>
      <w:r>
        <w:rPr>
          <w:rStyle w:val="Refdenotaalpie"/>
          <w:rFonts w:asciiTheme="minorHAnsi" w:hAnsiTheme="minorHAnsi"/>
          <w:sz w:val="24"/>
          <w:szCs w:val="24"/>
          <w:lang w:val="es-CL"/>
        </w:rPr>
        <w:footnoteReference w:id="3"/>
      </w:r>
      <w:r w:rsidR="00517275">
        <w:rPr>
          <w:rFonts w:asciiTheme="minorHAnsi" w:hAnsiTheme="minorHAnsi"/>
          <w:sz w:val="24"/>
          <w:szCs w:val="24"/>
          <w:lang w:val="es-CL"/>
        </w:rPr>
        <w:t>.</w:t>
      </w:r>
    </w:p>
    <w:sectPr w:rsidR="008C5D7F" w:rsidRPr="001E55B2" w:rsidSect="00517275">
      <w:headerReference w:type="default" r:id="rId10"/>
      <w:footerReference w:type="default" r:id="rId11"/>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91D8E" w14:textId="77777777" w:rsidR="008603D3" w:rsidRDefault="008603D3" w:rsidP="001D380E">
      <w:r>
        <w:separator/>
      </w:r>
    </w:p>
  </w:endnote>
  <w:endnote w:type="continuationSeparator" w:id="0">
    <w:p w14:paraId="290BE717" w14:textId="77777777" w:rsidR="008603D3" w:rsidRDefault="008603D3" w:rsidP="001D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859905"/>
      <w:docPartObj>
        <w:docPartGallery w:val="Page Numbers (Bottom of Page)"/>
        <w:docPartUnique/>
      </w:docPartObj>
    </w:sdtPr>
    <w:sdtEndPr/>
    <w:sdtContent>
      <w:p w14:paraId="544ADFA7" w14:textId="6E9A17DE" w:rsidR="00BC00D5" w:rsidRDefault="00BC00D5">
        <w:pPr>
          <w:pStyle w:val="Piedepgina"/>
          <w:jc w:val="right"/>
        </w:pPr>
        <w:r>
          <w:fldChar w:fldCharType="begin"/>
        </w:r>
        <w:r>
          <w:instrText>PAGE   \* MERGEFORMAT</w:instrText>
        </w:r>
        <w:r>
          <w:fldChar w:fldCharType="separate"/>
        </w:r>
        <w:r w:rsidR="00803422" w:rsidRPr="00803422">
          <w:rPr>
            <w:noProof/>
            <w:lang w:val="es-ES"/>
          </w:rPr>
          <w:t>1</w:t>
        </w:r>
        <w:r>
          <w:fldChar w:fldCharType="end"/>
        </w:r>
      </w:p>
    </w:sdtContent>
  </w:sdt>
  <w:p w14:paraId="2C4BBBFE" w14:textId="77777777" w:rsidR="00BC00D5" w:rsidRDefault="00BC00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46208" w14:textId="77777777" w:rsidR="008603D3" w:rsidRDefault="008603D3" w:rsidP="001D380E">
      <w:r>
        <w:separator/>
      </w:r>
    </w:p>
  </w:footnote>
  <w:footnote w:type="continuationSeparator" w:id="0">
    <w:p w14:paraId="3DB94E10" w14:textId="77777777" w:rsidR="008603D3" w:rsidRDefault="008603D3" w:rsidP="001D380E">
      <w:r>
        <w:continuationSeparator/>
      </w:r>
    </w:p>
  </w:footnote>
  <w:footnote w:id="1">
    <w:p w14:paraId="6CAB585A" w14:textId="5CD14E2F" w:rsidR="00770B3E" w:rsidRDefault="00770B3E">
      <w:pPr>
        <w:pStyle w:val="Textonotapie"/>
      </w:pPr>
      <w:r>
        <w:rPr>
          <w:rStyle w:val="Refdenotaalpie"/>
        </w:rPr>
        <w:footnoteRef/>
      </w:r>
      <w:r>
        <w:t xml:space="preserve"> DS 66 – 2014 Min Desarrollo Social: STC</w:t>
      </w:r>
      <w:r w:rsidRPr="00770B3E">
        <w:t xml:space="preserve"> Nº 309, del año 2000, y Nº 1.050, del año 2008, el artículo 6 Nº 1 letra a) y Nº 2 del Convenio Nº 169 de la OIT</w:t>
      </w:r>
    </w:p>
  </w:footnote>
  <w:footnote w:id="2">
    <w:p w14:paraId="42E575A4" w14:textId="0EE9741C" w:rsidR="00DC6403" w:rsidRDefault="00DC6403">
      <w:pPr>
        <w:pStyle w:val="Textonotapie"/>
      </w:pPr>
      <w:r>
        <w:rPr>
          <w:rStyle w:val="Refdenotaalpie"/>
        </w:rPr>
        <w:footnoteRef/>
      </w:r>
      <w:r>
        <w:t xml:space="preserve"> Manual sobre aplicación Convenio 169 OIT </w:t>
      </w:r>
      <w:hyperlink r:id="rId1" w:history="1">
        <w:r>
          <w:rPr>
            <w:rStyle w:val="Hipervnculo"/>
          </w:rPr>
          <w:t>http://www.ilo.org/wcmsp5/groups/public/---</w:t>
        </w:r>
        <w:proofErr w:type="spellStart"/>
        <w:r>
          <w:rPr>
            <w:rStyle w:val="Hipervnculo"/>
          </w:rPr>
          <w:t>ed_norm</w:t>
        </w:r>
        <w:proofErr w:type="spellEnd"/>
        <w:r>
          <w:rPr>
            <w:rStyle w:val="Hipervnculo"/>
          </w:rPr>
          <w:t>/---normes/</w:t>
        </w:r>
        <w:proofErr w:type="spellStart"/>
        <w:r>
          <w:rPr>
            <w:rStyle w:val="Hipervnculo"/>
          </w:rPr>
          <w:t>documents</w:t>
        </w:r>
        <w:proofErr w:type="spellEnd"/>
        <w:r>
          <w:rPr>
            <w:rStyle w:val="Hipervnculo"/>
          </w:rPr>
          <w:t>/</w:t>
        </w:r>
        <w:proofErr w:type="spellStart"/>
        <w:r>
          <w:rPr>
            <w:rStyle w:val="Hipervnculo"/>
          </w:rPr>
          <w:t>publication</w:t>
        </w:r>
        <w:proofErr w:type="spellEnd"/>
        <w:r>
          <w:rPr>
            <w:rStyle w:val="Hipervnculo"/>
          </w:rPr>
          <w:t>/wcms_205230.pdf</w:t>
        </w:r>
      </w:hyperlink>
    </w:p>
  </w:footnote>
  <w:footnote w:id="3">
    <w:p w14:paraId="71A8874B" w14:textId="67CEE20D" w:rsidR="008C5D7F" w:rsidRDefault="008C5D7F">
      <w:pPr>
        <w:pStyle w:val="Textonotapie"/>
      </w:pPr>
      <w:r>
        <w:rPr>
          <w:rStyle w:val="Refdenotaalpie"/>
        </w:rPr>
        <w:footnoteRef/>
      </w:r>
      <w:r>
        <w:t xml:space="preserve"> “</w:t>
      </w:r>
      <w:r w:rsidRPr="008C5D7F">
        <w:t>Consulta previa indígena y proyectos de ley</w:t>
      </w:r>
      <w:r>
        <w:t>”, por Paco González a petición de BCN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F8700" w14:textId="4CFB2503" w:rsidR="001D380E" w:rsidRDefault="001D380E">
    <w:pPr>
      <w:pStyle w:val="Encabezado"/>
    </w:pPr>
  </w:p>
  <w:p w14:paraId="0C9B02AA" w14:textId="77777777" w:rsidR="001D380E" w:rsidRDefault="001D38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AB8"/>
    <w:multiLevelType w:val="hybridMultilevel"/>
    <w:tmpl w:val="76EE29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F50C9C"/>
    <w:multiLevelType w:val="hybridMultilevel"/>
    <w:tmpl w:val="51E0971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49E225A"/>
    <w:multiLevelType w:val="hybridMultilevel"/>
    <w:tmpl w:val="07243B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54C2C6C"/>
    <w:multiLevelType w:val="hybridMultilevel"/>
    <w:tmpl w:val="BFEEC1F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4A46137"/>
    <w:multiLevelType w:val="hybridMultilevel"/>
    <w:tmpl w:val="7868B86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4D072E2"/>
    <w:multiLevelType w:val="hybridMultilevel"/>
    <w:tmpl w:val="23C23B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B813B75"/>
    <w:multiLevelType w:val="hybridMultilevel"/>
    <w:tmpl w:val="D9CC01D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87A6C51"/>
    <w:multiLevelType w:val="hybridMultilevel"/>
    <w:tmpl w:val="92EAC516"/>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2D24408"/>
    <w:multiLevelType w:val="hybridMultilevel"/>
    <w:tmpl w:val="601EB9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91A1E63"/>
    <w:multiLevelType w:val="hybridMultilevel"/>
    <w:tmpl w:val="F8DA6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5F5639"/>
    <w:multiLevelType w:val="hybridMultilevel"/>
    <w:tmpl w:val="0E90E7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5986026"/>
    <w:multiLevelType w:val="hybridMultilevel"/>
    <w:tmpl w:val="A604861C"/>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2">
    <w:nsid w:val="5890620D"/>
    <w:multiLevelType w:val="hybridMultilevel"/>
    <w:tmpl w:val="CFE86D8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CE85AF5"/>
    <w:multiLevelType w:val="hybridMultilevel"/>
    <w:tmpl w:val="E148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8549B"/>
    <w:multiLevelType w:val="hybridMultilevel"/>
    <w:tmpl w:val="714A9A0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6B01606"/>
    <w:multiLevelType w:val="hybridMultilevel"/>
    <w:tmpl w:val="A5DA209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90B7456"/>
    <w:multiLevelType w:val="hybridMultilevel"/>
    <w:tmpl w:val="A02647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F302E88"/>
    <w:multiLevelType w:val="hybridMultilevel"/>
    <w:tmpl w:val="1A3842A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3"/>
  </w:num>
  <w:num w:numId="5">
    <w:abstractNumId w:val="8"/>
  </w:num>
  <w:num w:numId="6">
    <w:abstractNumId w:val="15"/>
  </w:num>
  <w:num w:numId="7">
    <w:abstractNumId w:val="17"/>
  </w:num>
  <w:num w:numId="8">
    <w:abstractNumId w:val="1"/>
  </w:num>
  <w:num w:numId="9">
    <w:abstractNumId w:val="6"/>
  </w:num>
  <w:num w:numId="10">
    <w:abstractNumId w:val="14"/>
  </w:num>
  <w:num w:numId="11">
    <w:abstractNumId w:val="2"/>
  </w:num>
  <w:num w:numId="12">
    <w:abstractNumId w:val="7"/>
  </w:num>
  <w:num w:numId="13">
    <w:abstractNumId w:val="12"/>
  </w:num>
  <w:num w:numId="14">
    <w:abstractNumId w:val="10"/>
  </w:num>
  <w:num w:numId="15">
    <w:abstractNumId w:val="11"/>
  </w:num>
  <w:num w:numId="16">
    <w:abstractNumId w:val="4"/>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0E"/>
    <w:rsid w:val="000005A9"/>
    <w:rsid w:val="00003658"/>
    <w:rsid w:val="00023DC0"/>
    <w:rsid w:val="000331F4"/>
    <w:rsid w:val="000775B8"/>
    <w:rsid w:val="000A3126"/>
    <w:rsid w:val="000A48E4"/>
    <w:rsid w:val="000C44F5"/>
    <w:rsid w:val="000F1032"/>
    <w:rsid w:val="00120EF1"/>
    <w:rsid w:val="0012395E"/>
    <w:rsid w:val="00156190"/>
    <w:rsid w:val="0017018C"/>
    <w:rsid w:val="001978B9"/>
    <w:rsid w:val="001A43E0"/>
    <w:rsid w:val="001D1543"/>
    <w:rsid w:val="001D23AD"/>
    <w:rsid w:val="001D380E"/>
    <w:rsid w:val="001E55B2"/>
    <w:rsid w:val="001F61EC"/>
    <w:rsid w:val="002317C1"/>
    <w:rsid w:val="002360D2"/>
    <w:rsid w:val="00250962"/>
    <w:rsid w:val="002547C8"/>
    <w:rsid w:val="00277F6A"/>
    <w:rsid w:val="002967FF"/>
    <w:rsid w:val="00297D78"/>
    <w:rsid w:val="002E030D"/>
    <w:rsid w:val="002E4B40"/>
    <w:rsid w:val="002F721C"/>
    <w:rsid w:val="0030223C"/>
    <w:rsid w:val="003038E1"/>
    <w:rsid w:val="003113A5"/>
    <w:rsid w:val="00315F8E"/>
    <w:rsid w:val="00326384"/>
    <w:rsid w:val="00354772"/>
    <w:rsid w:val="00374745"/>
    <w:rsid w:val="003A2E25"/>
    <w:rsid w:val="003A77DB"/>
    <w:rsid w:val="003C58CB"/>
    <w:rsid w:val="003C6646"/>
    <w:rsid w:val="004000CF"/>
    <w:rsid w:val="00405CF0"/>
    <w:rsid w:val="00441901"/>
    <w:rsid w:val="00450184"/>
    <w:rsid w:val="00465EF1"/>
    <w:rsid w:val="00492733"/>
    <w:rsid w:val="00493B32"/>
    <w:rsid w:val="004954C1"/>
    <w:rsid w:val="004A12E0"/>
    <w:rsid w:val="004A7C39"/>
    <w:rsid w:val="004B1429"/>
    <w:rsid w:val="004B3641"/>
    <w:rsid w:val="004D11AA"/>
    <w:rsid w:val="004E39DE"/>
    <w:rsid w:val="004E7F8C"/>
    <w:rsid w:val="005022CB"/>
    <w:rsid w:val="00512B8D"/>
    <w:rsid w:val="00517275"/>
    <w:rsid w:val="005346F3"/>
    <w:rsid w:val="005A0853"/>
    <w:rsid w:val="00600427"/>
    <w:rsid w:val="006372F8"/>
    <w:rsid w:val="00644D7F"/>
    <w:rsid w:val="00661A99"/>
    <w:rsid w:val="00675980"/>
    <w:rsid w:val="00695812"/>
    <w:rsid w:val="00696790"/>
    <w:rsid w:val="006B5E80"/>
    <w:rsid w:val="006E2778"/>
    <w:rsid w:val="006E68FF"/>
    <w:rsid w:val="007371BC"/>
    <w:rsid w:val="0075357F"/>
    <w:rsid w:val="00770B3E"/>
    <w:rsid w:val="007718D7"/>
    <w:rsid w:val="00776780"/>
    <w:rsid w:val="00776C68"/>
    <w:rsid w:val="007A261D"/>
    <w:rsid w:val="007B0F00"/>
    <w:rsid w:val="007E7B8F"/>
    <w:rsid w:val="007F0ECA"/>
    <w:rsid w:val="00803422"/>
    <w:rsid w:val="008356A8"/>
    <w:rsid w:val="008603D3"/>
    <w:rsid w:val="00860C28"/>
    <w:rsid w:val="00871C11"/>
    <w:rsid w:val="008725E6"/>
    <w:rsid w:val="008B233B"/>
    <w:rsid w:val="008B63B1"/>
    <w:rsid w:val="008C5D7F"/>
    <w:rsid w:val="008D7F56"/>
    <w:rsid w:val="008E0F92"/>
    <w:rsid w:val="009175CE"/>
    <w:rsid w:val="0093155D"/>
    <w:rsid w:val="00936CE5"/>
    <w:rsid w:val="00946ED3"/>
    <w:rsid w:val="00950EA9"/>
    <w:rsid w:val="00951703"/>
    <w:rsid w:val="00966870"/>
    <w:rsid w:val="009920A3"/>
    <w:rsid w:val="00994202"/>
    <w:rsid w:val="009B74A9"/>
    <w:rsid w:val="009D68E2"/>
    <w:rsid w:val="009F0B98"/>
    <w:rsid w:val="00A318A2"/>
    <w:rsid w:val="00A57949"/>
    <w:rsid w:val="00A61FBF"/>
    <w:rsid w:val="00AA413B"/>
    <w:rsid w:val="00AA6FBC"/>
    <w:rsid w:val="00B65799"/>
    <w:rsid w:val="00B812A5"/>
    <w:rsid w:val="00B90508"/>
    <w:rsid w:val="00B909A6"/>
    <w:rsid w:val="00B93F41"/>
    <w:rsid w:val="00BB4457"/>
    <w:rsid w:val="00BB6B6A"/>
    <w:rsid w:val="00BC00D5"/>
    <w:rsid w:val="00BE3DA0"/>
    <w:rsid w:val="00BF1E36"/>
    <w:rsid w:val="00C267A9"/>
    <w:rsid w:val="00C5166B"/>
    <w:rsid w:val="00C52984"/>
    <w:rsid w:val="00C777AB"/>
    <w:rsid w:val="00C87DB4"/>
    <w:rsid w:val="00CA0DF9"/>
    <w:rsid w:val="00CD7E2E"/>
    <w:rsid w:val="00CE4CC8"/>
    <w:rsid w:val="00CE71C9"/>
    <w:rsid w:val="00D147FB"/>
    <w:rsid w:val="00D419D7"/>
    <w:rsid w:val="00D556D2"/>
    <w:rsid w:val="00DA0799"/>
    <w:rsid w:val="00DC500D"/>
    <w:rsid w:val="00DC6403"/>
    <w:rsid w:val="00DF41C2"/>
    <w:rsid w:val="00E23AA4"/>
    <w:rsid w:val="00E3536A"/>
    <w:rsid w:val="00E71A7D"/>
    <w:rsid w:val="00EA6718"/>
    <w:rsid w:val="00EB02B8"/>
    <w:rsid w:val="00EC72FE"/>
    <w:rsid w:val="00ED22FB"/>
    <w:rsid w:val="00F15690"/>
    <w:rsid w:val="00F204EA"/>
    <w:rsid w:val="00F57426"/>
    <w:rsid w:val="00F60F1F"/>
    <w:rsid w:val="00F77ACB"/>
    <w:rsid w:val="00F9603D"/>
    <w:rsid w:val="00FB34D3"/>
    <w:rsid w:val="00FF6F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4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0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380E"/>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1D380E"/>
  </w:style>
  <w:style w:type="paragraph" w:styleId="Piedepgina">
    <w:name w:val="footer"/>
    <w:basedOn w:val="Normal"/>
    <w:link w:val="PiedepginaCar"/>
    <w:uiPriority w:val="99"/>
    <w:unhideWhenUsed/>
    <w:rsid w:val="001D380E"/>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1D380E"/>
  </w:style>
  <w:style w:type="paragraph" w:styleId="Textodeglobo">
    <w:name w:val="Balloon Text"/>
    <w:basedOn w:val="Normal"/>
    <w:link w:val="TextodegloboCar"/>
    <w:uiPriority w:val="99"/>
    <w:semiHidden/>
    <w:unhideWhenUsed/>
    <w:rsid w:val="001D380E"/>
    <w:rPr>
      <w:rFonts w:ascii="Tahoma" w:eastAsiaTheme="minorHAnsi" w:hAnsi="Tahoma" w:cs="Tahoma"/>
      <w:sz w:val="16"/>
      <w:szCs w:val="16"/>
      <w:lang w:val="es-CL" w:eastAsia="en-US"/>
    </w:rPr>
  </w:style>
  <w:style w:type="character" w:customStyle="1" w:styleId="TextodegloboCar">
    <w:name w:val="Texto de globo Car"/>
    <w:basedOn w:val="Fuentedeprrafopredeter"/>
    <w:link w:val="Textodeglobo"/>
    <w:uiPriority w:val="99"/>
    <w:semiHidden/>
    <w:rsid w:val="001D380E"/>
    <w:rPr>
      <w:rFonts w:ascii="Tahoma" w:hAnsi="Tahoma" w:cs="Tahoma"/>
      <w:sz w:val="16"/>
      <w:szCs w:val="16"/>
    </w:rPr>
  </w:style>
  <w:style w:type="paragraph" w:styleId="Sinespaciado">
    <w:name w:val="No Spacing"/>
    <w:uiPriority w:val="1"/>
    <w:qFormat/>
    <w:rsid w:val="001D380E"/>
    <w:pPr>
      <w:spacing w:after="0" w:line="240" w:lineRule="auto"/>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1D380E"/>
    <w:rPr>
      <w:sz w:val="16"/>
      <w:szCs w:val="16"/>
    </w:rPr>
  </w:style>
  <w:style w:type="paragraph" w:styleId="Textocomentario">
    <w:name w:val="annotation text"/>
    <w:basedOn w:val="Normal"/>
    <w:link w:val="TextocomentarioCar"/>
    <w:uiPriority w:val="99"/>
    <w:unhideWhenUsed/>
    <w:rsid w:val="001D380E"/>
  </w:style>
  <w:style w:type="character" w:customStyle="1" w:styleId="TextocomentarioCar">
    <w:name w:val="Texto comentario Car"/>
    <w:basedOn w:val="Fuentedeprrafopredeter"/>
    <w:link w:val="Textocomentario"/>
    <w:uiPriority w:val="99"/>
    <w:rsid w:val="001D380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D380E"/>
    <w:rPr>
      <w:b/>
      <w:bCs/>
    </w:rPr>
  </w:style>
  <w:style w:type="character" w:customStyle="1" w:styleId="AsuntodelcomentarioCar">
    <w:name w:val="Asunto del comentario Car"/>
    <w:basedOn w:val="TextocomentarioCar"/>
    <w:link w:val="Asuntodelcomentario"/>
    <w:uiPriority w:val="99"/>
    <w:semiHidden/>
    <w:rsid w:val="001D380E"/>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003658"/>
    <w:pPr>
      <w:ind w:left="720"/>
      <w:contextualSpacing/>
    </w:pPr>
  </w:style>
  <w:style w:type="character" w:styleId="Hipervnculo">
    <w:name w:val="Hyperlink"/>
    <w:basedOn w:val="Fuentedeprrafopredeter"/>
    <w:uiPriority w:val="99"/>
    <w:unhideWhenUsed/>
    <w:rsid w:val="00950EA9"/>
    <w:rPr>
      <w:color w:val="0000FF" w:themeColor="hyperlink"/>
      <w:u w:val="single"/>
    </w:rPr>
  </w:style>
  <w:style w:type="table" w:styleId="Tablaconcuadrcula">
    <w:name w:val="Table Grid"/>
    <w:basedOn w:val="Tablanormal"/>
    <w:uiPriority w:val="59"/>
    <w:rsid w:val="00C5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A0799"/>
    <w:pPr>
      <w:spacing w:after="0" w:line="240" w:lineRule="auto"/>
    </w:pPr>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770B3E"/>
  </w:style>
  <w:style w:type="character" w:customStyle="1" w:styleId="TextonotapieCar">
    <w:name w:val="Texto nota pie Car"/>
    <w:basedOn w:val="Fuentedeprrafopredeter"/>
    <w:link w:val="Textonotapie"/>
    <w:uiPriority w:val="99"/>
    <w:semiHidden/>
    <w:rsid w:val="00770B3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770B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0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380E"/>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1D380E"/>
  </w:style>
  <w:style w:type="paragraph" w:styleId="Piedepgina">
    <w:name w:val="footer"/>
    <w:basedOn w:val="Normal"/>
    <w:link w:val="PiedepginaCar"/>
    <w:uiPriority w:val="99"/>
    <w:unhideWhenUsed/>
    <w:rsid w:val="001D380E"/>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1D380E"/>
  </w:style>
  <w:style w:type="paragraph" w:styleId="Textodeglobo">
    <w:name w:val="Balloon Text"/>
    <w:basedOn w:val="Normal"/>
    <w:link w:val="TextodegloboCar"/>
    <w:uiPriority w:val="99"/>
    <w:semiHidden/>
    <w:unhideWhenUsed/>
    <w:rsid w:val="001D380E"/>
    <w:rPr>
      <w:rFonts w:ascii="Tahoma" w:eastAsiaTheme="minorHAnsi" w:hAnsi="Tahoma" w:cs="Tahoma"/>
      <w:sz w:val="16"/>
      <w:szCs w:val="16"/>
      <w:lang w:val="es-CL" w:eastAsia="en-US"/>
    </w:rPr>
  </w:style>
  <w:style w:type="character" w:customStyle="1" w:styleId="TextodegloboCar">
    <w:name w:val="Texto de globo Car"/>
    <w:basedOn w:val="Fuentedeprrafopredeter"/>
    <w:link w:val="Textodeglobo"/>
    <w:uiPriority w:val="99"/>
    <w:semiHidden/>
    <w:rsid w:val="001D380E"/>
    <w:rPr>
      <w:rFonts w:ascii="Tahoma" w:hAnsi="Tahoma" w:cs="Tahoma"/>
      <w:sz w:val="16"/>
      <w:szCs w:val="16"/>
    </w:rPr>
  </w:style>
  <w:style w:type="paragraph" w:styleId="Sinespaciado">
    <w:name w:val="No Spacing"/>
    <w:uiPriority w:val="1"/>
    <w:qFormat/>
    <w:rsid w:val="001D380E"/>
    <w:pPr>
      <w:spacing w:after="0" w:line="240" w:lineRule="auto"/>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1D380E"/>
    <w:rPr>
      <w:sz w:val="16"/>
      <w:szCs w:val="16"/>
    </w:rPr>
  </w:style>
  <w:style w:type="paragraph" w:styleId="Textocomentario">
    <w:name w:val="annotation text"/>
    <w:basedOn w:val="Normal"/>
    <w:link w:val="TextocomentarioCar"/>
    <w:uiPriority w:val="99"/>
    <w:unhideWhenUsed/>
    <w:rsid w:val="001D380E"/>
  </w:style>
  <w:style w:type="character" w:customStyle="1" w:styleId="TextocomentarioCar">
    <w:name w:val="Texto comentario Car"/>
    <w:basedOn w:val="Fuentedeprrafopredeter"/>
    <w:link w:val="Textocomentario"/>
    <w:uiPriority w:val="99"/>
    <w:rsid w:val="001D380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D380E"/>
    <w:rPr>
      <w:b/>
      <w:bCs/>
    </w:rPr>
  </w:style>
  <w:style w:type="character" w:customStyle="1" w:styleId="AsuntodelcomentarioCar">
    <w:name w:val="Asunto del comentario Car"/>
    <w:basedOn w:val="TextocomentarioCar"/>
    <w:link w:val="Asuntodelcomentario"/>
    <w:uiPriority w:val="99"/>
    <w:semiHidden/>
    <w:rsid w:val="001D380E"/>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003658"/>
    <w:pPr>
      <w:ind w:left="720"/>
      <w:contextualSpacing/>
    </w:pPr>
  </w:style>
  <w:style w:type="character" w:styleId="Hipervnculo">
    <w:name w:val="Hyperlink"/>
    <w:basedOn w:val="Fuentedeprrafopredeter"/>
    <w:uiPriority w:val="99"/>
    <w:unhideWhenUsed/>
    <w:rsid w:val="00950EA9"/>
    <w:rPr>
      <w:color w:val="0000FF" w:themeColor="hyperlink"/>
      <w:u w:val="single"/>
    </w:rPr>
  </w:style>
  <w:style w:type="table" w:styleId="Tablaconcuadrcula">
    <w:name w:val="Table Grid"/>
    <w:basedOn w:val="Tablanormal"/>
    <w:uiPriority w:val="59"/>
    <w:rsid w:val="00C5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A0799"/>
    <w:pPr>
      <w:spacing w:after="0" w:line="240" w:lineRule="auto"/>
    </w:pPr>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770B3E"/>
  </w:style>
  <w:style w:type="character" w:customStyle="1" w:styleId="TextonotapieCar">
    <w:name w:val="Texto nota pie Car"/>
    <w:basedOn w:val="Fuentedeprrafopredeter"/>
    <w:link w:val="Textonotapie"/>
    <w:uiPriority w:val="99"/>
    <w:semiHidden/>
    <w:rsid w:val="00770B3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770B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27259">
      <w:bodyDiv w:val="1"/>
      <w:marLeft w:val="0"/>
      <w:marRight w:val="0"/>
      <w:marTop w:val="0"/>
      <w:marBottom w:val="0"/>
      <w:divBdr>
        <w:top w:val="none" w:sz="0" w:space="0" w:color="auto"/>
        <w:left w:val="none" w:sz="0" w:space="0" w:color="auto"/>
        <w:bottom w:val="none" w:sz="0" w:space="0" w:color="auto"/>
        <w:right w:val="none" w:sz="0" w:space="0" w:color="auto"/>
      </w:divBdr>
    </w:div>
    <w:div w:id="19047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nmardon@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lo.org/wcmsp5/groups/public/---ed_norm/---normes/documents/publication/wcms_20523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83EA-B418-458C-96C1-5AEF2008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4499</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Comite Político</cp:lastModifiedBy>
  <cp:revision>2</cp:revision>
  <cp:lastPrinted>2016-03-18T20:27:00Z</cp:lastPrinted>
  <dcterms:created xsi:type="dcterms:W3CDTF">2019-05-07T15:35:00Z</dcterms:created>
  <dcterms:modified xsi:type="dcterms:W3CDTF">2019-05-07T15:35:00Z</dcterms:modified>
</cp:coreProperties>
</file>