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516B" w14:textId="34F4CC2C" w:rsidR="008B3CEE" w:rsidRPr="008B3CEE" w:rsidRDefault="008B3CEE" w:rsidP="00E44745">
      <w:pPr>
        <w:spacing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8B3CEE">
        <w:rPr>
          <w:rFonts w:ascii="Book Antiqua" w:hAnsi="Book Antiqua"/>
          <w:b/>
          <w:bCs/>
          <w:sz w:val="28"/>
          <w:szCs w:val="28"/>
        </w:rPr>
        <w:t>MINUTA</w:t>
      </w:r>
    </w:p>
    <w:p w14:paraId="4639D7D3" w14:textId="63A9AC2D" w:rsidR="008B3CEE" w:rsidRDefault="008B3CEE" w:rsidP="00E44745">
      <w:pPr>
        <w:spacing w:line="360" w:lineRule="auto"/>
        <w:jc w:val="center"/>
        <w:rPr>
          <w:rFonts w:ascii="Book Antiqua" w:hAnsi="Book Antiqua"/>
          <w:b/>
          <w:bCs/>
        </w:rPr>
      </w:pPr>
      <w:r w:rsidRPr="008B3CEE">
        <w:rPr>
          <w:rFonts w:ascii="Book Antiqua" w:hAnsi="Book Antiqua"/>
          <w:b/>
          <w:bCs/>
        </w:rPr>
        <w:t>PROYECTO DE LEY PARA CADUCAR CONCESIONES SANITARIAS QUE INCUMPLAN GRAVEMENTE.</w:t>
      </w:r>
    </w:p>
    <w:p w14:paraId="7F3F166E" w14:textId="77777777" w:rsidR="000751D9" w:rsidRDefault="000751D9" w:rsidP="00E44745">
      <w:pPr>
        <w:spacing w:line="360" w:lineRule="auto"/>
        <w:jc w:val="center"/>
        <w:rPr>
          <w:rFonts w:ascii="Book Antiqua" w:hAnsi="Book Antiqua"/>
          <w:b/>
          <w:bCs/>
        </w:rPr>
      </w:pPr>
    </w:p>
    <w:p w14:paraId="4781BC89" w14:textId="7DFC2336" w:rsidR="008B3CEE" w:rsidRPr="00E44745" w:rsidRDefault="008B3CEE" w:rsidP="00E44745">
      <w:pPr>
        <w:pStyle w:val="Prrafodelista"/>
        <w:numPr>
          <w:ilvl w:val="0"/>
          <w:numId w:val="2"/>
        </w:num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Contingencia nacional:</w:t>
      </w:r>
    </w:p>
    <w:p w14:paraId="4CDFBA83" w14:textId="406E9B37" w:rsidR="00E44745" w:rsidRPr="000751D9" w:rsidRDefault="00E44745" w:rsidP="00E44745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El jueves 11 de julio el Municipio de Osorno confirma la suspensión de clases para jueves y viernes en todos los establecimientos educacionales del radio urbano de la comuna, por la eventual contaminación de agua potable. </w:t>
      </w:r>
    </w:p>
    <w:p w14:paraId="6E45750E" w14:textId="70427C7C" w:rsidR="000751D9" w:rsidRPr="008B3CEE" w:rsidRDefault="000751D9" w:rsidP="000751D9">
      <w:pPr>
        <w:pStyle w:val="Prrafodelista"/>
        <w:spacing w:line="360" w:lineRule="auto"/>
        <w:ind w:left="108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A la fecha van:</w:t>
      </w:r>
    </w:p>
    <w:p w14:paraId="33995BB6" w14:textId="340BB315" w:rsidR="008B3CEE" w:rsidRPr="00E44745" w:rsidRDefault="008B3CEE" w:rsidP="00E44745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Mas de 48.000 viviendas afectadas. </w:t>
      </w:r>
    </w:p>
    <w:p w14:paraId="3FE1F65C" w14:textId="4DA0DD34" w:rsidR="00E44745" w:rsidRPr="008B3CEE" w:rsidRDefault="00E44745" w:rsidP="00E44745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Mas de 180 mil personas afectadas.</w:t>
      </w:r>
    </w:p>
    <w:p w14:paraId="52D094AA" w14:textId="57A5E7B4" w:rsidR="008B3CEE" w:rsidRPr="00E44745" w:rsidRDefault="008B3CEE" w:rsidP="00E44745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Mas de 1.100 litros de hidrocarburos vertidos en el agua. </w:t>
      </w:r>
    </w:p>
    <w:p w14:paraId="296A9460" w14:textId="29DB01F5" w:rsidR="00E44745" w:rsidRPr="00E44745" w:rsidRDefault="00E44745" w:rsidP="00E44745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El 15 de julio el MINSAL decreta alerta Sanitaria. Falta la publicación en el Diario Oficial para que surja efectos. </w:t>
      </w:r>
    </w:p>
    <w:p w14:paraId="1A6E7C82" w14:textId="77777777" w:rsidR="00E44745" w:rsidRPr="00E44745" w:rsidRDefault="008B3CEE" w:rsidP="00E44745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Hasta el 16 de julio cuando se produce el primer periodo de ventana, la población detecta que el agua es de color </w:t>
      </w:r>
      <w:r w:rsidR="00E44745">
        <w:rPr>
          <w:rFonts w:ascii="Book Antiqua" w:hAnsi="Book Antiqua"/>
        </w:rPr>
        <w:t>celeste. La SEREMI de salud decide tomar muestras preliminares para esclarecer la procedencia.</w:t>
      </w:r>
    </w:p>
    <w:p w14:paraId="1120721D" w14:textId="717A092E" w:rsidR="008B3CEE" w:rsidRPr="00E44745" w:rsidRDefault="00E44745" w:rsidP="00E44745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Essal declara que la responsabilidad corresponde a un operador que “dejo abierta la llave de paso de petróleo con la que se abastece el grupo eléctrico de la planta Calpulli”.  </w:t>
      </w:r>
      <w:r w:rsidR="008B3CEE">
        <w:rPr>
          <w:rFonts w:ascii="Book Antiqua" w:hAnsi="Book Antiqua"/>
        </w:rPr>
        <w:t xml:space="preserve"> </w:t>
      </w:r>
    </w:p>
    <w:p w14:paraId="71BF203F" w14:textId="1E2EA1A6" w:rsidR="00E44745" w:rsidRPr="00E44745" w:rsidRDefault="00E44745" w:rsidP="00E44745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El ministro de economía solicita compensaciones a los usuarios. </w:t>
      </w:r>
    </w:p>
    <w:p w14:paraId="1F28F838" w14:textId="5D6E748C" w:rsidR="00E44745" w:rsidRPr="008B3CEE" w:rsidRDefault="00E44745" w:rsidP="00E44745">
      <w:pPr>
        <w:pStyle w:val="Prrafodelista"/>
        <w:spacing w:line="360" w:lineRule="auto"/>
        <w:ind w:left="1080"/>
        <w:rPr>
          <w:rFonts w:ascii="Book Antiqua" w:hAnsi="Book Antiqua"/>
          <w:b/>
          <w:bCs/>
        </w:rPr>
      </w:pPr>
    </w:p>
    <w:p w14:paraId="0C68F1CE" w14:textId="77777777" w:rsidR="000751D9" w:rsidRDefault="008B3CEE" w:rsidP="000751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0751D9">
        <w:rPr>
          <w:rFonts w:ascii="Book Antiqua" w:hAnsi="Book Antiqua"/>
        </w:rPr>
        <w:t>Facultades de la Superintendencia de Servicios Sanitarios</w:t>
      </w:r>
    </w:p>
    <w:p w14:paraId="1000959E" w14:textId="19D0DBBF" w:rsidR="008D6512" w:rsidRPr="000751D9" w:rsidRDefault="008D6512" w:rsidP="000751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</w:rPr>
      </w:pPr>
      <w:r w:rsidRPr="000751D9">
        <w:rPr>
          <w:rFonts w:ascii="Book Antiqua" w:hAnsi="Book Antiqua"/>
        </w:rPr>
        <w:t xml:space="preserve">La Ley </w:t>
      </w:r>
      <w:r w:rsidR="00AE48CB">
        <w:rPr>
          <w:rFonts w:ascii="Book Antiqua" w:hAnsi="Book Antiqua"/>
        </w:rPr>
        <w:t>18.902 que crea la Superintendencia de Servicios Sanitarios, señala:</w:t>
      </w:r>
    </w:p>
    <w:p w14:paraId="7F3031DE" w14:textId="219FB206" w:rsidR="008D6512" w:rsidRPr="00AE48CB" w:rsidRDefault="008D6512" w:rsidP="00AE48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E48CB">
        <w:rPr>
          <w:rFonts w:ascii="Book Antiqua" w:hAnsi="Book Antiqua"/>
        </w:rPr>
        <w:t xml:space="preserve">El artículo 2 </w:t>
      </w:r>
      <w:r w:rsidR="00AE48CB">
        <w:rPr>
          <w:rFonts w:ascii="Book Antiqua" w:hAnsi="Book Antiqua"/>
        </w:rPr>
        <w:t xml:space="preserve">indica </w:t>
      </w:r>
      <w:r w:rsidRPr="00AE48CB">
        <w:rPr>
          <w:rFonts w:ascii="Book Antiqua" w:hAnsi="Book Antiqua"/>
        </w:rPr>
        <w:t xml:space="preserve">que dentro de sus facultades esta la </w:t>
      </w:r>
      <w:r w:rsidRPr="00AE48CB">
        <w:rPr>
          <w:rFonts w:ascii="Book Antiqua" w:hAnsi="Book Antiqua"/>
          <w:b/>
          <w:bCs/>
        </w:rPr>
        <w:t>FISCALIZACION</w:t>
      </w:r>
      <w:r w:rsidRPr="00AE48CB">
        <w:rPr>
          <w:rFonts w:ascii="Book Antiqua" w:hAnsi="Book Antiqua"/>
        </w:rPr>
        <w:t xml:space="preserve"> de los prestadores sanitarios, del cumplimiento de las normas relativas a servicios sanitarios y el control de los residuos (…) pudiendo:</w:t>
      </w:r>
      <w:r w:rsidR="00AE48CB">
        <w:rPr>
          <w:rFonts w:ascii="Book Antiqua" w:hAnsi="Book Antiqua"/>
        </w:rPr>
        <w:t xml:space="preserve"> </w:t>
      </w:r>
      <w:r w:rsidRPr="00AE48CB">
        <w:rPr>
          <w:rFonts w:ascii="Book Antiqua" w:hAnsi="Book Antiqua"/>
          <w:b/>
          <w:bCs/>
        </w:rPr>
        <w:t>Inspeccionar las obras de infraestructura sanitaria.</w:t>
      </w:r>
    </w:p>
    <w:p w14:paraId="12665BCA" w14:textId="2B4C74EC" w:rsidR="008D6512" w:rsidRPr="00AE48CB" w:rsidRDefault="008D6512" w:rsidP="00AE48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E48CB">
        <w:rPr>
          <w:rFonts w:ascii="Book Antiqua" w:hAnsi="Book Antiqua"/>
        </w:rPr>
        <w:t>Respecto del procedimiento sancionatorio, el titulo III de la ley señala:</w:t>
      </w:r>
    </w:p>
    <w:p w14:paraId="4F1886EB" w14:textId="0EA1F552" w:rsidR="008D6512" w:rsidRPr="008B3CEE" w:rsidRDefault="008D6512" w:rsidP="00AE48CB">
      <w:pPr>
        <w:pStyle w:val="Prrafodelista"/>
        <w:spacing w:line="360" w:lineRule="auto"/>
        <w:jc w:val="both"/>
        <w:rPr>
          <w:rFonts w:ascii="Book Antiqua" w:hAnsi="Book Antiqua"/>
        </w:rPr>
      </w:pPr>
      <w:r w:rsidRPr="008B3CEE">
        <w:rPr>
          <w:rFonts w:ascii="Book Antiqua" w:hAnsi="Book Antiqua"/>
        </w:rPr>
        <w:lastRenderedPageBreak/>
        <w:t xml:space="preserve">Aquellos servicios sanitarios que incurrieren en alguna infracción a la normativa o incumplieren instrucciones, </w:t>
      </w:r>
      <w:r w:rsidR="00AE48CB" w:rsidRPr="008B3CEE">
        <w:rPr>
          <w:rFonts w:ascii="Book Antiqua" w:hAnsi="Book Antiqua"/>
        </w:rPr>
        <w:t>órdenes</w:t>
      </w:r>
      <w:r w:rsidRPr="008B3CEE">
        <w:rPr>
          <w:rFonts w:ascii="Book Antiqua" w:hAnsi="Book Antiqua"/>
        </w:rPr>
        <w:t xml:space="preserve"> y resoluciones serán sancionados con multas a beneficio fiscal. </w:t>
      </w:r>
    </w:p>
    <w:p w14:paraId="00D7BE7E" w14:textId="77777777" w:rsidR="00AE48CB" w:rsidRDefault="008D6512" w:rsidP="00AE48CB">
      <w:pPr>
        <w:pStyle w:val="Prrafodelista"/>
        <w:spacing w:line="360" w:lineRule="auto"/>
        <w:jc w:val="both"/>
        <w:rPr>
          <w:rFonts w:ascii="Book Antiqua" w:hAnsi="Book Antiqua"/>
        </w:rPr>
      </w:pPr>
      <w:r w:rsidRPr="008B3CEE">
        <w:rPr>
          <w:rFonts w:ascii="Book Antiqua" w:hAnsi="Book Antiqua"/>
        </w:rPr>
        <w:t>Para el caso</w:t>
      </w:r>
      <w:r w:rsidR="008B3CEE" w:rsidRPr="008B3CEE">
        <w:rPr>
          <w:rFonts w:ascii="Book Antiqua" w:hAnsi="Book Antiqua"/>
        </w:rPr>
        <w:t xml:space="preserve"> que nos atañe alcanzaría la sanción máxima de 1000 UTA (unidades tributarias anuales) por infracción que ponga en peligro o afecten gravemente la salud de la población, o que afecten a la generalidad de los usuarios de los servicios.</w:t>
      </w:r>
    </w:p>
    <w:p w14:paraId="5A68A020" w14:textId="77777777" w:rsidR="00AE48CB" w:rsidRDefault="00AE48CB" w:rsidP="00AE48CB">
      <w:pPr>
        <w:pStyle w:val="Prrafodelista"/>
        <w:spacing w:line="360" w:lineRule="auto"/>
        <w:jc w:val="both"/>
        <w:rPr>
          <w:rFonts w:ascii="Book Antiqua" w:hAnsi="Book Antiqua"/>
        </w:rPr>
      </w:pPr>
    </w:p>
    <w:p w14:paraId="69D22D67" w14:textId="0324F23D" w:rsidR="00AE48CB" w:rsidRDefault="00AE48CB" w:rsidP="00AE48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Sin embargo, si bien a la fecha Essal cuenta con 85 procesos sancionatorios desde el año 2014, alcanzando montos sobre los 3.500 millones de pesos, la autoridad competente descarta terminar con la concesión sanitaria. </w:t>
      </w:r>
    </w:p>
    <w:p w14:paraId="3B6DBB7E" w14:textId="77777777" w:rsidR="00AE48CB" w:rsidRDefault="00AE48CB" w:rsidP="00AE48CB">
      <w:pPr>
        <w:pStyle w:val="Prrafodelista"/>
        <w:spacing w:line="360" w:lineRule="auto"/>
        <w:jc w:val="both"/>
        <w:rPr>
          <w:rFonts w:ascii="Book Antiqua" w:hAnsi="Book Antiqua"/>
        </w:rPr>
      </w:pPr>
    </w:p>
    <w:p w14:paraId="70F3239A" w14:textId="77777777" w:rsidR="00AE48CB" w:rsidRDefault="00AE48CB" w:rsidP="00AE48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Ley establece únicamente como sanción la multa y la clausura por tiempo determinado, derivando la caducidad del servicio al articulo 26 del </w:t>
      </w:r>
      <w:r w:rsidRPr="00AE48CB">
        <w:rPr>
          <w:rFonts w:ascii="Book Antiqua" w:hAnsi="Book Antiqua"/>
        </w:rPr>
        <w:t xml:space="preserve">decreto con fuerza de ley </w:t>
      </w:r>
      <w:proofErr w:type="spellStart"/>
      <w:r w:rsidRPr="00AE48CB">
        <w:rPr>
          <w:rFonts w:ascii="Book Antiqua" w:hAnsi="Book Antiqua"/>
        </w:rPr>
        <w:t>N°</w:t>
      </w:r>
      <w:proofErr w:type="spellEnd"/>
      <w:r w:rsidRPr="00AE48CB">
        <w:rPr>
          <w:rFonts w:ascii="Book Antiqua" w:hAnsi="Book Antiqua"/>
        </w:rPr>
        <w:t xml:space="preserve"> 382, de 1988, del Ministeri</w:t>
      </w:r>
      <w:bookmarkStart w:id="0" w:name="_GoBack"/>
      <w:bookmarkEnd w:id="0"/>
      <w:r w:rsidRPr="00AE48CB">
        <w:rPr>
          <w:rFonts w:ascii="Book Antiqua" w:hAnsi="Book Antiqua"/>
        </w:rPr>
        <w:t>o de Obras Públicas</w:t>
      </w:r>
      <w:r>
        <w:rPr>
          <w:rFonts w:ascii="Book Antiqua" w:hAnsi="Book Antiqua"/>
        </w:rPr>
        <w:t>, Ley de General de Servicios Sanitarios, la que debe cumplir con ciertos requisitos, no encontrándose entre ellos la afectación de la salud de la población y la entrega continua del servicio.</w:t>
      </w:r>
    </w:p>
    <w:p w14:paraId="3AA9B9B1" w14:textId="77777777" w:rsidR="00AE48CB" w:rsidRPr="00AE48CB" w:rsidRDefault="00AE48CB" w:rsidP="00AE48CB">
      <w:pPr>
        <w:pStyle w:val="Prrafodelista"/>
        <w:rPr>
          <w:rFonts w:ascii="Book Antiqua" w:hAnsi="Book Antiqua"/>
        </w:rPr>
      </w:pPr>
    </w:p>
    <w:p w14:paraId="4FBBACB8" w14:textId="2D96FC82" w:rsidR="008D6512" w:rsidRPr="007572C9" w:rsidRDefault="00AE48CB" w:rsidP="00AE48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7572C9">
        <w:rPr>
          <w:rFonts w:ascii="Book Antiqua" w:hAnsi="Book Antiqua"/>
        </w:rPr>
        <w:t>Por ello se requieren establecer la caducidad de la concesión en explotación, cuando ello ocurra pues atenta grave</w:t>
      </w:r>
      <w:r w:rsidR="007572C9" w:rsidRPr="007572C9">
        <w:rPr>
          <w:rFonts w:ascii="Book Antiqua" w:hAnsi="Book Antiqua"/>
        </w:rPr>
        <w:t>me</w:t>
      </w:r>
      <w:r w:rsidRPr="007572C9">
        <w:rPr>
          <w:rFonts w:ascii="Book Antiqua" w:hAnsi="Book Antiqua"/>
        </w:rPr>
        <w:t xml:space="preserve">nte con los </w:t>
      </w:r>
      <w:r w:rsidRPr="007572C9">
        <w:rPr>
          <w:rFonts w:ascii="Book Antiqua" w:hAnsi="Book Antiqua"/>
          <w:b/>
          <w:bCs/>
        </w:rPr>
        <w:t xml:space="preserve">derechos constitucionales </w:t>
      </w:r>
      <w:r w:rsidR="007572C9" w:rsidRPr="007572C9">
        <w:rPr>
          <w:rFonts w:ascii="Book Antiqua" w:hAnsi="Book Antiqua"/>
          <w:b/>
          <w:bCs/>
        </w:rPr>
        <w:t>sobre</w:t>
      </w:r>
      <w:r w:rsidRPr="007572C9">
        <w:rPr>
          <w:rFonts w:ascii="Book Antiqua" w:hAnsi="Book Antiqua"/>
          <w:b/>
          <w:bCs/>
        </w:rPr>
        <w:t xml:space="preserve"> </w:t>
      </w:r>
      <w:r w:rsidR="007572C9" w:rsidRPr="007572C9">
        <w:rPr>
          <w:rFonts w:ascii="Book Antiqua" w:hAnsi="Book Antiqua"/>
          <w:b/>
          <w:bCs/>
        </w:rPr>
        <w:t>d</w:t>
      </w:r>
      <w:r w:rsidRPr="007572C9">
        <w:rPr>
          <w:rFonts w:ascii="Book Antiqua" w:hAnsi="Book Antiqua"/>
          <w:b/>
          <w:bCs/>
        </w:rPr>
        <w:t>erecho a la vida y a la integridad física y psíquica</w:t>
      </w:r>
      <w:r w:rsidR="007572C9" w:rsidRPr="007572C9">
        <w:rPr>
          <w:rFonts w:ascii="Book Antiqua" w:hAnsi="Book Antiqua"/>
          <w:b/>
          <w:bCs/>
        </w:rPr>
        <w:t xml:space="preserve"> y el derecho a vivir en un medio ambiente libre de contaminación </w:t>
      </w:r>
      <w:r w:rsidR="007572C9" w:rsidRPr="007572C9">
        <w:rPr>
          <w:rFonts w:ascii="Book Antiqua" w:hAnsi="Book Antiqua"/>
        </w:rPr>
        <w:t xml:space="preserve">y que no pueden ser vulnerados por la desidia y negligencia de las concesionarias que prestan un servicio vital a la comunidad. </w:t>
      </w:r>
    </w:p>
    <w:sectPr w:rsidR="008D6512" w:rsidRPr="00757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3BF"/>
    <w:multiLevelType w:val="hybridMultilevel"/>
    <w:tmpl w:val="308A71E2"/>
    <w:lvl w:ilvl="0" w:tplc="56B26E0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E5E2E"/>
    <w:multiLevelType w:val="hybridMultilevel"/>
    <w:tmpl w:val="389E7FBC"/>
    <w:lvl w:ilvl="0" w:tplc="DD664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B95"/>
    <w:multiLevelType w:val="hybridMultilevel"/>
    <w:tmpl w:val="6A78F978"/>
    <w:lvl w:ilvl="0" w:tplc="730AB558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B81773"/>
    <w:multiLevelType w:val="hybridMultilevel"/>
    <w:tmpl w:val="CE5E8CD2"/>
    <w:lvl w:ilvl="0" w:tplc="EF04193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E1"/>
    <w:rsid w:val="000751D9"/>
    <w:rsid w:val="003C0900"/>
    <w:rsid w:val="007242E1"/>
    <w:rsid w:val="007572C9"/>
    <w:rsid w:val="008B3CEE"/>
    <w:rsid w:val="008D6512"/>
    <w:rsid w:val="00AE48CB"/>
    <w:rsid w:val="00E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249F"/>
  <w15:chartTrackingRefBased/>
  <w15:docId w15:val="{9E2CD256-6BA1-4991-8B13-4B412D8A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vicfullerton</dc:creator>
  <cp:keywords/>
  <dc:description/>
  <cp:lastModifiedBy>vicfullerton</cp:lastModifiedBy>
  <cp:revision>3</cp:revision>
  <dcterms:created xsi:type="dcterms:W3CDTF">2019-07-17T02:48:00Z</dcterms:created>
  <dcterms:modified xsi:type="dcterms:W3CDTF">2019-07-17T03:35:00Z</dcterms:modified>
</cp:coreProperties>
</file>