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547"/>
        <w:gridCol w:w="6281"/>
      </w:tblGrid>
      <w:tr w:rsidR="00287D50" w14:paraId="6A9AEB8F" w14:textId="77777777" w:rsidTr="00695DE4">
        <w:tc>
          <w:tcPr>
            <w:tcW w:w="2547" w:type="dxa"/>
          </w:tcPr>
          <w:p w14:paraId="705101AA" w14:textId="77777777" w:rsidR="00287D50" w:rsidRPr="00287D50" w:rsidRDefault="00287D50" w:rsidP="00A22B32">
            <w:pPr>
              <w:rPr>
                <w:rFonts w:asciiTheme="minorHAnsi" w:hAnsiTheme="minorHAnsi" w:cstheme="minorHAnsi"/>
              </w:rPr>
            </w:pPr>
            <w:proofErr w:type="spellStart"/>
            <w:r w:rsidRPr="00287D50">
              <w:rPr>
                <w:rFonts w:asciiTheme="minorHAnsi" w:hAnsiTheme="minorHAnsi" w:cstheme="minorHAnsi"/>
              </w:rPr>
              <w:t>N°</w:t>
            </w:r>
            <w:proofErr w:type="spellEnd"/>
            <w:r w:rsidRPr="00287D50">
              <w:rPr>
                <w:rFonts w:asciiTheme="minorHAnsi" w:hAnsiTheme="minorHAnsi" w:cstheme="minorHAnsi"/>
              </w:rPr>
              <w:t xml:space="preserve"> Boletín</w:t>
            </w:r>
          </w:p>
        </w:tc>
        <w:tc>
          <w:tcPr>
            <w:tcW w:w="6281" w:type="dxa"/>
          </w:tcPr>
          <w:p w14:paraId="6EB9D7DB" w14:textId="59FA469F" w:rsidR="00287D50" w:rsidRPr="00287D50" w:rsidRDefault="000C4CC2" w:rsidP="00A22B32">
            <w:pPr>
              <w:rPr>
                <w:rFonts w:asciiTheme="minorHAnsi" w:hAnsiTheme="minorHAnsi" w:cstheme="minorHAnsi"/>
              </w:rPr>
            </w:pPr>
            <w:r>
              <w:rPr>
                <w:rFonts w:asciiTheme="minorHAnsi" w:hAnsiTheme="minorHAnsi" w:cstheme="minorHAnsi"/>
              </w:rPr>
              <w:t>8528-32</w:t>
            </w:r>
          </w:p>
        </w:tc>
      </w:tr>
      <w:tr w:rsidR="00287D50" w:rsidRPr="00287D50" w14:paraId="76669A0D" w14:textId="77777777" w:rsidTr="00695DE4">
        <w:tc>
          <w:tcPr>
            <w:tcW w:w="2547" w:type="dxa"/>
          </w:tcPr>
          <w:p w14:paraId="544BC8A8" w14:textId="77777777" w:rsidR="00287D50" w:rsidRPr="00287D50" w:rsidRDefault="00287D50" w:rsidP="00A22B32">
            <w:pPr>
              <w:rPr>
                <w:rFonts w:asciiTheme="minorHAnsi" w:hAnsiTheme="minorHAnsi" w:cstheme="minorHAnsi"/>
              </w:rPr>
            </w:pPr>
            <w:r w:rsidRPr="00287D50">
              <w:rPr>
                <w:rFonts w:asciiTheme="minorHAnsi" w:hAnsiTheme="minorHAnsi" w:cstheme="minorHAnsi"/>
              </w:rPr>
              <w:t>Proyecto de Ley</w:t>
            </w:r>
          </w:p>
        </w:tc>
        <w:tc>
          <w:tcPr>
            <w:tcW w:w="6281" w:type="dxa"/>
          </w:tcPr>
          <w:p w14:paraId="7A5DAA99" w14:textId="07BF5839" w:rsidR="00287D50" w:rsidRPr="00287D50" w:rsidRDefault="000C4CC2" w:rsidP="00A22B32">
            <w:pPr>
              <w:rPr>
                <w:rFonts w:asciiTheme="minorHAnsi" w:hAnsiTheme="minorHAnsi" w:cstheme="minorHAnsi"/>
              </w:rPr>
            </w:pPr>
            <w:r>
              <w:rPr>
                <w:rFonts w:asciiTheme="minorHAnsi" w:hAnsiTheme="minorHAnsi" w:cstheme="minorHAnsi"/>
              </w:rPr>
              <w:t>M</w:t>
            </w:r>
            <w:r w:rsidRPr="000C4CC2">
              <w:rPr>
                <w:rFonts w:asciiTheme="minorHAnsi" w:hAnsiTheme="minorHAnsi" w:cstheme="minorHAnsi"/>
              </w:rPr>
              <w:t>odifica el artículo 1182 del Código Civil, declarando incapaz para suceder al difunto a quien ejerce violencia con el adulto mayor</w:t>
            </w:r>
            <w:r>
              <w:rPr>
                <w:rFonts w:asciiTheme="minorHAnsi" w:hAnsiTheme="minorHAnsi" w:cstheme="minorHAnsi"/>
              </w:rPr>
              <w:t>.</w:t>
            </w:r>
          </w:p>
        </w:tc>
      </w:tr>
      <w:tr w:rsidR="00287D50" w:rsidRPr="00287D50" w14:paraId="6005217C" w14:textId="77777777" w:rsidTr="00695DE4">
        <w:tc>
          <w:tcPr>
            <w:tcW w:w="2547" w:type="dxa"/>
          </w:tcPr>
          <w:p w14:paraId="5930E945" w14:textId="77777777" w:rsidR="00287D50" w:rsidRPr="00287D50" w:rsidRDefault="00287D50" w:rsidP="00A22B32">
            <w:pPr>
              <w:rPr>
                <w:rFonts w:asciiTheme="minorHAnsi" w:hAnsiTheme="minorHAnsi" w:cstheme="minorHAnsi"/>
              </w:rPr>
            </w:pPr>
            <w:r w:rsidRPr="00287D50">
              <w:rPr>
                <w:rFonts w:asciiTheme="minorHAnsi" w:hAnsiTheme="minorHAnsi" w:cstheme="minorHAnsi"/>
              </w:rPr>
              <w:t>Origen</w:t>
            </w:r>
          </w:p>
        </w:tc>
        <w:tc>
          <w:tcPr>
            <w:tcW w:w="6281" w:type="dxa"/>
          </w:tcPr>
          <w:p w14:paraId="4471E258" w14:textId="7473695F" w:rsidR="00287D50" w:rsidRPr="00287D50" w:rsidRDefault="00153E70" w:rsidP="00A22B32">
            <w:pPr>
              <w:rPr>
                <w:rFonts w:asciiTheme="minorHAnsi" w:hAnsiTheme="minorHAnsi" w:cstheme="minorHAnsi"/>
              </w:rPr>
            </w:pPr>
            <w:r>
              <w:rPr>
                <w:rFonts w:asciiTheme="minorHAnsi" w:hAnsiTheme="minorHAnsi" w:cstheme="minorHAnsi"/>
              </w:rPr>
              <w:t>Cámara</w:t>
            </w:r>
            <w:r w:rsidR="00991D44">
              <w:rPr>
                <w:rFonts w:asciiTheme="minorHAnsi" w:hAnsiTheme="minorHAnsi" w:cstheme="minorHAnsi"/>
              </w:rPr>
              <w:t xml:space="preserve">. </w:t>
            </w:r>
            <w:proofErr w:type="gramStart"/>
            <w:r>
              <w:rPr>
                <w:rFonts w:asciiTheme="minorHAnsi" w:hAnsiTheme="minorHAnsi" w:cstheme="minorHAnsi"/>
              </w:rPr>
              <w:t>E</w:t>
            </w:r>
            <w:r w:rsidRPr="00153E70">
              <w:rPr>
                <w:rFonts w:asciiTheme="minorHAnsi" w:hAnsiTheme="minorHAnsi" w:cstheme="minorHAnsi"/>
              </w:rPr>
              <w:t>x diputados</w:t>
            </w:r>
            <w:proofErr w:type="gramEnd"/>
            <w:r w:rsidRPr="00153E70">
              <w:rPr>
                <w:rFonts w:asciiTheme="minorHAnsi" w:hAnsiTheme="minorHAnsi" w:cstheme="minorHAnsi"/>
              </w:rPr>
              <w:t xml:space="preserve"> Cristi</w:t>
            </w:r>
            <w:r>
              <w:rPr>
                <w:rFonts w:asciiTheme="minorHAnsi" w:hAnsiTheme="minorHAnsi" w:cstheme="minorHAnsi"/>
              </w:rPr>
              <w:t xml:space="preserve">, </w:t>
            </w:r>
            <w:r w:rsidRPr="00153E70">
              <w:rPr>
                <w:rFonts w:asciiTheme="minorHAnsi" w:hAnsiTheme="minorHAnsi" w:cstheme="minorHAnsi"/>
              </w:rPr>
              <w:t xml:space="preserve">Calderón, Estay, Rojas, Vilches y </w:t>
            </w:r>
            <w:proofErr w:type="spellStart"/>
            <w:r w:rsidRPr="00153E70">
              <w:rPr>
                <w:rFonts w:asciiTheme="minorHAnsi" w:hAnsiTheme="minorHAnsi" w:cstheme="minorHAnsi"/>
              </w:rPr>
              <w:t>Von</w:t>
            </w:r>
            <w:proofErr w:type="spellEnd"/>
            <w:r w:rsidRPr="00153E70">
              <w:rPr>
                <w:rFonts w:asciiTheme="minorHAnsi" w:hAnsiTheme="minorHAnsi" w:cstheme="minorHAnsi"/>
              </w:rPr>
              <w:t xml:space="preserve"> </w:t>
            </w:r>
            <w:proofErr w:type="spellStart"/>
            <w:r w:rsidRPr="00153E70">
              <w:rPr>
                <w:rFonts w:asciiTheme="minorHAnsi" w:hAnsiTheme="minorHAnsi" w:cstheme="minorHAnsi"/>
              </w:rPr>
              <w:t>Mühlenbrock</w:t>
            </w:r>
            <w:proofErr w:type="spellEnd"/>
            <w:r>
              <w:rPr>
                <w:rFonts w:asciiTheme="minorHAnsi" w:hAnsiTheme="minorHAnsi" w:cstheme="minorHAnsi"/>
              </w:rPr>
              <w:t>. D</w:t>
            </w:r>
            <w:r w:rsidRPr="00153E70">
              <w:rPr>
                <w:rFonts w:asciiTheme="minorHAnsi" w:hAnsiTheme="minorHAnsi" w:cstheme="minorHAnsi"/>
              </w:rPr>
              <w:t>iputados Hernández, L</w:t>
            </w:r>
            <w:proofErr w:type="spellStart"/>
            <w:r w:rsidRPr="00153E70">
              <w:rPr>
                <w:rFonts w:asciiTheme="minorHAnsi" w:hAnsiTheme="minorHAnsi" w:cstheme="minorHAnsi"/>
              </w:rPr>
              <w:t>ahsen</w:t>
            </w:r>
            <w:proofErr w:type="spellEnd"/>
            <w:r w:rsidRPr="00153E70">
              <w:rPr>
                <w:rFonts w:asciiTheme="minorHAnsi" w:hAnsiTheme="minorHAnsi" w:cstheme="minorHAnsi"/>
              </w:rPr>
              <w:t xml:space="preserve"> y Urrutia y </w:t>
            </w:r>
            <w:proofErr w:type="gramStart"/>
            <w:r w:rsidRPr="00153E70">
              <w:rPr>
                <w:rFonts w:asciiTheme="minorHAnsi" w:hAnsiTheme="minorHAnsi" w:cstheme="minorHAnsi"/>
              </w:rPr>
              <w:t>ex diputado</w:t>
            </w:r>
            <w:proofErr w:type="gramEnd"/>
            <w:r w:rsidRPr="00153E70">
              <w:rPr>
                <w:rFonts w:asciiTheme="minorHAnsi" w:hAnsiTheme="minorHAnsi" w:cstheme="minorHAnsi"/>
              </w:rPr>
              <w:t xml:space="preserve"> y actual Senador Sandova</w:t>
            </w:r>
            <w:r>
              <w:rPr>
                <w:rFonts w:asciiTheme="minorHAnsi" w:hAnsiTheme="minorHAnsi" w:cstheme="minorHAnsi"/>
              </w:rPr>
              <w:t>l.</w:t>
            </w:r>
          </w:p>
        </w:tc>
      </w:tr>
      <w:tr w:rsidR="00287D50" w:rsidRPr="00287D50" w14:paraId="0B9FF05C" w14:textId="77777777" w:rsidTr="00695DE4">
        <w:tc>
          <w:tcPr>
            <w:tcW w:w="2547" w:type="dxa"/>
          </w:tcPr>
          <w:p w14:paraId="3FE271E1" w14:textId="77777777" w:rsidR="00287D50" w:rsidRPr="00287D50" w:rsidRDefault="00287D50" w:rsidP="00A22B32">
            <w:pPr>
              <w:rPr>
                <w:rFonts w:asciiTheme="minorHAnsi" w:hAnsiTheme="minorHAnsi" w:cstheme="minorHAnsi"/>
              </w:rPr>
            </w:pPr>
            <w:r w:rsidRPr="00287D50">
              <w:rPr>
                <w:rFonts w:asciiTheme="minorHAnsi" w:hAnsiTheme="minorHAnsi" w:cstheme="minorHAnsi"/>
              </w:rPr>
              <w:t>Urgencia</w:t>
            </w:r>
          </w:p>
        </w:tc>
        <w:tc>
          <w:tcPr>
            <w:tcW w:w="6281" w:type="dxa"/>
          </w:tcPr>
          <w:p w14:paraId="6D37AACA" w14:textId="48E63F3D" w:rsidR="00287D50" w:rsidRPr="00287D50" w:rsidRDefault="00E328A9" w:rsidP="00A22B32">
            <w:pPr>
              <w:rPr>
                <w:rFonts w:asciiTheme="minorHAnsi" w:hAnsiTheme="minorHAnsi" w:cstheme="minorHAnsi"/>
              </w:rPr>
            </w:pPr>
            <w:r>
              <w:rPr>
                <w:rFonts w:asciiTheme="minorHAnsi" w:hAnsiTheme="minorHAnsi" w:cstheme="minorHAnsi"/>
              </w:rPr>
              <w:t>S</w:t>
            </w:r>
            <w:r w:rsidR="00153E70">
              <w:rPr>
                <w:rFonts w:asciiTheme="minorHAnsi" w:hAnsiTheme="minorHAnsi" w:cstheme="minorHAnsi"/>
              </w:rPr>
              <w:t>imple</w:t>
            </w:r>
          </w:p>
        </w:tc>
      </w:tr>
      <w:tr w:rsidR="00287D50" w:rsidRPr="00287D50" w14:paraId="4EB9DC90" w14:textId="77777777" w:rsidTr="00695DE4">
        <w:tc>
          <w:tcPr>
            <w:tcW w:w="2547" w:type="dxa"/>
          </w:tcPr>
          <w:p w14:paraId="11D4BF55" w14:textId="77777777" w:rsidR="00287D50" w:rsidRPr="00287D50" w:rsidRDefault="00287D50" w:rsidP="00A22B32">
            <w:pPr>
              <w:rPr>
                <w:rFonts w:asciiTheme="minorHAnsi" w:hAnsiTheme="minorHAnsi" w:cstheme="minorHAnsi"/>
              </w:rPr>
            </w:pPr>
            <w:r w:rsidRPr="00287D50">
              <w:rPr>
                <w:rFonts w:asciiTheme="minorHAnsi" w:hAnsiTheme="minorHAnsi" w:cstheme="minorHAnsi"/>
              </w:rPr>
              <w:t>Comisión</w:t>
            </w:r>
          </w:p>
        </w:tc>
        <w:tc>
          <w:tcPr>
            <w:tcW w:w="6281" w:type="dxa"/>
          </w:tcPr>
          <w:p w14:paraId="29BCE56A" w14:textId="10BE4B00" w:rsidR="00287D50" w:rsidRPr="00287D50" w:rsidRDefault="000C4CC2" w:rsidP="00A22B32">
            <w:pPr>
              <w:rPr>
                <w:rFonts w:asciiTheme="minorHAnsi" w:hAnsiTheme="minorHAnsi" w:cstheme="minorHAnsi"/>
              </w:rPr>
            </w:pPr>
            <w:r>
              <w:rPr>
                <w:rFonts w:asciiTheme="minorHAnsi" w:hAnsiTheme="minorHAnsi" w:cstheme="minorHAnsi"/>
              </w:rPr>
              <w:t xml:space="preserve">Adulto Mayor </w:t>
            </w:r>
          </w:p>
        </w:tc>
      </w:tr>
      <w:tr w:rsidR="00287D50" w:rsidRPr="00287D50" w14:paraId="0AD138EC" w14:textId="77777777" w:rsidTr="00695DE4">
        <w:tc>
          <w:tcPr>
            <w:tcW w:w="2547" w:type="dxa"/>
          </w:tcPr>
          <w:p w14:paraId="4B4F5DF9" w14:textId="77777777" w:rsidR="00287D50" w:rsidRPr="00287D50" w:rsidRDefault="00287D50" w:rsidP="00A22B32">
            <w:pPr>
              <w:rPr>
                <w:rFonts w:asciiTheme="minorHAnsi" w:hAnsiTheme="minorHAnsi" w:cstheme="minorHAnsi"/>
              </w:rPr>
            </w:pPr>
            <w:r w:rsidRPr="00287D50">
              <w:rPr>
                <w:rFonts w:asciiTheme="minorHAnsi" w:hAnsiTheme="minorHAnsi" w:cstheme="minorHAnsi"/>
              </w:rPr>
              <w:t>Tramitación</w:t>
            </w:r>
          </w:p>
        </w:tc>
        <w:tc>
          <w:tcPr>
            <w:tcW w:w="6281" w:type="dxa"/>
          </w:tcPr>
          <w:p w14:paraId="3ED4F53F" w14:textId="4129AA18" w:rsidR="00287D50" w:rsidRPr="00287D50" w:rsidRDefault="00153E70" w:rsidP="00A22B32">
            <w:pPr>
              <w:rPr>
                <w:rFonts w:asciiTheme="minorHAnsi" w:hAnsiTheme="minorHAnsi" w:cstheme="minorHAnsi"/>
              </w:rPr>
            </w:pPr>
            <w:r>
              <w:rPr>
                <w:rFonts w:asciiTheme="minorHAnsi" w:hAnsiTheme="minorHAnsi" w:cstheme="minorHAnsi"/>
              </w:rPr>
              <w:t>2</w:t>
            </w:r>
            <w:r w:rsidR="00287D50">
              <w:rPr>
                <w:rFonts w:asciiTheme="minorHAnsi" w:hAnsiTheme="minorHAnsi" w:cstheme="minorHAnsi"/>
              </w:rPr>
              <w:t>° trámite constituciona</w:t>
            </w:r>
            <w:r>
              <w:rPr>
                <w:rFonts w:asciiTheme="minorHAnsi" w:hAnsiTheme="minorHAnsi" w:cstheme="minorHAnsi"/>
              </w:rPr>
              <w:t>l</w:t>
            </w:r>
          </w:p>
        </w:tc>
      </w:tr>
      <w:tr w:rsidR="00287D50" w:rsidRPr="00287D50" w14:paraId="75E86356" w14:textId="77777777" w:rsidTr="00695DE4">
        <w:tc>
          <w:tcPr>
            <w:tcW w:w="2547" w:type="dxa"/>
          </w:tcPr>
          <w:p w14:paraId="178170B5" w14:textId="77777777" w:rsidR="00287D50" w:rsidRPr="00287D50" w:rsidRDefault="00287D50" w:rsidP="00A22B32">
            <w:pPr>
              <w:rPr>
                <w:rFonts w:asciiTheme="minorHAnsi" w:hAnsiTheme="minorHAnsi" w:cstheme="minorHAnsi"/>
              </w:rPr>
            </w:pPr>
            <w:r w:rsidRPr="00287D50">
              <w:rPr>
                <w:rFonts w:asciiTheme="minorHAnsi" w:hAnsiTheme="minorHAnsi" w:cstheme="minorHAnsi"/>
              </w:rPr>
              <w:t>Otras consideraciones</w:t>
            </w:r>
          </w:p>
        </w:tc>
        <w:tc>
          <w:tcPr>
            <w:tcW w:w="6281" w:type="dxa"/>
          </w:tcPr>
          <w:p w14:paraId="5BCD815B" w14:textId="312CE041" w:rsidR="00287D50" w:rsidRPr="00287D50" w:rsidRDefault="00287D50" w:rsidP="00A22B32">
            <w:pPr>
              <w:rPr>
                <w:rFonts w:asciiTheme="minorHAnsi" w:hAnsiTheme="minorHAnsi" w:cstheme="minorHAnsi"/>
              </w:rPr>
            </w:pPr>
          </w:p>
        </w:tc>
      </w:tr>
    </w:tbl>
    <w:p w14:paraId="6F37CDEE" w14:textId="77777777" w:rsidR="00BB6D00" w:rsidRPr="00287D50" w:rsidRDefault="00BB6D00" w:rsidP="00A22B32">
      <w:pPr>
        <w:rPr>
          <w:rFonts w:asciiTheme="minorHAnsi" w:hAnsiTheme="minorHAnsi" w:cstheme="minorHAnsi"/>
        </w:rPr>
      </w:pPr>
    </w:p>
    <w:p w14:paraId="4AE40EAF" w14:textId="634DB08E" w:rsidR="00E328A9" w:rsidRDefault="0042038C" w:rsidP="00A22B32">
      <w:pPr>
        <w:jc w:val="center"/>
        <w:rPr>
          <w:rFonts w:asciiTheme="minorHAnsi" w:hAnsiTheme="minorHAnsi" w:cstheme="minorHAnsi"/>
          <w:u w:val="single"/>
        </w:rPr>
      </w:pPr>
      <w:r w:rsidRPr="004213D4">
        <w:rPr>
          <w:rFonts w:asciiTheme="minorHAnsi" w:hAnsiTheme="minorHAnsi" w:cstheme="minorHAnsi"/>
          <w:u w:val="single"/>
        </w:rPr>
        <w:t xml:space="preserve">IDEAS </w:t>
      </w:r>
      <w:r w:rsidR="00153E70">
        <w:rPr>
          <w:rFonts w:asciiTheme="minorHAnsi" w:hAnsiTheme="minorHAnsi" w:cstheme="minorHAnsi"/>
          <w:u w:val="single"/>
        </w:rPr>
        <w:t>CENTRALES</w:t>
      </w:r>
      <w:r w:rsidR="00004C0F">
        <w:rPr>
          <w:rFonts w:asciiTheme="minorHAnsi" w:hAnsiTheme="minorHAnsi" w:cstheme="minorHAnsi"/>
          <w:u w:val="single"/>
        </w:rPr>
        <w:t>.</w:t>
      </w:r>
      <w:r w:rsidR="00AB7751">
        <w:rPr>
          <w:rFonts w:asciiTheme="minorHAnsi" w:hAnsiTheme="minorHAnsi" w:cstheme="minorHAnsi"/>
          <w:u w:val="single"/>
        </w:rPr>
        <w:br/>
      </w:r>
    </w:p>
    <w:p w14:paraId="57CE8B78" w14:textId="6CCD4131" w:rsidR="000C4CC2" w:rsidRPr="000C4CC2" w:rsidRDefault="000C4CC2" w:rsidP="000C4CC2">
      <w:pPr>
        <w:rPr>
          <w:rFonts w:asciiTheme="minorHAnsi" w:hAnsiTheme="minorHAnsi" w:cstheme="minorHAnsi"/>
        </w:rPr>
      </w:pPr>
      <w:r w:rsidRPr="000C4CC2">
        <w:rPr>
          <w:rFonts w:asciiTheme="minorHAnsi" w:hAnsiTheme="minorHAnsi" w:cstheme="minorHAnsi"/>
        </w:rPr>
        <w:t xml:space="preserve">El proyecto viene en </w:t>
      </w:r>
      <w:r w:rsidRPr="000C4CC2">
        <w:rPr>
          <w:rFonts w:asciiTheme="minorHAnsi" w:hAnsiTheme="minorHAnsi" w:cstheme="minorHAnsi"/>
        </w:rPr>
        <w:t>declarar indigno a quien:</w:t>
      </w:r>
    </w:p>
    <w:p w14:paraId="341DD37D" w14:textId="77777777" w:rsidR="000C4CC2" w:rsidRDefault="000C4CC2" w:rsidP="000C4CC2">
      <w:pPr>
        <w:rPr>
          <w:rFonts w:asciiTheme="minorHAnsi" w:hAnsiTheme="minorHAnsi" w:cstheme="minorHAnsi"/>
        </w:rPr>
      </w:pPr>
    </w:p>
    <w:p w14:paraId="29C962E5" w14:textId="3FF1A398" w:rsidR="000C4CC2" w:rsidRPr="000C4CC2" w:rsidRDefault="000C4CC2" w:rsidP="00153E70">
      <w:pPr>
        <w:jc w:val="both"/>
        <w:rPr>
          <w:rFonts w:asciiTheme="minorHAnsi" w:hAnsiTheme="minorHAnsi" w:cstheme="minorHAnsi"/>
        </w:rPr>
      </w:pPr>
      <w:r w:rsidRPr="000C4CC2">
        <w:rPr>
          <w:rFonts w:asciiTheme="minorHAnsi" w:hAnsiTheme="minorHAnsi" w:cstheme="minorHAnsi"/>
        </w:rPr>
        <w:t>1. Cometa maltrato, ya sea corporal o psicológicamente degradante (agresiones verbales, aislamiento, amenazas de intimidación, humillación, falta de respeto a sus creencias, ridiculización y cualquier otra conducta degradante, amenaza de abandono, o de envío a un establecimiento de larga estadía, sin su consentimiento)</w:t>
      </w:r>
    </w:p>
    <w:p w14:paraId="2DE3BF0A" w14:textId="27B40192" w:rsidR="000C4CC2" w:rsidRPr="000C4CC2" w:rsidRDefault="000C4CC2" w:rsidP="00153E70">
      <w:pPr>
        <w:jc w:val="both"/>
        <w:rPr>
          <w:rFonts w:asciiTheme="minorHAnsi" w:hAnsiTheme="minorHAnsi" w:cstheme="minorHAnsi"/>
        </w:rPr>
      </w:pPr>
      <w:r>
        <w:rPr>
          <w:rFonts w:asciiTheme="minorHAnsi" w:hAnsiTheme="minorHAnsi" w:cstheme="minorHAnsi"/>
        </w:rPr>
        <w:t>2.</w:t>
      </w:r>
      <w:r w:rsidRPr="000C4CC2">
        <w:rPr>
          <w:rFonts w:asciiTheme="minorHAnsi" w:hAnsiTheme="minorHAnsi" w:cstheme="minorHAnsi"/>
        </w:rPr>
        <w:t xml:space="preserve"> Maltrato habitual (El ejercicio habitual de violencia física o psíquica)</w:t>
      </w:r>
    </w:p>
    <w:p w14:paraId="15249FED" w14:textId="692D2173" w:rsidR="000C4CC2" w:rsidRPr="000C4CC2" w:rsidRDefault="000C4CC2" w:rsidP="00153E70">
      <w:pPr>
        <w:jc w:val="both"/>
        <w:rPr>
          <w:rFonts w:asciiTheme="minorHAnsi" w:hAnsiTheme="minorHAnsi" w:cstheme="minorHAnsi"/>
        </w:rPr>
      </w:pPr>
      <w:r>
        <w:rPr>
          <w:rFonts w:asciiTheme="minorHAnsi" w:hAnsiTheme="minorHAnsi" w:cstheme="minorHAnsi"/>
        </w:rPr>
        <w:t>3</w:t>
      </w:r>
      <w:r w:rsidRPr="000C4CC2">
        <w:rPr>
          <w:rFonts w:asciiTheme="minorHAnsi" w:hAnsiTheme="minorHAnsi" w:cstheme="minorHAnsi"/>
        </w:rPr>
        <w:t>. Delito de abandono d</w:t>
      </w:r>
      <w:bookmarkStart w:id="0" w:name="_GoBack"/>
      <w:bookmarkEnd w:id="0"/>
      <w:r w:rsidRPr="000C4CC2">
        <w:rPr>
          <w:rFonts w:asciiTheme="minorHAnsi" w:hAnsiTheme="minorHAnsi" w:cstheme="minorHAnsi"/>
        </w:rPr>
        <w:t>e personas desvalidas</w:t>
      </w:r>
    </w:p>
    <w:p w14:paraId="391810E7" w14:textId="74F59B49" w:rsidR="000C4CC2" w:rsidRPr="000C4CC2" w:rsidRDefault="000C4CC2" w:rsidP="00153E70">
      <w:pPr>
        <w:jc w:val="both"/>
        <w:rPr>
          <w:rFonts w:asciiTheme="minorHAnsi" w:hAnsiTheme="minorHAnsi" w:cstheme="minorHAnsi"/>
        </w:rPr>
      </w:pPr>
      <w:r>
        <w:rPr>
          <w:rFonts w:asciiTheme="minorHAnsi" w:hAnsiTheme="minorHAnsi" w:cstheme="minorHAnsi"/>
        </w:rPr>
        <w:t>4</w:t>
      </w:r>
      <w:r w:rsidRPr="000C4CC2">
        <w:rPr>
          <w:rFonts w:asciiTheme="minorHAnsi" w:hAnsiTheme="minorHAnsi" w:cstheme="minorHAnsi"/>
        </w:rPr>
        <w:t>. Delito de abuso patrimonial (hurtos, defraudaciones o daños patrimoniales.</w:t>
      </w:r>
    </w:p>
    <w:p w14:paraId="4E9EDF84" w14:textId="77777777" w:rsidR="000C4CC2" w:rsidRDefault="000C4CC2" w:rsidP="00153E70">
      <w:pPr>
        <w:jc w:val="both"/>
        <w:rPr>
          <w:rFonts w:asciiTheme="minorHAnsi" w:hAnsiTheme="minorHAnsi" w:cstheme="minorHAnsi"/>
        </w:rPr>
      </w:pPr>
    </w:p>
    <w:p w14:paraId="6B4D4488" w14:textId="69DC148F" w:rsidR="000C4CC2" w:rsidRPr="000C4CC2" w:rsidRDefault="000C4CC2" w:rsidP="00153E70">
      <w:pPr>
        <w:jc w:val="both"/>
        <w:rPr>
          <w:rFonts w:asciiTheme="minorHAnsi" w:hAnsiTheme="minorHAnsi" w:cstheme="minorHAnsi"/>
        </w:rPr>
      </w:pPr>
      <w:r w:rsidRPr="000C4CC2">
        <w:rPr>
          <w:rFonts w:asciiTheme="minorHAnsi" w:hAnsiTheme="minorHAnsi" w:cstheme="minorHAnsi"/>
        </w:rPr>
        <w:t>El proyecto protege jurídicamente el patrimonio del adulto mayor que ha sido víctima de actos constitutivos de aquellos delitos, haciéndolo extensivo a sucesiones testadas e intestadas.</w:t>
      </w:r>
    </w:p>
    <w:p w14:paraId="0BAC6A71" w14:textId="2969D41D" w:rsidR="000C4CC2" w:rsidRDefault="000C4CC2" w:rsidP="00153E70">
      <w:pPr>
        <w:jc w:val="both"/>
        <w:rPr>
          <w:rFonts w:asciiTheme="minorHAnsi" w:hAnsiTheme="minorHAnsi" w:cstheme="minorHAnsi"/>
        </w:rPr>
      </w:pPr>
    </w:p>
    <w:p w14:paraId="5BFB29DC" w14:textId="2D3BCAB4" w:rsidR="000C4CC2" w:rsidRPr="000C4CC2" w:rsidRDefault="000C4CC2" w:rsidP="00153E70">
      <w:pPr>
        <w:jc w:val="both"/>
        <w:rPr>
          <w:rFonts w:asciiTheme="minorHAnsi" w:hAnsiTheme="minorHAnsi" w:cstheme="minorHAnsi"/>
        </w:rPr>
      </w:pPr>
      <w:r>
        <w:rPr>
          <w:rFonts w:asciiTheme="minorHAnsi" w:hAnsiTheme="minorHAnsi" w:cstheme="minorHAnsi"/>
        </w:rPr>
        <w:t xml:space="preserve">Cuando los adultos mayores son considerados como un estorbo para el núcleo familiar del que forman parte, o una mayor de gastos, generalmente se les deja en el abandono o se comete violencia contra ellos. No necesariamente el abandono se produce por falta de familia, sino que se le margina de toda actividad familiar, incluso recluyéndolos en instituciones donde nunca son siquiera visitados. </w:t>
      </w:r>
      <w:r w:rsidR="009A478E">
        <w:rPr>
          <w:rFonts w:asciiTheme="minorHAnsi" w:hAnsiTheme="minorHAnsi" w:cstheme="minorHAnsi"/>
        </w:rPr>
        <w:t xml:space="preserve">Otros son abandonados en hospitales o en las calles, lo que incluso conlleva falta de atención médica para las enfermedades propias de la tercera edad y sus familias nunca llegan a saber qué ocurrió con ellos, dada la ruptura de todo vínculo y lazo de comunicación. </w:t>
      </w:r>
    </w:p>
    <w:p w14:paraId="71853C5F" w14:textId="77777777" w:rsidR="009A478E" w:rsidRDefault="009A478E" w:rsidP="00153E70">
      <w:pPr>
        <w:jc w:val="both"/>
        <w:rPr>
          <w:rFonts w:asciiTheme="minorHAnsi" w:hAnsiTheme="minorHAnsi" w:cstheme="minorHAnsi"/>
        </w:rPr>
      </w:pPr>
    </w:p>
    <w:p w14:paraId="7E75BDCE" w14:textId="675A856D" w:rsidR="000C4CC2" w:rsidRPr="000C4CC2" w:rsidRDefault="009A478E" w:rsidP="00153E70">
      <w:pPr>
        <w:jc w:val="both"/>
        <w:rPr>
          <w:rFonts w:asciiTheme="minorHAnsi" w:hAnsiTheme="minorHAnsi" w:cstheme="minorHAnsi"/>
        </w:rPr>
      </w:pPr>
      <w:r>
        <w:rPr>
          <w:rFonts w:asciiTheme="minorHAnsi" w:hAnsiTheme="minorHAnsi" w:cstheme="minorHAnsi"/>
        </w:rPr>
        <w:t>Pese a lo descrito, cuando la víctima de violencia o abandono muere, los descendientes tienen pleno derecho a heredar el patrimonio del causante, dado que e</w:t>
      </w:r>
      <w:r w:rsidR="000C4CC2" w:rsidRPr="000C4CC2">
        <w:rPr>
          <w:rFonts w:asciiTheme="minorHAnsi" w:hAnsiTheme="minorHAnsi" w:cstheme="minorHAnsi"/>
        </w:rPr>
        <w:t xml:space="preserve">n materia de sucesión existe un sistema de libertad restringida, en el sentido que el causante no tiene </w:t>
      </w:r>
      <w:r w:rsidR="000C4CC2" w:rsidRPr="000C4CC2">
        <w:rPr>
          <w:rFonts w:asciiTheme="minorHAnsi" w:hAnsiTheme="minorHAnsi" w:cstheme="minorHAnsi"/>
        </w:rPr>
        <w:lastRenderedPageBreak/>
        <w:t xml:space="preserve">plena facultad para disponer de sus bienes, estando obligado a respetar las asignaciones forzosas. En tal sentido, agrega que una clase de asignación forzosa corresponde a las legítimas, que </w:t>
      </w:r>
      <w:r>
        <w:rPr>
          <w:rFonts w:asciiTheme="minorHAnsi" w:hAnsiTheme="minorHAnsi" w:cstheme="minorHAnsi"/>
        </w:rPr>
        <w:t>acorde</w:t>
      </w:r>
      <w:r w:rsidR="000C4CC2" w:rsidRPr="000C4CC2">
        <w:rPr>
          <w:rFonts w:asciiTheme="minorHAnsi" w:hAnsiTheme="minorHAnsi" w:cstheme="minorHAnsi"/>
        </w:rPr>
        <w:t xml:space="preserve"> a la definición del artículo 1181 del Código Civil </w:t>
      </w:r>
      <w:r w:rsidR="000C4CC2" w:rsidRPr="009A478E">
        <w:rPr>
          <w:rFonts w:asciiTheme="minorHAnsi" w:hAnsiTheme="minorHAnsi" w:cstheme="minorHAnsi"/>
          <w:i/>
          <w:iCs/>
        </w:rPr>
        <w:t>"es aquella cuota de los bienes de un difunto que la ley asigna a ciertas personas llamadas legitimarios"</w:t>
      </w:r>
      <w:r w:rsidR="000C4CC2" w:rsidRPr="000C4CC2">
        <w:rPr>
          <w:rFonts w:asciiTheme="minorHAnsi" w:hAnsiTheme="minorHAnsi" w:cstheme="minorHAnsi"/>
        </w:rPr>
        <w:t>, siendo estos últimos los hijos personalmente o representados por su descendencia, los ascendientes y el cónyuge sobreviviente.</w:t>
      </w:r>
    </w:p>
    <w:p w14:paraId="70409D7D" w14:textId="77777777" w:rsidR="009A478E" w:rsidRDefault="009A478E" w:rsidP="00153E70">
      <w:pPr>
        <w:jc w:val="both"/>
        <w:rPr>
          <w:rFonts w:asciiTheme="minorHAnsi" w:hAnsiTheme="minorHAnsi" w:cstheme="minorHAnsi"/>
        </w:rPr>
      </w:pPr>
    </w:p>
    <w:p w14:paraId="4F938ABD" w14:textId="0BFB0218" w:rsidR="009A478E" w:rsidRDefault="009A478E" w:rsidP="00153E70">
      <w:pPr>
        <w:jc w:val="both"/>
        <w:rPr>
          <w:rFonts w:asciiTheme="minorHAnsi" w:hAnsiTheme="minorHAnsi" w:cstheme="minorHAnsi"/>
        </w:rPr>
      </w:pPr>
      <w:r>
        <w:rPr>
          <w:rFonts w:asciiTheme="minorHAnsi" w:hAnsiTheme="minorHAnsi" w:cstheme="minorHAnsi"/>
        </w:rPr>
        <w:t xml:space="preserve">Es así como que, a menos que haya existido el desheredamiento, </w:t>
      </w:r>
      <w:r w:rsidR="000C4CC2" w:rsidRPr="000C4CC2">
        <w:rPr>
          <w:rFonts w:asciiTheme="minorHAnsi" w:hAnsiTheme="minorHAnsi" w:cstheme="minorHAnsi"/>
        </w:rPr>
        <w:t>si alguno de los legitimarios violentó o abandonó al causante adulto mayor igualmente mantendrá su calidad de legitimario</w:t>
      </w:r>
      <w:r>
        <w:rPr>
          <w:rFonts w:asciiTheme="minorHAnsi" w:hAnsiTheme="minorHAnsi" w:cstheme="minorHAnsi"/>
        </w:rPr>
        <w:t xml:space="preserve">. </w:t>
      </w:r>
      <w:r w:rsidRPr="000C4CC2">
        <w:rPr>
          <w:rFonts w:asciiTheme="minorHAnsi" w:hAnsiTheme="minorHAnsi" w:cstheme="minorHAnsi"/>
        </w:rPr>
        <w:t>Sin perjuicio de aquello, en nuestro sistema jurídico opera en su mayoría la sucesión intestada por lo que el desheredamiento tiene poca aplicación</w:t>
      </w:r>
    </w:p>
    <w:p w14:paraId="757B5D78" w14:textId="77777777" w:rsidR="009A478E" w:rsidRDefault="009A478E" w:rsidP="000C4CC2">
      <w:pPr>
        <w:rPr>
          <w:rFonts w:asciiTheme="minorHAnsi" w:hAnsiTheme="minorHAnsi" w:cstheme="minorHAnsi"/>
        </w:rPr>
      </w:pPr>
    </w:p>
    <w:p w14:paraId="10F0882F" w14:textId="77777777" w:rsidR="009A478E" w:rsidRDefault="009A478E" w:rsidP="000C4CC2">
      <w:pPr>
        <w:rPr>
          <w:rFonts w:asciiTheme="minorHAnsi" w:hAnsiTheme="minorHAnsi" w:cstheme="minorHAnsi"/>
        </w:rPr>
      </w:pPr>
    </w:p>
    <w:p w14:paraId="645E9E98" w14:textId="36F9F220" w:rsidR="000C4CC2" w:rsidRDefault="009A478E" w:rsidP="000C4CC2">
      <w:pPr>
        <w:rPr>
          <w:rFonts w:asciiTheme="minorHAnsi" w:hAnsiTheme="minorHAnsi" w:cstheme="minorHAnsi"/>
          <w:u w:val="single"/>
        </w:rPr>
      </w:pPr>
      <w:r w:rsidRPr="009A478E">
        <w:rPr>
          <w:rFonts w:asciiTheme="minorHAnsi" w:hAnsiTheme="minorHAnsi" w:cstheme="minorHAnsi"/>
          <w:u w:val="single"/>
        </w:rPr>
        <w:t>O</w:t>
      </w:r>
      <w:r w:rsidR="000C4CC2" w:rsidRPr="009A478E">
        <w:rPr>
          <w:rFonts w:asciiTheme="minorHAnsi" w:hAnsiTheme="minorHAnsi" w:cstheme="minorHAnsi"/>
          <w:u w:val="single"/>
        </w:rPr>
        <w:t>bservaciones surgidas durante la comisión</w:t>
      </w:r>
      <w:r>
        <w:rPr>
          <w:rFonts w:asciiTheme="minorHAnsi" w:hAnsiTheme="minorHAnsi" w:cstheme="minorHAnsi"/>
          <w:u w:val="single"/>
        </w:rPr>
        <w:t>:</w:t>
      </w:r>
    </w:p>
    <w:p w14:paraId="2DCA960F" w14:textId="77777777" w:rsidR="009A478E" w:rsidRPr="009A478E" w:rsidRDefault="009A478E" w:rsidP="000C4CC2">
      <w:pPr>
        <w:rPr>
          <w:rFonts w:asciiTheme="minorHAnsi" w:hAnsiTheme="minorHAnsi" w:cstheme="minorHAnsi"/>
          <w:u w:val="single"/>
        </w:rPr>
      </w:pPr>
    </w:p>
    <w:p w14:paraId="1CF71DB0" w14:textId="77777777" w:rsidR="000C4CC2" w:rsidRPr="000C4CC2" w:rsidRDefault="000C4CC2" w:rsidP="00153E70">
      <w:pPr>
        <w:jc w:val="both"/>
        <w:rPr>
          <w:rFonts w:asciiTheme="minorHAnsi" w:hAnsiTheme="minorHAnsi" w:cstheme="minorHAnsi"/>
        </w:rPr>
      </w:pPr>
      <w:r w:rsidRPr="000C4CC2">
        <w:rPr>
          <w:rFonts w:asciiTheme="minorHAnsi" w:hAnsiTheme="minorHAnsi" w:cstheme="minorHAnsi"/>
        </w:rPr>
        <w:t xml:space="preserve">1. Durante la discusión de la comisión se estableció que la modificación propuesta no debe quedar solo en orden sucesorio, sino que es necesario una regulación integral de nuestro ordenamiento jurídico que otorgue protección a los bienes del adulto mayor (inembargabilidad, deudas, contribuciones, </w:t>
      </w:r>
      <w:proofErr w:type="spellStart"/>
      <w:r w:rsidRPr="000C4CC2">
        <w:rPr>
          <w:rFonts w:asciiTheme="minorHAnsi" w:hAnsiTheme="minorHAnsi" w:cstheme="minorHAnsi"/>
        </w:rPr>
        <w:t>etc</w:t>
      </w:r>
      <w:proofErr w:type="spellEnd"/>
      <w:r w:rsidRPr="000C4CC2">
        <w:rPr>
          <w:rFonts w:asciiTheme="minorHAnsi" w:hAnsiTheme="minorHAnsi" w:cstheme="minorHAnsi"/>
        </w:rPr>
        <w:t xml:space="preserve">)  </w:t>
      </w:r>
    </w:p>
    <w:p w14:paraId="4F3AB510" w14:textId="6C584ED8" w:rsidR="000C4CC2" w:rsidRPr="000C4CC2" w:rsidRDefault="000C4CC2" w:rsidP="00153E70">
      <w:pPr>
        <w:jc w:val="both"/>
        <w:rPr>
          <w:rFonts w:asciiTheme="minorHAnsi" w:hAnsiTheme="minorHAnsi" w:cstheme="minorHAnsi"/>
        </w:rPr>
      </w:pPr>
      <w:r w:rsidRPr="000C4CC2">
        <w:rPr>
          <w:rFonts w:asciiTheme="minorHAnsi" w:hAnsiTheme="minorHAnsi" w:cstheme="minorHAnsi"/>
        </w:rPr>
        <w:t>2. Se observó por parte de los Profesores de Derecho Civil invitados a las sesiones, entre otras, que en su versión original el proyecto solo limitaba la indignidad a la violencia intrafamiliar constitutiva del delito de maltrato habitual</w:t>
      </w:r>
      <w:r w:rsidR="009A478E">
        <w:rPr>
          <w:rFonts w:asciiTheme="minorHAnsi" w:hAnsiTheme="minorHAnsi" w:cstheme="minorHAnsi"/>
        </w:rPr>
        <w:t>. Pero en</w:t>
      </w:r>
      <w:r w:rsidRPr="000C4CC2">
        <w:rPr>
          <w:rFonts w:asciiTheme="minorHAnsi" w:hAnsiTheme="minorHAnsi" w:cstheme="minorHAnsi"/>
        </w:rPr>
        <w:t xml:space="preserve"> la práctica son pocas las veces en que una causa pasa de conocerse por los tribunales de familia a sede penal. Por tanto, se decidió incluir otro tipo de delitos</w:t>
      </w:r>
      <w:r w:rsidR="009A478E">
        <w:rPr>
          <w:rFonts w:asciiTheme="minorHAnsi" w:hAnsiTheme="minorHAnsi" w:cstheme="minorHAnsi"/>
        </w:rPr>
        <w:t>.</w:t>
      </w:r>
    </w:p>
    <w:p w14:paraId="1A4115A2" w14:textId="31F8FAC7" w:rsidR="000C4CC2" w:rsidRPr="000C4CC2" w:rsidRDefault="000C4CC2" w:rsidP="00153E70">
      <w:pPr>
        <w:jc w:val="both"/>
        <w:rPr>
          <w:rFonts w:asciiTheme="minorHAnsi" w:hAnsiTheme="minorHAnsi" w:cstheme="minorHAnsi"/>
        </w:rPr>
      </w:pPr>
      <w:r w:rsidRPr="000C4CC2">
        <w:rPr>
          <w:rFonts w:asciiTheme="minorHAnsi" w:hAnsiTheme="minorHAnsi" w:cstheme="minorHAnsi"/>
        </w:rPr>
        <w:t xml:space="preserve">3. </w:t>
      </w:r>
      <w:r w:rsidR="00153E70">
        <w:rPr>
          <w:rFonts w:asciiTheme="minorHAnsi" w:hAnsiTheme="minorHAnsi" w:cstheme="minorHAnsi"/>
        </w:rPr>
        <w:t>Si bien es correcto incorporar esta causal, se deben an</w:t>
      </w:r>
      <w:r w:rsidRPr="000C4CC2">
        <w:rPr>
          <w:rFonts w:asciiTheme="minorHAnsi" w:hAnsiTheme="minorHAnsi" w:cstheme="minorHAnsi"/>
        </w:rPr>
        <w:t>alizar los distintos estatutos jurídicos sucesorios que tienen la incapacidad y la indignidad, toda vez que son instituciones distintas que se manejan en forma diferente y deben ser correctamente interpretadas con miras a la protección del adulto mayor.</w:t>
      </w:r>
    </w:p>
    <w:p w14:paraId="4DE7B421" w14:textId="19DC9809" w:rsidR="000C4CC2" w:rsidRPr="000C4CC2" w:rsidRDefault="000C4CC2" w:rsidP="00153E70">
      <w:pPr>
        <w:jc w:val="both"/>
        <w:rPr>
          <w:rFonts w:asciiTheme="minorHAnsi" w:hAnsiTheme="minorHAnsi" w:cstheme="minorHAnsi"/>
        </w:rPr>
      </w:pPr>
      <w:r w:rsidRPr="000C4CC2">
        <w:rPr>
          <w:rFonts w:asciiTheme="minorHAnsi" w:hAnsiTheme="minorHAnsi" w:cstheme="minorHAnsi"/>
        </w:rPr>
        <w:t xml:space="preserve">En ese sentido, se concordó que la incapacidad dice relación únicamente con la falta de aptitud legal de una persona para suceder a otra. </w:t>
      </w:r>
      <w:r w:rsidR="00153E70">
        <w:rPr>
          <w:rFonts w:asciiTheme="minorHAnsi" w:hAnsiTheme="minorHAnsi" w:cstheme="minorHAnsi"/>
        </w:rPr>
        <w:t>A</w:t>
      </w:r>
      <w:r w:rsidRPr="000C4CC2">
        <w:rPr>
          <w:rFonts w:asciiTheme="minorHAnsi" w:hAnsiTheme="minorHAnsi" w:cstheme="minorHAnsi"/>
        </w:rPr>
        <w:t>demás</w:t>
      </w:r>
      <w:r w:rsidR="00153E70">
        <w:rPr>
          <w:rFonts w:asciiTheme="minorHAnsi" w:hAnsiTheme="minorHAnsi" w:cstheme="minorHAnsi"/>
        </w:rPr>
        <w:t>, opera</w:t>
      </w:r>
      <w:r w:rsidRPr="000C4CC2">
        <w:rPr>
          <w:rFonts w:asciiTheme="minorHAnsi" w:hAnsiTheme="minorHAnsi" w:cstheme="minorHAnsi"/>
        </w:rPr>
        <w:t xml:space="preserve"> de pleno derecho</w:t>
      </w:r>
      <w:r w:rsidR="00153E70">
        <w:rPr>
          <w:rFonts w:asciiTheme="minorHAnsi" w:hAnsiTheme="minorHAnsi" w:cstheme="minorHAnsi"/>
        </w:rPr>
        <w:t>, por</w:t>
      </w:r>
      <w:r w:rsidRPr="000C4CC2">
        <w:rPr>
          <w:rFonts w:asciiTheme="minorHAnsi" w:hAnsiTheme="minorHAnsi" w:cstheme="minorHAnsi"/>
        </w:rPr>
        <w:t xml:space="preserve"> lo que no necesitaría una declaración judicial</w:t>
      </w:r>
      <w:r w:rsidR="00153E70">
        <w:rPr>
          <w:rFonts w:asciiTheme="minorHAnsi" w:hAnsiTheme="minorHAnsi" w:cstheme="minorHAnsi"/>
        </w:rPr>
        <w:t xml:space="preserve">. </w:t>
      </w:r>
      <w:r w:rsidRPr="000C4CC2">
        <w:rPr>
          <w:rFonts w:asciiTheme="minorHAnsi" w:hAnsiTheme="minorHAnsi" w:cstheme="minorHAnsi"/>
        </w:rPr>
        <w:t>Lo anterior podría dar lugar a la utilización dolosa de la causal de incapacidad, o derivar su aplicación en un resultado contrario a la voluntad del causante.</w:t>
      </w:r>
    </w:p>
    <w:p w14:paraId="1B116FA4" w14:textId="7B29BDF0" w:rsidR="000C4CC2" w:rsidRPr="000C4CC2" w:rsidRDefault="000C4CC2" w:rsidP="00153E70">
      <w:pPr>
        <w:jc w:val="both"/>
        <w:rPr>
          <w:rFonts w:asciiTheme="minorHAnsi" w:hAnsiTheme="minorHAnsi" w:cstheme="minorHAnsi"/>
        </w:rPr>
      </w:pPr>
      <w:r w:rsidRPr="000C4CC2">
        <w:rPr>
          <w:rFonts w:asciiTheme="minorHAnsi" w:hAnsiTheme="minorHAnsi" w:cstheme="minorHAnsi"/>
        </w:rPr>
        <w:t xml:space="preserve">Por otro lado, la indignidad para suceder se define como la falta de mérito que tiene una persona para suceder a otra y se funda en haber tenido un comportamiento inadecuado, o conductas que implican un atentado grave para el causante, en ese caso el adulto mayor. </w:t>
      </w:r>
      <w:r w:rsidR="00153E70">
        <w:rPr>
          <w:rFonts w:asciiTheme="minorHAnsi" w:hAnsiTheme="minorHAnsi" w:cstheme="minorHAnsi"/>
        </w:rPr>
        <w:t xml:space="preserve">A </w:t>
      </w:r>
      <w:r w:rsidRPr="000C4CC2">
        <w:rPr>
          <w:rFonts w:asciiTheme="minorHAnsi" w:hAnsiTheme="minorHAnsi" w:cstheme="minorHAnsi"/>
        </w:rPr>
        <w:t xml:space="preserve">diferencia de la incapacidad, la indignidad no produce efecto alguno si no es declarada en juicio, a instancia de cualquiera de los interesados </w:t>
      </w:r>
    </w:p>
    <w:p w14:paraId="198B0551" w14:textId="009104E2" w:rsidR="0044132F" w:rsidRPr="000C4CC2" w:rsidRDefault="0044132F" w:rsidP="00A405F8">
      <w:pPr>
        <w:rPr>
          <w:rFonts w:asciiTheme="minorHAnsi" w:hAnsiTheme="minorHAnsi" w:cstheme="minorHAnsi"/>
        </w:rPr>
      </w:pPr>
    </w:p>
    <w:p w14:paraId="42643CC1" w14:textId="47FAACC8" w:rsidR="00EE2D77" w:rsidRPr="00EE2D77" w:rsidRDefault="0042038C" w:rsidP="00153E70">
      <w:pPr>
        <w:jc w:val="both"/>
        <w:rPr>
          <w:rFonts w:asciiTheme="minorHAnsi" w:hAnsiTheme="minorHAnsi" w:cstheme="minorHAnsi"/>
          <w:caps/>
          <w:color w:val="404040" w:themeColor="text1" w:themeTint="BF"/>
        </w:rPr>
      </w:pPr>
      <w:r w:rsidRPr="00EE2F2E">
        <w:rPr>
          <w:rFonts w:asciiTheme="minorHAnsi" w:hAnsiTheme="minorHAnsi" w:cstheme="minorHAnsi"/>
          <w:caps/>
        </w:rPr>
        <w:t xml:space="preserve">Sugerencia de votación: </w:t>
      </w:r>
      <w:r w:rsidR="00E328A9">
        <w:rPr>
          <w:rFonts w:asciiTheme="minorHAnsi" w:hAnsiTheme="minorHAnsi" w:cstheme="minorHAnsi"/>
          <w:caps/>
        </w:rPr>
        <w:t xml:space="preserve">a favor. </w:t>
      </w:r>
      <w:r w:rsidR="00EE09B3" w:rsidRPr="00EE2F2E">
        <w:rPr>
          <w:rFonts w:asciiTheme="minorHAnsi" w:hAnsiTheme="minorHAnsi" w:cstheme="minorHAnsi"/>
          <w:caps/>
        </w:rPr>
        <w:t xml:space="preserve"> </w:t>
      </w:r>
    </w:p>
    <w:sectPr w:rsidR="00EE2D77" w:rsidRPr="00EE2D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91ABB" w14:textId="77777777" w:rsidR="00DB20C9" w:rsidRDefault="00DB20C9" w:rsidP="00807A18">
      <w:r>
        <w:separator/>
      </w:r>
    </w:p>
  </w:endnote>
  <w:endnote w:type="continuationSeparator" w:id="0">
    <w:p w14:paraId="276307BE" w14:textId="77777777" w:rsidR="00DB20C9" w:rsidRDefault="00DB20C9"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3FFB" w14:textId="77777777" w:rsidR="00DB20C9" w:rsidRDefault="00DB20C9" w:rsidP="00807A18">
      <w:r>
        <w:separator/>
      </w:r>
    </w:p>
  </w:footnote>
  <w:footnote w:type="continuationSeparator" w:id="0">
    <w:p w14:paraId="084E46E3" w14:textId="77777777" w:rsidR="00DB20C9" w:rsidRDefault="00DB20C9" w:rsidP="0080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4EB5" w14:textId="77777777" w:rsidR="00E76C4C" w:rsidRPr="00695DE4" w:rsidRDefault="00E76C4C">
    <w:pPr>
      <w:pStyle w:val="Encabezado"/>
      <w:rPr>
        <w:i/>
        <w:lang w:val="es-CL"/>
      </w:rPr>
    </w:pPr>
    <w:r w:rsidRPr="00807A18">
      <w:rPr>
        <w:i/>
        <w:noProof/>
      </w:rPr>
      <w:drawing>
        <wp:anchor distT="0" distB="0" distL="114300" distR="114300" simplePos="0" relativeHeight="251658240" behindDoc="0" locked="0" layoutInCell="1" allowOverlap="1" wp14:anchorId="131B0F58" wp14:editId="1028540D">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695DE4">
      <w:rPr>
        <w:i/>
        <w:lang w:val="es-CL"/>
      </w:rPr>
      <w:t>H. Senadora Luz Ebensperger</w:t>
    </w:r>
  </w:p>
  <w:p w14:paraId="40B73DD6" w14:textId="77777777" w:rsidR="00E76C4C" w:rsidRPr="00695DE4" w:rsidRDefault="00E76C4C">
    <w:pPr>
      <w:pStyle w:val="Encabezado"/>
      <w:rPr>
        <w:i/>
        <w:lang w:val="es-CL"/>
      </w:rPr>
    </w:pPr>
    <w:r w:rsidRPr="00695DE4">
      <w:rPr>
        <w:i/>
        <w:lang w:val="es-CL"/>
      </w:rPr>
      <w:t xml:space="preserve">Autor: Ivette Avaria, </w:t>
    </w:r>
    <w:r w:rsidRPr="00807A18">
      <w:rPr>
        <w:i/>
        <w:lang w:val="es-CL"/>
      </w:rPr>
      <w:t>Asesor</w:t>
    </w:r>
    <w:r w:rsidRPr="00695DE4">
      <w:rPr>
        <w:i/>
        <w:lang w:val="es-CL"/>
      </w:rPr>
      <w:t xml:space="preserve"> Legislativo</w:t>
    </w:r>
  </w:p>
  <w:p w14:paraId="50CC0A8A" w14:textId="77777777" w:rsidR="00E76C4C" w:rsidRPr="00695DE4" w:rsidRDefault="00E76C4C">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2E0"/>
    <w:multiLevelType w:val="hybridMultilevel"/>
    <w:tmpl w:val="AEACB0CE"/>
    <w:lvl w:ilvl="0" w:tplc="340A000F">
      <w:start w:val="1"/>
      <w:numFmt w:val="decimal"/>
      <w:lvlText w:val="%1."/>
      <w:lvlJc w:val="lef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1" w15:restartNumberingAfterBreak="0">
    <w:nsid w:val="17444C44"/>
    <w:multiLevelType w:val="hybridMultilevel"/>
    <w:tmpl w:val="55843230"/>
    <w:lvl w:ilvl="0" w:tplc="72489D8A">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4F421C"/>
    <w:multiLevelType w:val="hybridMultilevel"/>
    <w:tmpl w:val="5EC07330"/>
    <w:lvl w:ilvl="0" w:tplc="F0E0534E">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9D64B7C"/>
    <w:multiLevelType w:val="hybridMultilevel"/>
    <w:tmpl w:val="D698074A"/>
    <w:lvl w:ilvl="0" w:tplc="0E4A7040">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341EB0"/>
    <w:multiLevelType w:val="hybridMultilevel"/>
    <w:tmpl w:val="E9086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C73B37"/>
    <w:multiLevelType w:val="hybridMultilevel"/>
    <w:tmpl w:val="136A0E64"/>
    <w:lvl w:ilvl="0" w:tplc="C5803ED6">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04C0F"/>
    <w:rsid w:val="00011790"/>
    <w:rsid w:val="000526DC"/>
    <w:rsid w:val="000C4CC2"/>
    <w:rsid w:val="00130910"/>
    <w:rsid w:val="00153E70"/>
    <w:rsid w:val="001621B5"/>
    <w:rsid w:val="001941E8"/>
    <w:rsid w:val="00274803"/>
    <w:rsid w:val="00287D50"/>
    <w:rsid w:val="002E1131"/>
    <w:rsid w:val="00304281"/>
    <w:rsid w:val="0042038C"/>
    <w:rsid w:val="004213D4"/>
    <w:rsid w:val="0044132F"/>
    <w:rsid w:val="00476A46"/>
    <w:rsid w:val="005446C3"/>
    <w:rsid w:val="0057014E"/>
    <w:rsid w:val="00633101"/>
    <w:rsid w:val="006802D6"/>
    <w:rsid w:val="00695DE4"/>
    <w:rsid w:val="006D47F6"/>
    <w:rsid w:val="006F61A2"/>
    <w:rsid w:val="00722DFC"/>
    <w:rsid w:val="00741C35"/>
    <w:rsid w:val="00807A18"/>
    <w:rsid w:val="00850858"/>
    <w:rsid w:val="00862FFF"/>
    <w:rsid w:val="009153B1"/>
    <w:rsid w:val="009239F9"/>
    <w:rsid w:val="00953696"/>
    <w:rsid w:val="00981EB5"/>
    <w:rsid w:val="00991D44"/>
    <w:rsid w:val="009A478E"/>
    <w:rsid w:val="00A03C34"/>
    <w:rsid w:val="00A17020"/>
    <w:rsid w:val="00A22B32"/>
    <w:rsid w:val="00A23F97"/>
    <w:rsid w:val="00A405F8"/>
    <w:rsid w:val="00AA6CF1"/>
    <w:rsid w:val="00AB7751"/>
    <w:rsid w:val="00BB6D00"/>
    <w:rsid w:val="00BC0D5D"/>
    <w:rsid w:val="00BC5A28"/>
    <w:rsid w:val="00BD13B2"/>
    <w:rsid w:val="00BF6558"/>
    <w:rsid w:val="00C5605C"/>
    <w:rsid w:val="00CE2EC9"/>
    <w:rsid w:val="00D1567C"/>
    <w:rsid w:val="00D37A3A"/>
    <w:rsid w:val="00D62D99"/>
    <w:rsid w:val="00D65566"/>
    <w:rsid w:val="00D75693"/>
    <w:rsid w:val="00DB20C9"/>
    <w:rsid w:val="00DD348B"/>
    <w:rsid w:val="00E328A9"/>
    <w:rsid w:val="00E469CD"/>
    <w:rsid w:val="00E76C4C"/>
    <w:rsid w:val="00ED5B2E"/>
    <w:rsid w:val="00EE09B3"/>
    <w:rsid w:val="00EE2D77"/>
    <w:rsid w:val="00EE2F2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59E2"/>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2</cp:revision>
  <dcterms:created xsi:type="dcterms:W3CDTF">2019-07-03T19:12:00Z</dcterms:created>
  <dcterms:modified xsi:type="dcterms:W3CDTF">2019-07-03T19:12:00Z</dcterms:modified>
</cp:coreProperties>
</file>