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CF7" w:rsidRPr="004A2CF7" w:rsidRDefault="004A2CF7" w:rsidP="004A2CF7">
      <w:pPr>
        <w:jc w:val="center"/>
        <w:rPr>
          <w:rFonts w:ascii="Garamond" w:hAnsi="Garamond" w:cstheme="minorHAnsi"/>
          <w:b/>
          <w:sz w:val="28"/>
          <w:szCs w:val="28"/>
          <w:lang w:val="es-MX"/>
        </w:rPr>
      </w:pPr>
      <w:r w:rsidRPr="004A2CF7">
        <w:rPr>
          <w:rFonts w:ascii="Garamond" w:hAnsi="Garamond" w:cstheme="minorHAnsi"/>
          <w:b/>
          <w:sz w:val="28"/>
          <w:szCs w:val="28"/>
          <w:lang w:val="es-MX"/>
        </w:rPr>
        <w:t xml:space="preserve">MINUTA </w:t>
      </w:r>
    </w:p>
    <w:p w:rsidR="004A2CF7" w:rsidRPr="004A2CF7" w:rsidRDefault="004A2CF7" w:rsidP="001D393C">
      <w:pPr>
        <w:jc w:val="center"/>
        <w:rPr>
          <w:rFonts w:ascii="Garamond" w:hAnsi="Garamond"/>
          <w:b/>
          <w:sz w:val="28"/>
          <w:szCs w:val="24"/>
        </w:rPr>
      </w:pPr>
      <w:r w:rsidRPr="004A2CF7">
        <w:rPr>
          <w:rFonts w:ascii="Garamond" w:hAnsi="Garamond" w:cstheme="minorHAnsi"/>
          <w:b/>
          <w:sz w:val="28"/>
          <w:szCs w:val="28"/>
          <w:lang w:val="es-MX"/>
        </w:rPr>
        <w:t xml:space="preserve">PROYECTO DE LEY </w:t>
      </w:r>
      <w:r w:rsidR="003E7922">
        <w:rPr>
          <w:rFonts w:ascii="Garamond" w:hAnsi="Garamond" w:cstheme="minorHAnsi"/>
          <w:b/>
          <w:sz w:val="28"/>
          <w:szCs w:val="28"/>
          <w:lang w:val="es-MX"/>
        </w:rPr>
        <w:tab/>
      </w:r>
      <w:r w:rsidR="001D393C">
        <w:rPr>
          <w:rFonts w:ascii="Garamond" w:hAnsi="Garamond" w:cstheme="minorHAnsi"/>
          <w:b/>
          <w:sz w:val="28"/>
          <w:szCs w:val="28"/>
          <w:lang w:val="es-MX"/>
        </w:rPr>
        <w:t>QUE REGULA LA ACUICULTURA</w:t>
      </w:r>
    </w:p>
    <w:p w:rsidR="004A2CF7" w:rsidRPr="004A2CF7" w:rsidRDefault="004A2CF7" w:rsidP="004A2CF7">
      <w:pPr>
        <w:autoSpaceDE w:val="0"/>
        <w:autoSpaceDN w:val="0"/>
        <w:adjustRightInd w:val="0"/>
        <w:spacing w:after="0" w:line="240" w:lineRule="auto"/>
        <w:jc w:val="both"/>
        <w:rPr>
          <w:rFonts w:ascii="Times New Roman" w:eastAsia="Calibri" w:hAnsi="Times New Roman" w:cs="Times New Roman"/>
          <w:color w:val="000000"/>
          <w:sz w:val="24"/>
          <w:szCs w:val="24"/>
          <w:lang w:val="es-ES"/>
        </w:rPr>
      </w:pPr>
    </w:p>
    <w:p w:rsidR="004A2CF7" w:rsidRPr="004A2CF7" w:rsidRDefault="004A2CF7" w:rsidP="004A2CF7">
      <w:pPr>
        <w:jc w:val="center"/>
        <w:rPr>
          <w:rFonts w:ascii="Garamond" w:hAnsi="Garamond" w:cstheme="minorHAnsi"/>
          <w:sz w:val="28"/>
          <w:szCs w:val="28"/>
          <w:lang w:val="es-MX"/>
        </w:rPr>
      </w:pPr>
      <w:r w:rsidRPr="004A2CF7">
        <w:rPr>
          <w:rFonts w:ascii="Garamond" w:hAnsi="Garamond" w:cstheme="minorHAnsi"/>
          <w:sz w:val="28"/>
          <w:szCs w:val="28"/>
          <w:lang w:val="es-MX"/>
        </w:rPr>
        <w:t xml:space="preserve">BOLETIN </w:t>
      </w:r>
      <w:r w:rsidR="001D393C" w:rsidRPr="001D393C">
        <w:rPr>
          <w:rFonts w:ascii="Garamond" w:hAnsi="Garamond"/>
          <w:sz w:val="28"/>
          <w:szCs w:val="28"/>
        </w:rPr>
        <w:t>12.634-12</w:t>
      </w:r>
    </w:p>
    <w:tbl>
      <w:tblPr>
        <w:tblStyle w:val="Tablaconcuadrcula"/>
        <w:tblW w:w="0" w:type="auto"/>
        <w:tblLook w:val="04A0" w:firstRow="1" w:lastRow="0" w:firstColumn="1" w:lastColumn="0" w:noHBand="0" w:noVBand="1"/>
      </w:tblPr>
      <w:tblGrid>
        <w:gridCol w:w="4414"/>
        <w:gridCol w:w="4414"/>
      </w:tblGrid>
      <w:tr w:rsidR="004A2CF7" w:rsidRPr="004A2CF7" w:rsidTr="00840481">
        <w:tc>
          <w:tcPr>
            <w:tcW w:w="4414" w:type="dxa"/>
          </w:tcPr>
          <w:p w:rsidR="004A2CF7" w:rsidRPr="004A2CF7" w:rsidRDefault="004A2CF7" w:rsidP="004A2CF7">
            <w:pPr>
              <w:rPr>
                <w:rFonts w:cstheme="minorHAnsi"/>
                <w:lang w:val="es-MX"/>
              </w:rPr>
            </w:pPr>
            <w:r w:rsidRPr="00840481">
              <w:rPr>
                <w:rFonts w:cstheme="minorHAnsi"/>
                <w:b/>
                <w:u w:val="single"/>
                <w:lang w:val="es-MX"/>
              </w:rPr>
              <w:t>INICIATIVA</w:t>
            </w:r>
            <w:r w:rsidRPr="00840481">
              <w:rPr>
                <w:rFonts w:cstheme="minorHAnsi"/>
                <w:b/>
                <w:lang w:val="es-MX"/>
              </w:rPr>
              <w:t>:</w:t>
            </w:r>
            <w:r w:rsidRPr="004A2CF7">
              <w:rPr>
                <w:rFonts w:cstheme="minorHAnsi"/>
                <w:lang w:val="es-MX"/>
              </w:rPr>
              <w:t xml:space="preserve"> Moción</w:t>
            </w:r>
          </w:p>
          <w:p w:rsidR="004A2CF7" w:rsidRPr="004A2CF7" w:rsidRDefault="004A2CF7" w:rsidP="004A2CF7">
            <w:pPr>
              <w:rPr>
                <w:rFonts w:cstheme="minorHAnsi"/>
                <w:lang w:val="es-MX"/>
              </w:rPr>
            </w:pPr>
          </w:p>
          <w:p w:rsidR="004A2CF7" w:rsidRPr="004A2CF7" w:rsidRDefault="004A2CF7" w:rsidP="004A2CF7">
            <w:pPr>
              <w:rPr>
                <w:rFonts w:cstheme="minorHAnsi"/>
                <w:lang w:val="es-MX"/>
              </w:rPr>
            </w:pPr>
            <w:r w:rsidRPr="00840481">
              <w:rPr>
                <w:rFonts w:cstheme="minorHAnsi"/>
                <w:b/>
                <w:u w:val="single"/>
                <w:lang w:val="es-MX"/>
              </w:rPr>
              <w:t>INGRESO TRAMITACIÓN</w:t>
            </w:r>
            <w:r w:rsidRPr="00840481">
              <w:rPr>
                <w:rFonts w:cstheme="minorHAnsi"/>
                <w:b/>
                <w:lang w:val="es-MX"/>
              </w:rPr>
              <w:t>:</w:t>
            </w:r>
            <w:r w:rsidRPr="004A2CF7">
              <w:rPr>
                <w:rFonts w:cstheme="minorHAnsi"/>
                <w:lang w:val="es-MX"/>
              </w:rPr>
              <w:t xml:space="preserve"> </w:t>
            </w:r>
            <w:r w:rsidR="001D393C">
              <w:rPr>
                <w:rFonts w:cstheme="minorHAnsi"/>
                <w:lang w:val="es-MX"/>
              </w:rPr>
              <w:t>Mayo 2019</w:t>
            </w:r>
          </w:p>
          <w:p w:rsidR="004A2CF7" w:rsidRPr="004A2CF7" w:rsidRDefault="004A2CF7" w:rsidP="004A2CF7">
            <w:pPr>
              <w:rPr>
                <w:rFonts w:cstheme="minorHAnsi"/>
                <w:lang w:val="es-MX"/>
              </w:rPr>
            </w:pPr>
          </w:p>
          <w:p w:rsidR="004A2CF7" w:rsidRPr="004A2CF7" w:rsidRDefault="004A2CF7" w:rsidP="004A2CF7">
            <w:pPr>
              <w:rPr>
                <w:rFonts w:cstheme="minorHAnsi"/>
                <w:lang w:val="es-MX"/>
              </w:rPr>
            </w:pPr>
            <w:r w:rsidRPr="00840481">
              <w:rPr>
                <w:rFonts w:cstheme="minorHAnsi"/>
                <w:b/>
                <w:u w:val="single"/>
                <w:lang w:val="es-MX"/>
              </w:rPr>
              <w:t>CAMARA DE ORIGEN</w:t>
            </w:r>
            <w:r w:rsidRPr="00840481">
              <w:rPr>
                <w:rFonts w:cstheme="minorHAnsi"/>
                <w:b/>
                <w:lang w:val="es-MX"/>
              </w:rPr>
              <w:t>:</w:t>
            </w:r>
            <w:r w:rsidRPr="004A2CF7">
              <w:rPr>
                <w:rFonts w:cstheme="minorHAnsi"/>
                <w:lang w:val="es-MX"/>
              </w:rPr>
              <w:t xml:space="preserve"> Senado</w:t>
            </w:r>
          </w:p>
          <w:p w:rsidR="004A2CF7" w:rsidRPr="004A2CF7" w:rsidRDefault="004A2CF7" w:rsidP="004A2CF7">
            <w:pPr>
              <w:rPr>
                <w:rFonts w:cstheme="minorHAnsi"/>
                <w:lang w:val="es-MX"/>
              </w:rPr>
            </w:pPr>
          </w:p>
          <w:p w:rsidR="004A2CF7" w:rsidRPr="004A2CF7" w:rsidRDefault="004A2CF7" w:rsidP="004A2CF7">
            <w:pPr>
              <w:rPr>
                <w:rFonts w:cstheme="minorHAnsi"/>
                <w:lang w:val="es-MX"/>
              </w:rPr>
            </w:pPr>
            <w:r w:rsidRPr="00840481">
              <w:rPr>
                <w:rFonts w:cstheme="minorHAnsi"/>
                <w:b/>
                <w:u w:val="single"/>
                <w:lang w:val="es-MX"/>
              </w:rPr>
              <w:t>URGENCIA</w:t>
            </w:r>
            <w:r w:rsidRPr="00840481">
              <w:rPr>
                <w:rFonts w:cstheme="minorHAnsi"/>
                <w:b/>
                <w:lang w:val="es-MX"/>
              </w:rPr>
              <w:t>:</w:t>
            </w:r>
            <w:r w:rsidRPr="004A2CF7">
              <w:rPr>
                <w:rFonts w:cstheme="minorHAnsi"/>
                <w:lang w:val="es-MX"/>
              </w:rPr>
              <w:t xml:space="preserve"> Ninguna</w:t>
            </w:r>
          </w:p>
          <w:p w:rsidR="004A2CF7" w:rsidRPr="004A2CF7" w:rsidRDefault="004A2CF7" w:rsidP="004A2CF7">
            <w:pPr>
              <w:rPr>
                <w:rFonts w:cstheme="minorHAnsi"/>
                <w:lang w:val="es-MX"/>
              </w:rPr>
            </w:pPr>
          </w:p>
          <w:p w:rsidR="004A2CF7" w:rsidRPr="004A2CF7" w:rsidRDefault="004A2CF7" w:rsidP="00977E3A">
            <w:pPr>
              <w:rPr>
                <w:rFonts w:cstheme="minorHAnsi"/>
                <w:lang w:val="es-MX"/>
              </w:rPr>
            </w:pPr>
            <w:r w:rsidRPr="00840481">
              <w:rPr>
                <w:rFonts w:cstheme="minorHAnsi"/>
                <w:b/>
                <w:u w:val="single"/>
                <w:lang w:val="es-MX"/>
              </w:rPr>
              <w:t>ETAPA</w:t>
            </w:r>
            <w:r w:rsidRPr="00840481">
              <w:rPr>
                <w:rFonts w:cstheme="minorHAnsi"/>
                <w:b/>
                <w:lang w:val="es-MX"/>
              </w:rPr>
              <w:t>:</w:t>
            </w:r>
            <w:r w:rsidRPr="004A2CF7">
              <w:rPr>
                <w:rFonts w:cstheme="minorHAnsi"/>
                <w:lang w:val="es-MX"/>
              </w:rPr>
              <w:t xml:space="preserve"> Primer trámite constitucional, </w:t>
            </w:r>
            <w:r w:rsidR="00977E3A">
              <w:rPr>
                <w:rFonts w:cstheme="minorHAnsi"/>
                <w:lang w:val="es-MX"/>
              </w:rPr>
              <w:t>primer</w:t>
            </w:r>
            <w:r w:rsidRPr="004A2CF7">
              <w:rPr>
                <w:rFonts w:cstheme="minorHAnsi"/>
                <w:lang w:val="es-MX"/>
              </w:rPr>
              <w:t xml:space="preserve"> trámite reglamentario</w:t>
            </w:r>
          </w:p>
        </w:tc>
        <w:tc>
          <w:tcPr>
            <w:tcW w:w="4414" w:type="dxa"/>
          </w:tcPr>
          <w:p w:rsidR="004A2CF7" w:rsidRPr="00840481" w:rsidRDefault="004A2CF7" w:rsidP="004A2CF7">
            <w:pPr>
              <w:rPr>
                <w:rFonts w:cstheme="minorHAnsi"/>
                <w:b/>
                <w:lang w:val="es-MX"/>
              </w:rPr>
            </w:pPr>
            <w:r w:rsidRPr="00840481">
              <w:rPr>
                <w:rFonts w:cstheme="minorHAnsi"/>
                <w:b/>
                <w:u w:val="single"/>
                <w:lang w:val="es-MX"/>
              </w:rPr>
              <w:t>IDEA MATRIZ DEL PROYECTO</w:t>
            </w:r>
            <w:r w:rsidRPr="00840481">
              <w:rPr>
                <w:rFonts w:cstheme="minorHAnsi"/>
                <w:b/>
                <w:lang w:val="es-MX"/>
              </w:rPr>
              <w:t xml:space="preserve">: </w:t>
            </w:r>
          </w:p>
          <w:p w:rsidR="004A2CF7" w:rsidRDefault="004A2CF7" w:rsidP="004A2CF7">
            <w:pPr>
              <w:jc w:val="both"/>
              <w:rPr>
                <w:rFonts w:cstheme="minorHAnsi"/>
              </w:rPr>
            </w:pPr>
          </w:p>
          <w:p w:rsidR="00AC4CF7" w:rsidRDefault="00840481" w:rsidP="004A2CF7">
            <w:pPr>
              <w:jc w:val="both"/>
              <w:rPr>
                <w:rFonts w:cstheme="minorHAnsi"/>
              </w:rPr>
            </w:pPr>
            <w:r w:rsidRPr="00840481">
              <w:rPr>
                <w:rFonts w:cstheme="minorHAnsi"/>
                <w:b/>
                <w:u w:val="single"/>
              </w:rPr>
              <w:t>AUTORES</w:t>
            </w:r>
            <w:r>
              <w:rPr>
                <w:rFonts w:cstheme="minorHAnsi"/>
              </w:rPr>
              <w:t xml:space="preserve">: Girardi, </w:t>
            </w:r>
            <w:r w:rsidR="001D393C">
              <w:rPr>
                <w:rFonts w:cstheme="minorHAnsi"/>
              </w:rPr>
              <w:t xml:space="preserve">Allende, Órdenes, Sandoval, Prohens. </w:t>
            </w:r>
          </w:p>
          <w:p w:rsidR="00840481" w:rsidRPr="004A2CF7" w:rsidRDefault="00840481" w:rsidP="004A2CF7">
            <w:pPr>
              <w:jc w:val="both"/>
              <w:rPr>
                <w:rFonts w:cstheme="minorHAnsi"/>
              </w:rPr>
            </w:pPr>
          </w:p>
        </w:tc>
      </w:tr>
      <w:tr w:rsidR="00840481" w:rsidRPr="004A2CF7" w:rsidTr="00840481">
        <w:tc>
          <w:tcPr>
            <w:tcW w:w="8828" w:type="dxa"/>
            <w:gridSpan w:val="2"/>
          </w:tcPr>
          <w:p w:rsidR="00570B17" w:rsidRDefault="00570B17" w:rsidP="001D393C">
            <w:pPr>
              <w:rPr>
                <w:rFonts w:cstheme="minorHAnsi"/>
                <w:b/>
                <w:u w:val="single"/>
                <w:lang w:val="es-MX"/>
              </w:rPr>
            </w:pPr>
            <w:r>
              <w:rPr>
                <w:rFonts w:cstheme="minorHAnsi"/>
                <w:b/>
                <w:u w:val="single"/>
                <w:lang w:val="es-MX"/>
              </w:rPr>
              <w:t>RESUMEN EJECTUVO</w:t>
            </w:r>
            <w:r w:rsidR="00840481" w:rsidRPr="00840481">
              <w:rPr>
                <w:rFonts w:cstheme="minorHAnsi"/>
                <w:b/>
                <w:u w:val="single"/>
                <w:lang w:val="es-MX"/>
              </w:rPr>
              <w:t xml:space="preserve">: </w:t>
            </w:r>
          </w:p>
          <w:p w:rsidR="00A26FBC" w:rsidRDefault="00A26FBC" w:rsidP="001D393C">
            <w:pPr>
              <w:rPr>
                <w:rFonts w:cstheme="minorHAnsi"/>
                <w:b/>
                <w:u w:val="single"/>
                <w:lang w:val="es-MX"/>
              </w:rPr>
            </w:pPr>
          </w:p>
          <w:p w:rsidR="00A26FBC" w:rsidRDefault="009B6BE7" w:rsidP="001D393C">
            <w:pPr>
              <w:rPr>
                <w:rFonts w:cstheme="minorHAnsi"/>
                <w:lang w:val="es-MX"/>
              </w:rPr>
            </w:pPr>
            <w:r>
              <w:rPr>
                <w:rFonts w:cstheme="minorHAnsi"/>
                <w:lang w:val="es-MX"/>
              </w:rPr>
              <w:t xml:space="preserve">El proyecto de ley consta de 15 medidas que le aplican a la industria acuícola para hacerla más sustentable. </w:t>
            </w:r>
          </w:p>
          <w:p w:rsidR="00A26FBC" w:rsidRDefault="00A26FBC" w:rsidP="001D393C">
            <w:pPr>
              <w:rPr>
                <w:rFonts w:cstheme="minorHAnsi"/>
                <w:lang w:val="es-MX"/>
              </w:rPr>
            </w:pPr>
          </w:p>
          <w:p w:rsidR="009B6BE7" w:rsidRDefault="009B6BE7" w:rsidP="001D393C">
            <w:pPr>
              <w:rPr>
                <w:rFonts w:cstheme="minorHAnsi"/>
                <w:lang w:val="es-MX"/>
              </w:rPr>
            </w:pPr>
            <w:r>
              <w:rPr>
                <w:rFonts w:cstheme="minorHAnsi"/>
                <w:lang w:val="es-MX"/>
              </w:rPr>
              <w:t xml:space="preserve">Las más poderosas </w:t>
            </w:r>
            <w:r w:rsidR="00A26FBC">
              <w:rPr>
                <w:rFonts w:cstheme="minorHAnsi"/>
                <w:lang w:val="es-MX"/>
              </w:rPr>
              <w:t xml:space="preserve">y probablemente polémicas </w:t>
            </w:r>
            <w:r>
              <w:rPr>
                <w:rFonts w:cstheme="minorHAnsi"/>
                <w:lang w:val="es-MX"/>
              </w:rPr>
              <w:t xml:space="preserve">son: </w:t>
            </w:r>
          </w:p>
          <w:p w:rsidR="009B6BE7" w:rsidRPr="009B6BE7" w:rsidRDefault="009B6BE7" w:rsidP="009B6BE7">
            <w:pPr>
              <w:pStyle w:val="Prrafodelista"/>
              <w:numPr>
                <w:ilvl w:val="0"/>
                <w:numId w:val="6"/>
              </w:numPr>
              <w:rPr>
                <w:rFonts w:cstheme="minorHAnsi"/>
                <w:lang w:val="es-MX"/>
              </w:rPr>
            </w:pPr>
            <w:r w:rsidRPr="009B6BE7">
              <w:rPr>
                <w:rFonts w:cstheme="minorHAnsi"/>
                <w:lang w:val="es-MX"/>
              </w:rPr>
              <w:t xml:space="preserve">contempla la retroactividad de normas ambientales y sanitarias </w:t>
            </w:r>
            <w:r w:rsidR="00A26FBC">
              <w:rPr>
                <w:rFonts w:cstheme="minorHAnsi"/>
                <w:lang w:val="es-MX"/>
              </w:rPr>
              <w:t>y las hace más rigurosas</w:t>
            </w:r>
          </w:p>
          <w:p w:rsidR="00A26FBC" w:rsidRDefault="00A26FBC" w:rsidP="0074207D">
            <w:pPr>
              <w:pStyle w:val="Prrafodelista"/>
              <w:numPr>
                <w:ilvl w:val="0"/>
                <w:numId w:val="6"/>
              </w:numPr>
              <w:rPr>
                <w:rFonts w:cstheme="minorHAnsi"/>
                <w:lang w:val="es-MX"/>
              </w:rPr>
            </w:pPr>
            <w:r w:rsidRPr="00A26FBC">
              <w:rPr>
                <w:rFonts w:cstheme="minorHAnsi"/>
                <w:lang w:val="es-MX"/>
              </w:rPr>
              <w:t xml:space="preserve">restringe fuertemente las posibilidades de la actividad acuícola al restringirla en las regiones de Magallanes y Aysén, además de espacios de pueblos originarios y dentro y en la proximidad de </w:t>
            </w:r>
            <w:r w:rsidR="009B6BE7" w:rsidRPr="00A26FBC">
              <w:rPr>
                <w:rFonts w:cstheme="minorHAnsi"/>
                <w:lang w:val="es-MX"/>
              </w:rPr>
              <w:t xml:space="preserve">áreas protegidas </w:t>
            </w:r>
          </w:p>
          <w:p w:rsidR="001D393C" w:rsidRPr="00A26FBC" w:rsidRDefault="009B6BE7" w:rsidP="0074207D">
            <w:pPr>
              <w:pStyle w:val="Prrafodelista"/>
              <w:numPr>
                <w:ilvl w:val="0"/>
                <w:numId w:val="6"/>
              </w:numPr>
              <w:rPr>
                <w:rFonts w:cstheme="minorHAnsi"/>
                <w:lang w:val="es-MX"/>
              </w:rPr>
            </w:pPr>
            <w:r w:rsidRPr="00A26FBC">
              <w:rPr>
                <w:rFonts w:cstheme="minorHAnsi"/>
                <w:lang w:val="es-MX"/>
              </w:rPr>
              <w:t xml:space="preserve">modifica los plazos de las concesiones acuícolas, reduciéndolas de 25 a 10. </w:t>
            </w:r>
          </w:p>
          <w:p w:rsidR="009B6BE7" w:rsidRDefault="009B6BE7" w:rsidP="009B6BE7">
            <w:pPr>
              <w:rPr>
                <w:rFonts w:cstheme="minorHAnsi"/>
                <w:lang w:val="es-MX"/>
              </w:rPr>
            </w:pPr>
          </w:p>
          <w:p w:rsidR="009B6BE7" w:rsidRPr="009B6BE7" w:rsidRDefault="009B6BE7" w:rsidP="00A26FBC">
            <w:pPr>
              <w:jc w:val="both"/>
              <w:rPr>
                <w:rFonts w:cstheme="minorHAnsi"/>
                <w:lang w:val="es-MX"/>
              </w:rPr>
            </w:pPr>
            <w:r>
              <w:rPr>
                <w:rFonts w:cstheme="minorHAnsi"/>
                <w:lang w:val="es-MX"/>
              </w:rPr>
              <w:t>En general el proyecto aumenta efectivamente el estándar ambiental de la industria acuícola pero abre varios flancos de conflictos polí</w:t>
            </w:r>
            <w:r w:rsidR="00A26FBC">
              <w:rPr>
                <w:rFonts w:cstheme="minorHAnsi"/>
                <w:lang w:val="es-MX"/>
              </w:rPr>
              <w:t xml:space="preserve">ticos con el sector empresarial, además se presentar algunos posibles problemas de constitucionalidad en relación </w:t>
            </w:r>
            <w:r w:rsidR="00DA27BA">
              <w:rPr>
                <w:rFonts w:cstheme="minorHAnsi"/>
                <w:lang w:val="es-MX"/>
              </w:rPr>
              <w:t xml:space="preserve">el derecho a la propiedad y el derecho a realizar actividades económicas. </w:t>
            </w:r>
            <w:r>
              <w:rPr>
                <w:rFonts w:cstheme="minorHAnsi"/>
                <w:lang w:val="es-MX"/>
              </w:rPr>
              <w:t>Con todo, se sugiere apoyar el proyecto de ley</w:t>
            </w:r>
            <w:r w:rsidR="00DA27BA">
              <w:rPr>
                <w:rFonts w:cstheme="minorHAnsi"/>
                <w:lang w:val="es-MX"/>
              </w:rPr>
              <w:t xml:space="preserve"> que aprovecha el clima político actual</w:t>
            </w:r>
            <w:r>
              <w:rPr>
                <w:rFonts w:cstheme="minorHAnsi"/>
                <w:lang w:val="es-MX"/>
              </w:rPr>
              <w:t xml:space="preserve"> y subsanar las observaciones que se le hagan en el periodo de indicaciones. </w:t>
            </w:r>
          </w:p>
        </w:tc>
      </w:tr>
    </w:tbl>
    <w:p w:rsidR="004A2CF7" w:rsidRDefault="004A2CF7" w:rsidP="004A2CF7">
      <w:pPr>
        <w:rPr>
          <w:rFonts w:ascii="Garamond" w:hAnsi="Garamond"/>
          <w:sz w:val="28"/>
          <w:szCs w:val="28"/>
        </w:rPr>
      </w:pPr>
    </w:p>
    <w:p w:rsidR="001D393C" w:rsidRDefault="004360E4" w:rsidP="004A2CF7">
      <w:pPr>
        <w:rPr>
          <w:rFonts w:ascii="Garamond" w:hAnsi="Garamond"/>
          <w:sz w:val="28"/>
          <w:szCs w:val="28"/>
        </w:rPr>
      </w:pPr>
      <w:r w:rsidRPr="004360E4">
        <w:rPr>
          <w:rFonts w:ascii="Garamond" w:hAnsi="Garamond"/>
          <w:b/>
          <w:sz w:val="28"/>
          <w:szCs w:val="28"/>
        </w:rPr>
        <w:lastRenderedPageBreak/>
        <w:t>RESUMEN DEL PROYECTO</w:t>
      </w:r>
      <w:r w:rsidR="001D393C">
        <w:rPr>
          <w:rFonts w:ascii="Garamond" w:hAnsi="Garamond"/>
          <w:sz w:val="28"/>
          <w:szCs w:val="28"/>
        </w:rPr>
        <w:t xml:space="preserve">: </w:t>
      </w:r>
    </w:p>
    <w:p w:rsidR="001D393C" w:rsidRDefault="004360E4" w:rsidP="00A26FBC">
      <w:pPr>
        <w:pStyle w:val="Prrafodelista"/>
        <w:numPr>
          <w:ilvl w:val="0"/>
          <w:numId w:val="5"/>
        </w:numPr>
        <w:ind w:left="142"/>
        <w:jc w:val="both"/>
        <w:rPr>
          <w:rFonts w:ascii="Garamond" w:hAnsi="Garamond"/>
          <w:sz w:val="28"/>
          <w:szCs w:val="28"/>
        </w:rPr>
      </w:pPr>
      <w:r w:rsidRPr="009B6BE7">
        <w:rPr>
          <w:rFonts w:ascii="Garamond" w:hAnsi="Garamond"/>
          <w:sz w:val="28"/>
          <w:szCs w:val="28"/>
          <w:u w:val="single"/>
        </w:rPr>
        <w:t>Régimen SEIA</w:t>
      </w:r>
      <w:r>
        <w:rPr>
          <w:rFonts w:ascii="Garamond" w:hAnsi="Garamond"/>
          <w:sz w:val="28"/>
          <w:szCs w:val="28"/>
        </w:rPr>
        <w:t xml:space="preserve">: </w:t>
      </w:r>
      <w:r w:rsidR="001D393C">
        <w:rPr>
          <w:rFonts w:ascii="Garamond" w:hAnsi="Garamond"/>
          <w:sz w:val="28"/>
          <w:szCs w:val="28"/>
        </w:rPr>
        <w:t>Agrega la acuicultura extensiva como una que debe someterse al Sistema de Evaluación de Impacto Ambiental (SEIA), además de la intensiva, que ya se encuentra sujetada a este régimen.</w:t>
      </w:r>
      <w:r>
        <w:rPr>
          <w:rFonts w:ascii="Garamond" w:hAnsi="Garamond"/>
          <w:sz w:val="28"/>
          <w:szCs w:val="28"/>
        </w:rPr>
        <w:t xml:space="preserve"> Además, e</w:t>
      </w:r>
      <w:r w:rsidR="001D393C" w:rsidRPr="004360E4">
        <w:rPr>
          <w:rFonts w:ascii="Garamond" w:hAnsi="Garamond"/>
          <w:sz w:val="28"/>
          <w:szCs w:val="28"/>
        </w:rPr>
        <w:t xml:space="preserve">specifica que el caso de la acuicultura intensiva siempre deberá someterse a Estudio de Impacto Ambiental (EIA) y no Declaración de Impacto Ambiental (DIA). </w:t>
      </w:r>
    </w:p>
    <w:p w:rsidR="00A26FBC" w:rsidRDefault="00A26FBC" w:rsidP="00A26FBC">
      <w:pPr>
        <w:pStyle w:val="Prrafodelista"/>
        <w:ind w:left="142"/>
        <w:jc w:val="both"/>
        <w:rPr>
          <w:rFonts w:ascii="Garamond" w:hAnsi="Garamond"/>
          <w:sz w:val="28"/>
          <w:szCs w:val="28"/>
          <w:u w:val="single"/>
        </w:rPr>
      </w:pPr>
    </w:p>
    <w:p w:rsidR="004360E4" w:rsidRDefault="004360E4" w:rsidP="00A26FBC">
      <w:pPr>
        <w:pStyle w:val="Prrafodelista"/>
        <w:ind w:left="142"/>
        <w:rPr>
          <w:rFonts w:ascii="Garamond" w:hAnsi="Garamond"/>
          <w:sz w:val="28"/>
          <w:szCs w:val="28"/>
        </w:rPr>
      </w:pPr>
    </w:p>
    <w:p w:rsidR="001D393C" w:rsidRDefault="004360E4" w:rsidP="00A26FBC">
      <w:pPr>
        <w:pStyle w:val="Prrafodelista"/>
        <w:numPr>
          <w:ilvl w:val="0"/>
          <w:numId w:val="5"/>
        </w:numPr>
        <w:ind w:left="142"/>
        <w:jc w:val="both"/>
        <w:rPr>
          <w:rFonts w:ascii="Garamond" w:hAnsi="Garamond"/>
          <w:sz w:val="28"/>
          <w:szCs w:val="28"/>
        </w:rPr>
      </w:pPr>
      <w:r w:rsidRPr="004360E4">
        <w:rPr>
          <w:rFonts w:ascii="Garamond" w:hAnsi="Garamond"/>
          <w:sz w:val="28"/>
          <w:szCs w:val="28"/>
          <w:u w:val="single"/>
        </w:rPr>
        <w:t>Plazos para caducar concesiones</w:t>
      </w:r>
      <w:r>
        <w:rPr>
          <w:rFonts w:ascii="Garamond" w:hAnsi="Garamond"/>
          <w:sz w:val="28"/>
          <w:szCs w:val="28"/>
        </w:rPr>
        <w:t xml:space="preserve">: </w:t>
      </w:r>
      <w:r w:rsidR="001D393C">
        <w:rPr>
          <w:rFonts w:ascii="Garamond" w:hAnsi="Garamond"/>
          <w:sz w:val="28"/>
          <w:szCs w:val="28"/>
        </w:rPr>
        <w:t xml:space="preserve">Actualmente, </w:t>
      </w:r>
      <w:r w:rsidR="001D393C" w:rsidRPr="001D393C">
        <w:rPr>
          <w:rFonts w:ascii="Garamond" w:hAnsi="Garamond"/>
          <w:sz w:val="28"/>
          <w:szCs w:val="28"/>
        </w:rPr>
        <w:t>resolución que califique favorablemente un proyecto o actividad caducará cuando hubieren transcurrido más de cinco años sin que se haya iniciado la ejecución del proyecto o actividad autorizada</w:t>
      </w:r>
      <w:r w:rsidR="001D393C">
        <w:rPr>
          <w:rFonts w:ascii="Garamond" w:hAnsi="Garamond"/>
          <w:sz w:val="28"/>
          <w:szCs w:val="28"/>
        </w:rPr>
        <w:t xml:space="preserve">, contado desde su notificación. </w:t>
      </w:r>
      <w:r w:rsidR="00F3184D">
        <w:rPr>
          <w:rFonts w:ascii="Garamond" w:hAnsi="Garamond"/>
          <w:sz w:val="28"/>
          <w:szCs w:val="28"/>
        </w:rPr>
        <w:t xml:space="preserve">El proyecto precisa que el plazo no se interrumpe ni aún en caso fortuito o fuerza mayor. </w:t>
      </w:r>
    </w:p>
    <w:p w:rsidR="004360E4" w:rsidRDefault="004360E4" w:rsidP="00A26FBC">
      <w:pPr>
        <w:pStyle w:val="Prrafodelista"/>
        <w:ind w:left="142"/>
        <w:rPr>
          <w:rFonts w:ascii="Garamond" w:hAnsi="Garamond"/>
          <w:sz w:val="28"/>
          <w:szCs w:val="28"/>
        </w:rPr>
      </w:pPr>
    </w:p>
    <w:p w:rsidR="004360E4" w:rsidRDefault="004360E4" w:rsidP="00A26FBC">
      <w:pPr>
        <w:pStyle w:val="Prrafodelista"/>
        <w:ind w:left="142"/>
        <w:jc w:val="both"/>
        <w:rPr>
          <w:rFonts w:ascii="Garamond" w:hAnsi="Garamond"/>
          <w:sz w:val="28"/>
          <w:szCs w:val="28"/>
        </w:rPr>
      </w:pPr>
    </w:p>
    <w:p w:rsidR="001D393C" w:rsidRDefault="004360E4" w:rsidP="00A26FBC">
      <w:pPr>
        <w:pStyle w:val="Prrafodelista"/>
        <w:numPr>
          <w:ilvl w:val="0"/>
          <w:numId w:val="5"/>
        </w:numPr>
        <w:ind w:left="142"/>
        <w:jc w:val="both"/>
        <w:rPr>
          <w:rFonts w:ascii="Garamond" w:hAnsi="Garamond"/>
          <w:sz w:val="28"/>
          <w:szCs w:val="28"/>
        </w:rPr>
      </w:pPr>
      <w:r w:rsidRPr="004360E4">
        <w:rPr>
          <w:rFonts w:ascii="Garamond" w:hAnsi="Garamond"/>
          <w:sz w:val="28"/>
          <w:szCs w:val="28"/>
          <w:u w:val="single"/>
        </w:rPr>
        <w:t>Áreas protegidas</w:t>
      </w:r>
      <w:r>
        <w:rPr>
          <w:rFonts w:ascii="Garamond" w:hAnsi="Garamond"/>
          <w:sz w:val="28"/>
          <w:szCs w:val="28"/>
        </w:rPr>
        <w:t xml:space="preserve">: </w:t>
      </w:r>
      <w:r w:rsidR="00F3184D">
        <w:rPr>
          <w:rFonts w:ascii="Garamond" w:hAnsi="Garamond"/>
          <w:sz w:val="28"/>
          <w:szCs w:val="28"/>
        </w:rPr>
        <w:t>Amplía las facultades de protección que la ley de Pesca y Acuicultura le asigna a parques y reservas marinas a cualquier área de protecci</w:t>
      </w:r>
      <w:r>
        <w:rPr>
          <w:rFonts w:ascii="Garamond" w:hAnsi="Garamond"/>
          <w:sz w:val="28"/>
          <w:szCs w:val="28"/>
        </w:rPr>
        <w:t xml:space="preserve">ón oficial. La ley actual indica que </w:t>
      </w:r>
      <w:r w:rsidR="00C70855">
        <w:rPr>
          <w:rFonts w:ascii="Garamond" w:hAnsi="Garamond"/>
          <w:sz w:val="28"/>
          <w:szCs w:val="28"/>
        </w:rPr>
        <w:t>l</w:t>
      </w:r>
      <w:r w:rsidRPr="004360E4">
        <w:rPr>
          <w:rFonts w:ascii="Garamond" w:hAnsi="Garamond"/>
          <w:sz w:val="28"/>
          <w:szCs w:val="28"/>
        </w:rPr>
        <w:t>os cultivos intensivos o cultivos extensivos de especies hidrobiológicas exóticas mantendrán una distancia mínima de 1,5 millas náuticas de parques marinos y reservas marinas.</w:t>
      </w:r>
      <w:r w:rsidR="00F3184D" w:rsidRPr="004360E4">
        <w:rPr>
          <w:rFonts w:ascii="Garamond" w:hAnsi="Garamond"/>
          <w:sz w:val="28"/>
          <w:szCs w:val="28"/>
        </w:rPr>
        <w:t xml:space="preserve"> </w:t>
      </w:r>
      <w:r w:rsidRPr="004360E4">
        <w:rPr>
          <w:rFonts w:ascii="Garamond" w:hAnsi="Garamond"/>
          <w:sz w:val="28"/>
          <w:szCs w:val="28"/>
        </w:rPr>
        <w:t>El proyecto hace extensiva esta limitación a cualquier área de protección of</w:t>
      </w:r>
      <w:r w:rsidR="00A26FBC">
        <w:rPr>
          <w:rFonts w:ascii="Garamond" w:hAnsi="Garamond"/>
          <w:sz w:val="28"/>
          <w:szCs w:val="28"/>
        </w:rPr>
        <w:t xml:space="preserve">icial, no solo parques y reservas marinas. </w:t>
      </w:r>
    </w:p>
    <w:p w:rsidR="00A26FBC" w:rsidRDefault="00A26FBC" w:rsidP="00A26FBC">
      <w:pPr>
        <w:pStyle w:val="Prrafodelista"/>
        <w:ind w:left="142"/>
        <w:jc w:val="both"/>
        <w:rPr>
          <w:rFonts w:ascii="Garamond" w:hAnsi="Garamond"/>
          <w:sz w:val="28"/>
          <w:szCs w:val="28"/>
        </w:rPr>
      </w:pPr>
    </w:p>
    <w:p w:rsidR="004360E4" w:rsidRDefault="004360E4" w:rsidP="00A26FBC">
      <w:pPr>
        <w:pStyle w:val="Prrafodelista"/>
        <w:ind w:left="142"/>
        <w:jc w:val="both"/>
        <w:rPr>
          <w:rFonts w:ascii="Garamond" w:hAnsi="Garamond"/>
          <w:sz w:val="28"/>
          <w:szCs w:val="28"/>
        </w:rPr>
      </w:pPr>
    </w:p>
    <w:p w:rsidR="004360E4" w:rsidRDefault="004360E4" w:rsidP="00A26FBC">
      <w:pPr>
        <w:pStyle w:val="Prrafodelista"/>
        <w:numPr>
          <w:ilvl w:val="0"/>
          <w:numId w:val="5"/>
        </w:numPr>
        <w:ind w:left="142"/>
        <w:jc w:val="both"/>
        <w:rPr>
          <w:rFonts w:ascii="Garamond" w:hAnsi="Garamond"/>
          <w:sz w:val="28"/>
          <w:szCs w:val="28"/>
        </w:rPr>
      </w:pPr>
      <w:r w:rsidRPr="004360E4">
        <w:rPr>
          <w:rFonts w:ascii="Garamond" w:hAnsi="Garamond"/>
          <w:sz w:val="28"/>
          <w:szCs w:val="28"/>
          <w:u w:val="single"/>
        </w:rPr>
        <w:t>Restricciones al cultivos en territorio indígena y regiones australes</w:t>
      </w:r>
      <w:r>
        <w:rPr>
          <w:rFonts w:ascii="Garamond" w:hAnsi="Garamond"/>
          <w:sz w:val="28"/>
          <w:szCs w:val="28"/>
        </w:rPr>
        <w:t xml:space="preserve">: </w:t>
      </w:r>
      <w:r w:rsidRPr="004360E4">
        <w:rPr>
          <w:rFonts w:ascii="Garamond" w:hAnsi="Garamond"/>
          <w:sz w:val="28"/>
          <w:szCs w:val="28"/>
        </w:rPr>
        <w:t>Además, el proyecto indica que no se podrán solicitar autorizaciones para cultivos intensivos o cultivos extensivo</w:t>
      </w:r>
      <w:r>
        <w:rPr>
          <w:rFonts w:ascii="Garamond" w:hAnsi="Garamond"/>
          <w:sz w:val="28"/>
          <w:szCs w:val="28"/>
        </w:rPr>
        <w:t>s</w:t>
      </w:r>
      <w:r w:rsidRPr="004360E4">
        <w:rPr>
          <w:rFonts w:ascii="Garamond" w:hAnsi="Garamond"/>
          <w:sz w:val="28"/>
          <w:szCs w:val="28"/>
        </w:rPr>
        <w:t xml:space="preserve"> de especies hidrobiológicas exóticas en territorio ancestral de pueblos originarios o en aquellos espacios marinos de uso y ocupación tradicional indígena conforme al Convenio 169 de la OIT</w:t>
      </w:r>
      <w:r>
        <w:rPr>
          <w:rFonts w:ascii="Garamond" w:hAnsi="Garamond"/>
          <w:sz w:val="28"/>
          <w:szCs w:val="28"/>
        </w:rPr>
        <w:t xml:space="preserve"> t</w:t>
      </w:r>
      <w:r w:rsidRPr="004360E4">
        <w:rPr>
          <w:rFonts w:ascii="Garamond" w:hAnsi="Garamond"/>
          <w:sz w:val="28"/>
          <w:szCs w:val="28"/>
        </w:rPr>
        <w:t>ampoco se podrá solicitar el otorgamiento ni la renovación de aquellas concesiones o autorizaciones de acuicultura intensiva de especies exóticas en el territorio marino de la región de Magallanes y Antártica Chilena.</w:t>
      </w:r>
    </w:p>
    <w:p w:rsidR="004360E4" w:rsidRDefault="004360E4" w:rsidP="00A26FBC">
      <w:pPr>
        <w:pStyle w:val="Prrafodelista"/>
        <w:ind w:left="142"/>
        <w:jc w:val="both"/>
        <w:rPr>
          <w:rFonts w:ascii="Garamond" w:hAnsi="Garamond"/>
          <w:sz w:val="28"/>
          <w:szCs w:val="28"/>
        </w:rPr>
      </w:pPr>
    </w:p>
    <w:p w:rsidR="00DA27BA" w:rsidRPr="00D10D8E" w:rsidRDefault="004360E4" w:rsidP="00D10D8E">
      <w:pPr>
        <w:pStyle w:val="Prrafodelista"/>
        <w:numPr>
          <w:ilvl w:val="0"/>
          <w:numId w:val="5"/>
        </w:numPr>
        <w:ind w:left="142"/>
        <w:jc w:val="both"/>
        <w:rPr>
          <w:rFonts w:ascii="Garamond" w:hAnsi="Garamond"/>
          <w:sz w:val="28"/>
          <w:szCs w:val="28"/>
        </w:rPr>
      </w:pPr>
      <w:r w:rsidRPr="004360E4">
        <w:rPr>
          <w:rFonts w:ascii="Garamond" w:hAnsi="Garamond"/>
          <w:sz w:val="28"/>
          <w:szCs w:val="28"/>
          <w:u w:val="single"/>
        </w:rPr>
        <w:t>Retroactividad de la ley ambiental</w:t>
      </w:r>
      <w:r>
        <w:rPr>
          <w:rFonts w:ascii="Garamond" w:hAnsi="Garamond"/>
          <w:sz w:val="28"/>
          <w:szCs w:val="28"/>
        </w:rPr>
        <w:t>: Se indica que t</w:t>
      </w:r>
      <w:r w:rsidRPr="004360E4">
        <w:rPr>
          <w:rFonts w:ascii="Garamond" w:hAnsi="Garamond"/>
          <w:sz w:val="28"/>
          <w:szCs w:val="28"/>
        </w:rPr>
        <w:t>odo titular de concesión acuícola deberá dar cumplimiento de las normas ambientales y sanitarias desde el momento de su publicación en el Diario Oficial, sin perjuicio de que la vigencia de la norma inicie con posterioridad a</w:t>
      </w:r>
      <w:r>
        <w:rPr>
          <w:rFonts w:ascii="Garamond" w:hAnsi="Garamond"/>
          <w:sz w:val="28"/>
          <w:szCs w:val="28"/>
        </w:rPr>
        <w:t>l otorgamiento de la concesión.</w:t>
      </w:r>
      <w:r w:rsidR="00DA27BA" w:rsidRPr="00D10D8E">
        <w:rPr>
          <w:rFonts w:ascii="Garamond" w:hAnsi="Garamond"/>
          <w:sz w:val="28"/>
          <w:szCs w:val="28"/>
          <w:u w:val="single"/>
        </w:rPr>
        <w:br w:type="page"/>
      </w:r>
    </w:p>
    <w:p w:rsidR="004360E4" w:rsidRPr="004360E4" w:rsidRDefault="004360E4" w:rsidP="00A26FBC">
      <w:pPr>
        <w:pStyle w:val="Prrafodelista"/>
        <w:numPr>
          <w:ilvl w:val="0"/>
          <w:numId w:val="5"/>
        </w:numPr>
        <w:ind w:left="142"/>
        <w:jc w:val="both"/>
        <w:rPr>
          <w:rFonts w:ascii="Garamond" w:hAnsi="Garamond"/>
          <w:sz w:val="28"/>
          <w:szCs w:val="28"/>
        </w:rPr>
      </w:pPr>
      <w:r w:rsidRPr="004360E4">
        <w:rPr>
          <w:rFonts w:ascii="Garamond" w:hAnsi="Garamond"/>
          <w:sz w:val="28"/>
          <w:szCs w:val="28"/>
          <w:u w:val="single"/>
        </w:rPr>
        <w:lastRenderedPageBreak/>
        <w:t>Modifica los plazos de las concesiones acuícolas</w:t>
      </w:r>
      <w:r>
        <w:rPr>
          <w:rFonts w:ascii="Garamond" w:hAnsi="Garamond"/>
          <w:sz w:val="28"/>
          <w:szCs w:val="28"/>
        </w:rPr>
        <w:t xml:space="preserve">: </w:t>
      </w:r>
    </w:p>
    <w:p w:rsidR="004360E4" w:rsidRDefault="004360E4" w:rsidP="00A26FBC">
      <w:pPr>
        <w:pStyle w:val="Prrafodelista"/>
        <w:ind w:left="142"/>
        <w:jc w:val="both"/>
        <w:rPr>
          <w:rFonts w:ascii="Garamond" w:hAnsi="Garamond"/>
          <w:sz w:val="28"/>
          <w:szCs w:val="28"/>
        </w:rPr>
      </w:pPr>
    </w:p>
    <w:p w:rsidR="004360E4" w:rsidRDefault="004360E4" w:rsidP="00A26FBC">
      <w:pPr>
        <w:pStyle w:val="Prrafodelista"/>
        <w:ind w:left="142"/>
        <w:jc w:val="both"/>
        <w:rPr>
          <w:rFonts w:ascii="Garamond" w:hAnsi="Garamond"/>
          <w:sz w:val="28"/>
          <w:szCs w:val="28"/>
        </w:rPr>
      </w:pPr>
      <w:r>
        <w:rPr>
          <w:rFonts w:ascii="Garamond" w:hAnsi="Garamond"/>
          <w:sz w:val="28"/>
          <w:szCs w:val="28"/>
        </w:rPr>
        <w:t xml:space="preserve">Actualmente, las concesiones acuícolas permiten a sus </w:t>
      </w:r>
      <w:r w:rsidRPr="004360E4">
        <w:rPr>
          <w:rFonts w:ascii="Garamond" w:hAnsi="Garamond"/>
          <w:sz w:val="28"/>
          <w:szCs w:val="28"/>
        </w:rPr>
        <w:t xml:space="preserve">titulares el desarrollo de sus actividades, sin más limitaciones que las expresamente establecidas </w:t>
      </w:r>
      <w:r w:rsidR="00936485">
        <w:rPr>
          <w:rFonts w:ascii="Garamond" w:hAnsi="Garamond"/>
          <w:sz w:val="28"/>
          <w:szCs w:val="28"/>
        </w:rPr>
        <w:t>en la ley de pesca</w:t>
      </w:r>
      <w:r w:rsidRPr="004360E4">
        <w:rPr>
          <w:rFonts w:ascii="Garamond" w:hAnsi="Garamond"/>
          <w:sz w:val="28"/>
          <w:szCs w:val="28"/>
        </w:rPr>
        <w:t xml:space="preserve"> y sus reglamentos. Las concesiones de acuicultura </w:t>
      </w:r>
      <w:r w:rsidR="00936485">
        <w:rPr>
          <w:rFonts w:ascii="Garamond" w:hAnsi="Garamond"/>
          <w:sz w:val="28"/>
          <w:szCs w:val="28"/>
        </w:rPr>
        <w:t>tienen</w:t>
      </w:r>
      <w:r w:rsidRPr="004360E4">
        <w:rPr>
          <w:rFonts w:ascii="Garamond" w:hAnsi="Garamond"/>
          <w:sz w:val="28"/>
          <w:szCs w:val="28"/>
        </w:rPr>
        <w:t xml:space="preserve"> un plazo de 25 años y se </w:t>
      </w:r>
      <w:r w:rsidR="00936485">
        <w:rPr>
          <w:rFonts w:ascii="Garamond" w:hAnsi="Garamond"/>
          <w:sz w:val="28"/>
          <w:szCs w:val="28"/>
        </w:rPr>
        <w:t>renuevan</w:t>
      </w:r>
      <w:r w:rsidRPr="004360E4">
        <w:rPr>
          <w:rFonts w:ascii="Garamond" w:hAnsi="Garamond"/>
          <w:sz w:val="28"/>
          <w:szCs w:val="28"/>
        </w:rPr>
        <w:t xml:space="preserve"> por igual plazo, a menos que la mitad de los informes ambientales hayan sido negativos o se hayan verificado las causales de caducidad de esta ley.</w:t>
      </w:r>
    </w:p>
    <w:p w:rsidR="00936485" w:rsidRDefault="00936485" w:rsidP="00A26FBC">
      <w:pPr>
        <w:pStyle w:val="Prrafodelista"/>
        <w:ind w:left="142"/>
        <w:jc w:val="both"/>
        <w:rPr>
          <w:rFonts w:ascii="Garamond" w:hAnsi="Garamond"/>
          <w:sz w:val="28"/>
          <w:szCs w:val="28"/>
        </w:rPr>
      </w:pPr>
    </w:p>
    <w:p w:rsidR="004360E4" w:rsidRDefault="00936485" w:rsidP="00A26FBC">
      <w:pPr>
        <w:pStyle w:val="Prrafodelista"/>
        <w:ind w:left="142"/>
        <w:jc w:val="both"/>
        <w:rPr>
          <w:rFonts w:ascii="Garamond" w:hAnsi="Garamond"/>
          <w:sz w:val="28"/>
          <w:szCs w:val="28"/>
        </w:rPr>
      </w:pPr>
      <w:r>
        <w:rPr>
          <w:rFonts w:ascii="Garamond" w:hAnsi="Garamond"/>
          <w:sz w:val="28"/>
          <w:szCs w:val="28"/>
        </w:rPr>
        <w:t>El proyecto propone que l</w:t>
      </w:r>
      <w:r w:rsidR="004360E4" w:rsidRPr="004360E4">
        <w:rPr>
          <w:rFonts w:ascii="Garamond" w:hAnsi="Garamond"/>
          <w:sz w:val="28"/>
          <w:szCs w:val="28"/>
        </w:rPr>
        <w:t xml:space="preserve">as concesiones de acuicultura </w:t>
      </w:r>
      <w:r>
        <w:rPr>
          <w:rFonts w:ascii="Garamond" w:hAnsi="Garamond"/>
          <w:sz w:val="28"/>
          <w:szCs w:val="28"/>
        </w:rPr>
        <w:t>tengan</w:t>
      </w:r>
      <w:r w:rsidR="004360E4" w:rsidRPr="004360E4">
        <w:rPr>
          <w:rFonts w:ascii="Garamond" w:hAnsi="Garamond"/>
          <w:sz w:val="28"/>
          <w:szCs w:val="28"/>
        </w:rPr>
        <w:t xml:space="preserve"> un plazo de 10 años y se renovarán por igual periodo, a menos que dos de los informes ambientales hayan sido negativos</w:t>
      </w:r>
      <w:r w:rsidR="001422C2">
        <w:rPr>
          <w:rFonts w:ascii="Garamond" w:hAnsi="Garamond"/>
          <w:sz w:val="28"/>
          <w:szCs w:val="28"/>
        </w:rPr>
        <w:t xml:space="preserve">. </w:t>
      </w:r>
      <w:r w:rsidR="004360E4" w:rsidRPr="004360E4">
        <w:rPr>
          <w:rFonts w:ascii="Garamond" w:hAnsi="Garamond"/>
          <w:sz w:val="28"/>
          <w:szCs w:val="28"/>
        </w:rPr>
        <w:t>En todo caso</w:t>
      </w:r>
      <w:r w:rsidR="001422C2">
        <w:rPr>
          <w:rFonts w:ascii="Garamond" w:hAnsi="Garamond"/>
          <w:sz w:val="28"/>
          <w:szCs w:val="28"/>
        </w:rPr>
        <w:t>,</w:t>
      </w:r>
      <w:r w:rsidR="004360E4" w:rsidRPr="004360E4">
        <w:rPr>
          <w:rFonts w:ascii="Garamond" w:hAnsi="Garamond"/>
          <w:sz w:val="28"/>
          <w:szCs w:val="28"/>
        </w:rPr>
        <w:t xml:space="preserve"> la existencia de un solo informe ambiental negativo dará siempre lugar a la revisi</w:t>
      </w:r>
      <w:r>
        <w:rPr>
          <w:rFonts w:ascii="Garamond" w:hAnsi="Garamond"/>
          <w:sz w:val="28"/>
          <w:szCs w:val="28"/>
        </w:rPr>
        <w:t xml:space="preserve">ón de la autorización ambiental. </w:t>
      </w:r>
    </w:p>
    <w:p w:rsidR="00DA27BA" w:rsidRDefault="00DA27BA" w:rsidP="00A26FBC">
      <w:pPr>
        <w:pStyle w:val="Prrafodelista"/>
        <w:ind w:left="142"/>
        <w:jc w:val="both"/>
        <w:rPr>
          <w:rFonts w:ascii="Garamond" w:hAnsi="Garamond"/>
          <w:sz w:val="28"/>
          <w:szCs w:val="28"/>
        </w:rPr>
      </w:pPr>
    </w:p>
    <w:p w:rsidR="00936485" w:rsidRDefault="00936485" w:rsidP="00A26FBC">
      <w:pPr>
        <w:pStyle w:val="Prrafodelista"/>
        <w:numPr>
          <w:ilvl w:val="0"/>
          <w:numId w:val="5"/>
        </w:numPr>
        <w:ind w:left="142"/>
        <w:jc w:val="both"/>
        <w:rPr>
          <w:rFonts w:ascii="Garamond" w:hAnsi="Garamond"/>
          <w:sz w:val="28"/>
          <w:szCs w:val="28"/>
        </w:rPr>
      </w:pPr>
      <w:r w:rsidRPr="00936485">
        <w:rPr>
          <w:rFonts w:ascii="Garamond" w:hAnsi="Garamond"/>
          <w:sz w:val="28"/>
          <w:szCs w:val="28"/>
          <w:u w:val="single"/>
        </w:rPr>
        <w:t>Escape masivo de especies</w:t>
      </w:r>
      <w:r>
        <w:rPr>
          <w:rFonts w:ascii="Garamond" w:hAnsi="Garamond"/>
          <w:sz w:val="28"/>
          <w:szCs w:val="28"/>
        </w:rPr>
        <w:t xml:space="preserve">: </w:t>
      </w:r>
    </w:p>
    <w:p w:rsidR="00936485" w:rsidRDefault="00936485" w:rsidP="00A26FBC">
      <w:pPr>
        <w:pStyle w:val="Prrafodelista"/>
        <w:ind w:left="142"/>
        <w:jc w:val="both"/>
        <w:rPr>
          <w:rFonts w:ascii="Garamond" w:hAnsi="Garamond"/>
          <w:sz w:val="28"/>
          <w:szCs w:val="28"/>
          <w:u w:val="single"/>
        </w:rPr>
      </w:pPr>
    </w:p>
    <w:p w:rsidR="00936485" w:rsidRDefault="00936485" w:rsidP="00A26FBC">
      <w:pPr>
        <w:pStyle w:val="Prrafodelista"/>
        <w:ind w:left="142"/>
        <w:jc w:val="both"/>
        <w:rPr>
          <w:rFonts w:ascii="Garamond" w:hAnsi="Garamond"/>
          <w:sz w:val="28"/>
          <w:szCs w:val="28"/>
        </w:rPr>
      </w:pPr>
      <w:r w:rsidRPr="00936485">
        <w:rPr>
          <w:rFonts w:ascii="Garamond" w:hAnsi="Garamond"/>
          <w:sz w:val="28"/>
          <w:szCs w:val="28"/>
        </w:rPr>
        <w:t xml:space="preserve">Actualmente, </w:t>
      </w:r>
      <w:r>
        <w:rPr>
          <w:rFonts w:ascii="Garamond" w:hAnsi="Garamond"/>
          <w:sz w:val="28"/>
          <w:szCs w:val="28"/>
        </w:rPr>
        <w:t xml:space="preserve">se prohíbe la </w:t>
      </w:r>
      <w:r w:rsidRPr="00936485">
        <w:rPr>
          <w:rFonts w:ascii="Garamond" w:hAnsi="Garamond"/>
          <w:sz w:val="28"/>
          <w:szCs w:val="28"/>
        </w:rPr>
        <w:t>captura de especies anádromas y catádromas, provenientes de cultivos abiertos, en las aguas terrestres, aguas interiores y mar territorial, en aquellas áreas en que dichas especies inician o</w:t>
      </w:r>
      <w:r w:rsidR="001422C2">
        <w:rPr>
          <w:rFonts w:ascii="Garamond" w:hAnsi="Garamond"/>
          <w:sz w:val="28"/>
          <w:szCs w:val="28"/>
        </w:rPr>
        <w:t xml:space="preserve"> culmina su ciclo migratorio, en su etapa juvenil </w:t>
      </w:r>
      <w:r w:rsidRPr="00936485">
        <w:rPr>
          <w:rFonts w:ascii="Garamond" w:hAnsi="Garamond"/>
          <w:sz w:val="28"/>
          <w:szCs w:val="28"/>
        </w:rPr>
        <w:t>o en su etapa de madurez apropiada para su explotación comercial.</w:t>
      </w:r>
    </w:p>
    <w:p w:rsidR="00936485" w:rsidRDefault="00936485" w:rsidP="00A26FBC">
      <w:pPr>
        <w:pStyle w:val="Prrafodelista"/>
        <w:ind w:left="142"/>
        <w:jc w:val="both"/>
        <w:rPr>
          <w:rFonts w:ascii="Garamond" w:hAnsi="Garamond"/>
          <w:sz w:val="28"/>
          <w:szCs w:val="28"/>
        </w:rPr>
      </w:pPr>
    </w:p>
    <w:p w:rsidR="00936485" w:rsidRDefault="00936485" w:rsidP="00A26FBC">
      <w:pPr>
        <w:pStyle w:val="Prrafodelista"/>
        <w:ind w:left="142"/>
        <w:jc w:val="both"/>
        <w:rPr>
          <w:rFonts w:ascii="Garamond" w:hAnsi="Garamond"/>
          <w:sz w:val="28"/>
          <w:szCs w:val="28"/>
        </w:rPr>
      </w:pPr>
      <w:r>
        <w:rPr>
          <w:rFonts w:ascii="Garamond" w:hAnsi="Garamond"/>
          <w:sz w:val="28"/>
          <w:szCs w:val="28"/>
        </w:rPr>
        <w:t>El proyecto, indica que e</w:t>
      </w:r>
      <w:r w:rsidRPr="00936485">
        <w:rPr>
          <w:rFonts w:ascii="Garamond" w:hAnsi="Garamond"/>
          <w:sz w:val="28"/>
          <w:szCs w:val="28"/>
        </w:rPr>
        <w:t>sta prohibición no regirá en aquellas áreas donde se hubiere tenido conocimiento de escape masivo especies anádromas y catádromas, pudiendo capturarse dichos peces y entregarlos al titular de la concesión, quien debiera cancelar los costos asociados a dicha captura, sin perjuicio de su obligación de recaptura, conforme a lo establecido en el artículo 118 quáter de esta ley</w:t>
      </w:r>
      <w:r>
        <w:rPr>
          <w:rFonts w:ascii="Garamond" w:hAnsi="Garamond"/>
          <w:sz w:val="28"/>
          <w:szCs w:val="28"/>
        </w:rPr>
        <w:t xml:space="preserve">. </w:t>
      </w:r>
    </w:p>
    <w:p w:rsidR="00DA27BA" w:rsidRDefault="00DA27BA" w:rsidP="00A26FBC">
      <w:pPr>
        <w:pStyle w:val="Prrafodelista"/>
        <w:ind w:left="142"/>
        <w:jc w:val="both"/>
        <w:rPr>
          <w:rFonts w:ascii="Garamond" w:hAnsi="Garamond"/>
          <w:sz w:val="28"/>
          <w:szCs w:val="28"/>
        </w:rPr>
      </w:pPr>
      <w:bookmarkStart w:id="0" w:name="_GoBack"/>
      <w:bookmarkEnd w:id="0"/>
    </w:p>
    <w:p w:rsidR="003D01DF" w:rsidRDefault="003D01DF" w:rsidP="00A26FBC">
      <w:pPr>
        <w:pStyle w:val="Prrafodelista"/>
        <w:numPr>
          <w:ilvl w:val="0"/>
          <w:numId w:val="5"/>
        </w:numPr>
        <w:ind w:left="142"/>
        <w:jc w:val="both"/>
        <w:rPr>
          <w:rFonts w:ascii="Garamond" w:hAnsi="Garamond"/>
          <w:sz w:val="28"/>
          <w:szCs w:val="28"/>
        </w:rPr>
      </w:pPr>
      <w:r w:rsidRPr="003D01DF">
        <w:rPr>
          <w:rFonts w:ascii="Garamond" w:hAnsi="Garamond"/>
          <w:sz w:val="28"/>
          <w:szCs w:val="28"/>
          <w:u w:val="single"/>
        </w:rPr>
        <w:t>Cumplimiento ambiental</w:t>
      </w:r>
      <w:r>
        <w:rPr>
          <w:rFonts w:ascii="Garamond" w:hAnsi="Garamond"/>
          <w:sz w:val="28"/>
          <w:szCs w:val="28"/>
        </w:rPr>
        <w:t xml:space="preserve">: El proyecto busca incorporar el cumplimiento ambiental como un requisito previo para tener una concesión acuícola. </w:t>
      </w:r>
    </w:p>
    <w:p w:rsidR="006E530D" w:rsidRDefault="006E530D" w:rsidP="006E530D">
      <w:pPr>
        <w:ind w:left="142"/>
        <w:jc w:val="both"/>
        <w:rPr>
          <w:rFonts w:ascii="Garamond" w:hAnsi="Garamond"/>
          <w:sz w:val="28"/>
          <w:szCs w:val="28"/>
        </w:rPr>
      </w:pPr>
      <w:r w:rsidRPr="006E530D">
        <w:rPr>
          <w:rFonts w:ascii="Garamond" w:hAnsi="Garamond"/>
          <w:sz w:val="28"/>
          <w:szCs w:val="28"/>
          <w:u w:val="single"/>
        </w:rPr>
        <w:t>Comentario ASW</w:t>
      </w:r>
      <w:r w:rsidRPr="006E530D">
        <w:rPr>
          <w:rFonts w:ascii="Garamond" w:hAnsi="Garamond"/>
          <w:sz w:val="28"/>
          <w:szCs w:val="28"/>
        </w:rPr>
        <w:t xml:space="preserve">: </w:t>
      </w:r>
      <w:r>
        <w:rPr>
          <w:rFonts w:ascii="Garamond" w:hAnsi="Garamond"/>
          <w:sz w:val="28"/>
          <w:szCs w:val="28"/>
        </w:rPr>
        <w:t>Existe un</w:t>
      </w:r>
      <w:r w:rsidRPr="006E530D">
        <w:rPr>
          <w:rFonts w:ascii="Garamond" w:hAnsi="Garamond"/>
          <w:sz w:val="28"/>
          <w:szCs w:val="28"/>
        </w:rPr>
        <w:t xml:space="preserve"> error en la técnica legislativa </w:t>
      </w:r>
      <w:r>
        <w:rPr>
          <w:rFonts w:ascii="Garamond" w:hAnsi="Garamond"/>
          <w:sz w:val="28"/>
          <w:szCs w:val="28"/>
        </w:rPr>
        <w:t>que se puede subsanar formalmente a través de indicaciones. El error consiste en que se agrega una opción a un artículo que presenta varias opciones para solicitar una concesión acuícola, en condiciones de lo que se pretende es colocar un requisito previo genérico para cualquier solicitante. No se sugiere relevar el error pues hay acuerdo en que el punto de fondo es positivo</w:t>
      </w:r>
      <w:r w:rsidRPr="006E530D">
        <w:rPr>
          <w:rFonts w:ascii="Garamond" w:hAnsi="Garamond"/>
          <w:sz w:val="28"/>
          <w:szCs w:val="28"/>
        </w:rPr>
        <w:t xml:space="preserve">. </w:t>
      </w:r>
    </w:p>
    <w:p w:rsidR="003D01DF" w:rsidRDefault="003D01DF" w:rsidP="006E530D">
      <w:pPr>
        <w:pStyle w:val="Prrafodelista"/>
        <w:numPr>
          <w:ilvl w:val="0"/>
          <w:numId w:val="5"/>
        </w:numPr>
        <w:ind w:left="142"/>
        <w:jc w:val="both"/>
        <w:rPr>
          <w:rFonts w:ascii="Garamond" w:hAnsi="Garamond"/>
          <w:sz w:val="28"/>
          <w:szCs w:val="28"/>
        </w:rPr>
      </w:pPr>
      <w:r w:rsidRPr="006E530D">
        <w:rPr>
          <w:rFonts w:ascii="Garamond" w:hAnsi="Garamond"/>
          <w:sz w:val="28"/>
          <w:szCs w:val="28"/>
          <w:u w:val="single"/>
        </w:rPr>
        <w:lastRenderedPageBreak/>
        <w:t>Infraestructura para la acuicultura</w:t>
      </w:r>
      <w:r w:rsidRPr="006E530D">
        <w:rPr>
          <w:rFonts w:ascii="Garamond" w:hAnsi="Garamond"/>
          <w:sz w:val="28"/>
          <w:szCs w:val="28"/>
        </w:rPr>
        <w:t xml:space="preserve">: Hace obligatorio el permiso ambiental para todos los casos en que se busque realizar obras materiales, muelles, atracaderos, inversiones e instalaciones. </w:t>
      </w:r>
    </w:p>
    <w:p w:rsidR="001422C2" w:rsidRDefault="006E530D" w:rsidP="00D10D8E">
      <w:pPr>
        <w:ind w:left="142"/>
        <w:jc w:val="both"/>
        <w:rPr>
          <w:rFonts w:ascii="Garamond" w:hAnsi="Garamond"/>
          <w:sz w:val="28"/>
          <w:szCs w:val="28"/>
          <w:u w:val="single"/>
        </w:rPr>
      </w:pPr>
      <w:r w:rsidRPr="006E530D">
        <w:rPr>
          <w:rFonts w:ascii="Garamond" w:hAnsi="Garamond"/>
          <w:sz w:val="28"/>
          <w:szCs w:val="28"/>
          <w:u w:val="single"/>
        </w:rPr>
        <w:t>Comentario ASW</w:t>
      </w:r>
      <w:r w:rsidRPr="006E530D">
        <w:rPr>
          <w:rFonts w:ascii="Garamond" w:hAnsi="Garamond"/>
          <w:sz w:val="28"/>
          <w:szCs w:val="28"/>
        </w:rPr>
        <w:t>: Sin embargo, existe un error en la técnica legislativa que se puede subsanar formalmente a través de indicaciones. No se sugiere relevar el error pues hay acuerdo en que el punto de fondo es positivo.</w:t>
      </w:r>
    </w:p>
    <w:p w:rsidR="003D01DF" w:rsidRDefault="003D01DF" w:rsidP="00A26FBC">
      <w:pPr>
        <w:pStyle w:val="Prrafodelista"/>
        <w:numPr>
          <w:ilvl w:val="0"/>
          <w:numId w:val="5"/>
        </w:numPr>
        <w:ind w:left="142"/>
        <w:jc w:val="both"/>
        <w:rPr>
          <w:rFonts w:ascii="Garamond" w:hAnsi="Garamond"/>
          <w:sz w:val="28"/>
          <w:szCs w:val="28"/>
        </w:rPr>
      </w:pPr>
      <w:r w:rsidRPr="003D01DF">
        <w:rPr>
          <w:rFonts w:ascii="Garamond" w:hAnsi="Garamond"/>
          <w:sz w:val="28"/>
          <w:szCs w:val="28"/>
          <w:u w:val="single"/>
        </w:rPr>
        <w:t>Obligatoriedad de permisos ambientales para concesiones cerca de áreas protegidas</w:t>
      </w:r>
      <w:r>
        <w:rPr>
          <w:rFonts w:ascii="Garamond" w:hAnsi="Garamond"/>
          <w:sz w:val="28"/>
          <w:szCs w:val="28"/>
        </w:rPr>
        <w:t xml:space="preserve">: Se especifica que </w:t>
      </w:r>
      <w:r w:rsidRPr="003D01DF">
        <w:rPr>
          <w:rFonts w:ascii="Garamond" w:hAnsi="Garamond"/>
          <w:sz w:val="28"/>
          <w:szCs w:val="28"/>
        </w:rPr>
        <w:t>cuando la concesión se emplace en o próxima a áreas protegidas, el titular deberá contar con las autorizaciones ambientales y sanitarias pertinentes</w:t>
      </w:r>
      <w:r w:rsidR="006E530D">
        <w:rPr>
          <w:rFonts w:ascii="Garamond" w:hAnsi="Garamond"/>
          <w:sz w:val="28"/>
          <w:szCs w:val="28"/>
        </w:rPr>
        <w:t xml:space="preserve">. </w:t>
      </w:r>
    </w:p>
    <w:p w:rsidR="003D01DF" w:rsidRPr="003D01DF" w:rsidRDefault="003D01DF" w:rsidP="00A26FBC">
      <w:pPr>
        <w:pStyle w:val="Prrafodelista"/>
        <w:ind w:left="142"/>
        <w:rPr>
          <w:rFonts w:ascii="Garamond" w:hAnsi="Garamond"/>
          <w:sz w:val="28"/>
          <w:szCs w:val="28"/>
        </w:rPr>
      </w:pPr>
    </w:p>
    <w:p w:rsidR="006E530D" w:rsidRPr="006E530D" w:rsidRDefault="005132B2" w:rsidP="006E530D">
      <w:pPr>
        <w:pStyle w:val="Prrafodelista"/>
        <w:numPr>
          <w:ilvl w:val="0"/>
          <w:numId w:val="5"/>
        </w:numPr>
        <w:ind w:left="142"/>
        <w:jc w:val="both"/>
        <w:rPr>
          <w:rFonts w:ascii="Garamond" w:hAnsi="Garamond"/>
          <w:sz w:val="28"/>
          <w:szCs w:val="28"/>
        </w:rPr>
      </w:pPr>
      <w:r w:rsidRPr="005132B2">
        <w:rPr>
          <w:rFonts w:ascii="Garamond" w:hAnsi="Garamond"/>
          <w:sz w:val="28"/>
          <w:szCs w:val="28"/>
          <w:u w:val="single"/>
        </w:rPr>
        <w:t>Limpieza</w:t>
      </w:r>
      <w:r>
        <w:rPr>
          <w:rFonts w:ascii="Garamond" w:hAnsi="Garamond"/>
          <w:sz w:val="28"/>
          <w:szCs w:val="28"/>
        </w:rPr>
        <w:t xml:space="preserve">: </w:t>
      </w:r>
      <w:r w:rsidR="001422C2">
        <w:rPr>
          <w:rFonts w:ascii="Garamond" w:hAnsi="Garamond"/>
          <w:sz w:val="28"/>
          <w:szCs w:val="28"/>
        </w:rPr>
        <w:t>Especifica que</w:t>
      </w:r>
      <w:r>
        <w:rPr>
          <w:rFonts w:ascii="Garamond" w:hAnsi="Garamond"/>
          <w:sz w:val="28"/>
          <w:szCs w:val="28"/>
        </w:rPr>
        <w:t xml:space="preserve"> la obligación </w:t>
      </w:r>
      <w:r w:rsidRPr="005132B2">
        <w:rPr>
          <w:rFonts w:ascii="Garamond" w:hAnsi="Garamond"/>
          <w:sz w:val="28"/>
          <w:szCs w:val="28"/>
        </w:rPr>
        <w:t>de limpieza</w:t>
      </w:r>
      <w:r w:rsidR="001422C2">
        <w:rPr>
          <w:rFonts w:ascii="Garamond" w:hAnsi="Garamond"/>
          <w:sz w:val="28"/>
          <w:szCs w:val="28"/>
        </w:rPr>
        <w:t xml:space="preserve"> </w:t>
      </w:r>
      <w:r w:rsidRPr="005132B2">
        <w:rPr>
          <w:rFonts w:ascii="Garamond" w:hAnsi="Garamond"/>
          <w:sz w:val="28"/>
          <w:szCs w:val="28"/>
        </w:rPr>
        <w:t>incluye la de remoción del material sedimentado acumulado en el suelo de la concesión. El titular de la concesión deberá presentar a la autoridad competente informe del retiro de todos implementos utilizados para la explotación de acuicultura, y del material sedimentado acumulado.</w:t>
      </w:r>
    </w:p>
    <w:p w:rsidR="005132B2" w:rsidRDefault="005132B2" w:rsidP="00A26FBC">
      <w:pPr>
        <w:pStyle w:val="Prrafodelista"/>
        <w:ind w:left="142"/>
        <w:rPr>
          <w:rFonts w:ascii="Garamond" w:hAnsi="Garamond"/>
          <w:sz w:val="28"/>
          <w:szCs w:val="28"/>
        </w:rPr>
      </w:pPr>
    </w:p>
    <w:p w:rsidR="005132B2" w:rsidRDefault="005132B2" w:rsidP="00A26FBC">
      <w:pPr>
        <w:pStyle w:val="Prrafodelista"/>
        <w:numPr>
          <w:ilvl w:val="0"/>
          <w:numId w:val="5"/>
        </w:numPr>
        <w:ind w:left="142"/>
        <w:jc w:val="both"/>
        <w:rPr>
          <w:rFonts w:ascii="Garamond" w:hAnsi="Garamond"/>
          <w:sz w:val="28"/>
          <w:szCs w:val="28"/>
        </w:rPr>
      </w:pPr>
      <w:r w:rsidRPr="005132B2">
        <w:rPr>
          <w:rFonts w:ascii="Garamond" w:hAnsi="Garamond"/>
          <w:sz w:val="28"/>
          <w:szCs w:val="28"/>
          <w:u w:val="single"/>
        </w:rPr>
        <w:t>Información científica para las solicitudes de concesiones nuevas</w:t>
      </w:r>
      <w:r>
        <w:rPr>
          <w:rFonts w:ascii="Garamond" w:hAnsi="Garamond"/>
          <w:sz w:val="28"/>
          <w:szCs w:val="28"/>
        </w:rPr>
        <w:t xml:space="preserve">: </w:t>
      </w:r>
      <w:r w:rsidRPr="005132B2">
        <w:rPr>
          <w:rFonts w:ascii="Garamond" w:hAnsi="Garamond"/>
          <w:sz w:val="28"/>
          <w:szCs w:val="28"/>
        </w:rPr>
        <w:t xml:space="preserve">El proyecto técnico </w:t>
      </w:r>
      <w:r>
        <w:rPr>
          <w:rFonts w:ascii="Garamond" w:hAnsi="Garamond"/>
          <w:sz w:val="28"/>
          <w:szCs w:val="28"/>
        </w:rPr>
        <w:t xml:space="preserve">que requieran las solicitudes de concesiones nuevas deben pasarse </w:t>
      </w:r>
      <w:r w:rsidRPr="005132B2">
        <w:rPr>
          <w:rFonts w:ascii="Garamond" w:hAnsi="Garamond"/>
          <w:sz w:val="28"/>
          <w:szCs w:val="28"/>
        </w:rPr>
        <w:t>basarse en información científica del área donde se solicita la autorización o concesión, cuy</w:t>
      </w:r>
      <w:r>
        <w:rPr>
          <w:rFonts w:ascii="Garamond" w:hAnsi="Garamond"/>
          <w:sz w:val="28"/>
          <w:szCs w:val="28"/>
        </w:rPr>
        <w:t>a</w:t>
      </w:r>
      <w:r w:rsidRPr="005132B2">
        <w:rPr>
          <w:rFonts w:ascii="Garamond" w:hAnsi="Garamond"/>
          <w:sz w:val="28"/>
          <w:szCs w:val="28"/>
        </w:rPr>
        <w:t xml:space="preserve"> data no puede ser superior a tres años</w:t>
      </w:r>
      <w:r>
        <w:rPr>
          <w:rFonts w:ascii="Garamond" w:hAnsi="Garamond"/>
          <w:sz w:val="28"/>
          <w:szCs w:val="28"/>
        </w:rPr>
        <w:t xml:space="preserve">. </w:t>
      </w:r>
    </w:p>
    <w:p w:rsidR="005132B2" w:rsidRPr="005132B2" w:rsidRDefault="005132B2" w:rsidP="00A26FBC">
      <w:pPr>
        <w:pStyle w:val="Prrafodelista"/>
        <w:ind w:left="142"/>
        <w:rPr>
          <w:rFonts w:ascii="Garamond" w:hAnsi="Garamond"/>
          <w:sz w:val="28"/>
          <w:szCs w:val="28"/>
        </w:rPr>
      </w:pPr>
    </w:p>
    <w:p w:rsidR="005132B2" w:rsidRDefault="005132B2" w:rsidP="00A26FBC">
      <w:pPr>
        <w:pStyle w:val="Prrafodelista"/>
        <w:numPr>
          <w:ilvl w:val="0"/>
          <w:numId w:val="5"/>
        </w:numPr>
        <w:ind w:left="142"/>
        <w:jc w:val="both"/>
        <w:rPr>
          <w:rFonts w:ascii="Garamond" w:hAnsi="Garamond"/>
          <w:sz w:val="28"/>
          <w:szCs w:val="28"/>
        </w:rPr>
      </w:pPr>
      <w:r w:rsidRPr="005132B2">
        <w:rPr>
          <w:rFonts w:ascii="Garamond" w:hAnsi="Garamond"/>
          <w:sz w:val="28"/>
          <w:szCs w:val="28"/>
          <w:u w:val="single"/>
        </w:rPr>
        <w:t>Información ambiental</w:t>
      </w:r>
      <w:r>
        <w:rPr>
          <w:rFonts w:ascii="Garamond" w:hAnsi="Garamond"/>
          <w:sz w:val="28"/>
          <w:szCs w:val="28"/>
        </w:rPr>
        <w:t>: Se especifica que u</w:t>
      </w:r>
      <w:r w:rsidRPr="005132B2">
        <w:rPr>
          <w:rFonts w:ascii="Garamond" w:hAnsi="Garamond"/>
          <w:sz w:val="28"/>
          <w:szCs w:val="28"/>
        </w:rPr>
        <w:t>na vez iniciada la ejecución del proyecto, y hasta un año después del retiro total de la infraestructura instalada, los titulares de las concesiones deberán presentar información respecto de la calidad de las aguas, estudios bacteriológicos de fauna, sedimentos sobre suelo y condiciones aeróbicas de las concesiones de acuicultura las que se verificarán mediante monitoreo cont</w:t>
      </w:r>
      <w:r>
        <w:rPr>
          <w:rFonts w:ascii="Garamond" w:hAnsi="Garamond"/>
          <w:sz w:val="28"/>
          <w:szCs w:val="28"/>
        </w:rPr>
        <w:t>inuo de los centros de cultivo.</w:t>
      </w:r>
    </w:p>
    <w:p w:rsidR="00D10D8E" w:rsidRPr="00D10D8E" w:rsidRDefault="00D10D8E" w:rsidP="00D10D8E">
      <w:pPr>
        <w:pStyle w:val="Prrafodelista"/>
        <w:ind w:left="142"/>
        <w:jc w:val="both"/>
        <w:rPr>
          <w:rFonts w:ascii="Garamond" w:hAnsi="Garamond"/>
          <w:sz w:val="28"/>
          <w:szCs w:val="28"/>
        </w:rPr>
      </w:pPr>
    </w:p>
    <w:p w:rsidR="009B6BE7" w:rsidRDefault="005132B2" w:rsidP="00A26FBC">
      <w:pPr>
        <w:pStyle w:val="Prrafodelista"/>
        <w:numPr>
          <w:ilvl w:val="0"/>
          <w:numId w:val="5"/>
        </w:numPr>
        <w:ind w:left="142"/>
        <w:jc w:val="both"/>
        <w:rPr>
          <w:rFonts w:ascii="Garamond" w:hAnsi="Garamond"/>
          <w:sz w:val="28"/>
          <w:szCs w:val="28"/>
        </w:rPr>
      </w:pPr>
      <w:r w:rsidRPr="005132B2">
        <w:rPr>
          <w:rFonts w:ascii="Garamond" w:hAnsi="Garamond"/>
          <w:sz w:val="28"/>
          <w:szCs w:val="28"/>
          <w:u w:val="single"/>
        </w:rPr>
        <w:t>Causales de caducidad</w:t>
      </w:r>
      <w:r>
        <w:rPr>
          <w:rFonts w:ascii="Garamond" w:hAnsi="Garamond"/>
          <w:sz w:val="28"/>
          <w:szCs w:val="28"/>
        </w:rPr>
        <w:t>: Reduce de tres a dos</w:t>
      </w:r>
      <w:r w:rsidR="009B6BE7">
        <w:rPr>
          <w:rFonts w:ascii="Garamond" w:hAnsi="Garamond"/>
          <w:sz w:val="28"/>
          <w:szCs w:val="28"/>
        </w:rPr>
        <w:t xml:space="preserve"> la cantidad de</w:t>
      </w:r>
      <w:r>
        <w:rPr>
          <w:rFonts w:ascii="Garamond" w:hAnsi="Garamond"/>
          <w:sz w:val="28"/>
          <w:szCs w:val="28"/>
        </w:rPr>
        <w:t xml:space="preserve"> infracciones sancionadas </w:t>
      </w:r>
      <w:r w:rsidR="009B6BE7">
        <w:rPr>
          <w:rFonts w:ascii="Garamond" w:hAnsi="Garamond"/>
          <w:sz w:val="28"/>
          <w:szCs w:val="28"/>
        </w:rPr>
        <w:t xml:space="preserve">que se requieren para caer en causal de caducidad de concesión acuícola. En general eleva el estándar ambiental colocando un límite de dos infracciones o faltas varias que se requiere, que el caso actual es tres. </w:t>
      </w:r>
    </w:p>
    <w:p w:rsidR="009B6BE7" w:rsidRPr="009B6BE7" w:rsidRDefault="009B6BE7" w:rsidP="00A26FBC">
      <w:pPr>
        <w:pStyle w:val="Prrafodelista"/>
        <w:ind w:left="142"/>
        <w:rPr>
          <w:rFonts w:ascii="Garamond" w:hAnsi="Garamond"/>
          <w:sz w:val="28"/>
          <w:szCs w:val="28"/>
        </w:rPr>
      </w:pPr>
    </w:p>
    <w:p w:rsidR="009B6BE7" w:rsidRPr="009B6BE7" w:rsidRDefault="009B6BE7" w:rsidP="00A26FBC">
      <w:pPr>
        <w:pStyle w:val="Prrafodelista"/>
        <w:numPr>
          <w:ilvl w:val="0"/>
          <w:numId w:val="5"/>
        </w:numPr>
        <w:ind w:left="142"/>
        <w:jc w:val="both"/>
        <w:rPr>
          <w:rFonts w:ascii="Garamond" w:hAnsi="Garamond"/>
          <w:sz w:val="28"/>
          <w:szCs w:val="28"/>
        </w:rPr>
      </w:pPr>
      <w:r w:rsidRPr="009B6BE7">
        <w:rPr>
          <w:rFonts w:ascii="Garamond" w:hAnsi="Garamond"/>
          <w:sz w:val="28"/>
          <w:szCs w:val="28"/>
          <w:u w:val="single"/>
        </w:rPr>
        <w:t>Reservas Nacionales y Forestales</w:t>
      </w:r>
      <w:r>
        <w:rPr>
          <w:rFonts w:ascii="Garamond" w:hAnsi="Garamond"/>
          <w:sz w:val="28"/>
          <w:szCs w:val="28"/>
        </w:rPr>
        <w:t xml:space="preserve">: Como se le adelantó verbalmente a la Senadora Allende en la respectiva sesión de comisión, actualmente en las Reservas Nacionales y Forestales se pueden realizar actividades de acuicultura porque el </w:t>
      </w:r>
      <w:r>
        <w:rPr>
          <w:rFonts w:ascii="Garamond" w:hAnsi="Garamond"/>
          <w:sz w:val="28"/>
          <w:szCs w:val="28"/>
        </w:rPr>
        <w:lastRenderedPageBreak/>
        <w:t>artículo 158 de la ley de pesca lo permite. En efecto, el artículo en cuestión dice que, p</w:t>
      </w:r>
      <w:r w:rsidRPr="009B6BE7">
        <w:rPr>
          <w:rFonts w:ascii="Garamond" w:hAnsi="Garamond"/>
          <w:sz w:val="28"/>
          <w:szCs w:val="28"/>
        </w:rPr>
        <w:t>revia autorización de los organismos competentes, podrá permitirse el uso de porciones terrestres que formen parte de dichas reservas, para complementar las actividades marítimas de acuicultura.</w:t>
      </w:r>
      <w:r>
        <w:rPr>
          <w:rFonts w:ascii="Garamond" w:hAnsi="Garamond"/>
          <w:sz w:val="28"/>
          <w:szCs w:val="28"/>
        </w:rPr>
        <w:t xml:space="preserve"> </w:t>
      </w:r>
      <w:r w:rsidRPr="009B6BE7">
        <w:rPr>
          <w:rFonts w:ascii="Garamond" w:hAnsi="Garamond"/>
          <w:sz w:val="28"/>
          <w:szCs w:val="28"/>
        </w:rPr>
        <w:t xml:space="preserve">El proyecto de ley </w:t>
      </w:r>
      <w:r>
        <w:rPr>
          <w:rFonts w:ascii="Garamond" w:hAnsi="Garamond"/>
          <w:sz w:val="28"/>
          <w:szCs w:val="28"/>
        </w:rPr>
        <w:t>deroga esa norma</w:t>
      </w:r>
      <w:r w:rsidRPr="009B6BE7">
        <w:rPr>
          <w:rFonts w:ascii="Garamond" w:hAnsi="Garamond"/>
          <w:sz w:val="28"/>
          <w:szCs w:val="28"/>
        </w:rPr>
        <w:t xml:space="preserve"> y solo permite actividades de pesca extractiva tradicional. </w:t>
      </w:r>
    </w:p>
    <w:p w:rsidR="009B6BE7" w:rsidRPr="005132B2" w:rsidRDefault="009B6BE7" w:rsidP="00A26FBC">
      <w:pPr>
        <w:pStyle w:val="Prrafodelista"/>
        <w:ind w:left="1080"/>
        <w:jc w:val="both"/>
        <w:rPr>
          <w:rFonts w:ascii="Garamond" w:hAnsi="Garamond"/>
          <w:sz w:val="28"/>
          <w:szCs w:val="28"/>
        </w:rPr>
      </w:pPr>
    </w:p>
    <w:sectPr w:rsidR="009B6BE7" w:rsidRPr="005132B2">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FF5" w:rsidRDefault="00F56FF5" w:rsidP="00840481">
      <w:pPr>
        <w:spacing w:after="0" w:line="240" w:lineRule="auto"/>
      </w:pPr>
      <w:r>
        <w:separator/>
      </w:r>
    </w:p>
  </w:endnote>
  <w:endnote w:type="continuationSeparator" w:id="0">
    <w:p w:rsidR="00F56FF5" w:rsidRDefault="00F56FF5" w:rsidP="00840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899675"/>
      <w:docPartObj>
        <w:docPartGallery w:val="Page Numbers (Bottom of Page)"/>
        <w:docPartUnique/>
      </w:docPartObj>
    </w:sdtPr>
    <w:sdtEndPr/>
    <w:sdtContent>
      <w:p w:rsidR="00B7671B" w:rsidRDefault="00B7671B">
        <w:pPr>
          <w:pStyle w:val="Piedepgina"/>
          <w:jc w:val="right"/>
        </w:pPr>
        <w:r>
          <w:fldChar w:fldCharType="begin"/>
        </w:r>
        <w:r>
          <w:instrText>PAGE   \* MERGEFORMAT</w:instrText>
        </w:r>
        <w:r>
          <w:fldChar w:fldCharType="separate"/>
        </w:r>
        <w:r w:rsidR="00D10D8E" w:rsidRPr="00D10D8E">
          <w:rPr>
            <w:noProof/>
            <w:lang w:val="es-ES"/>
          </w:rPr>
          <w:t>1</w:t>
        </w:r>
        <w:r>
          <w:fldChar w:fldCharType="end"/>
        </w:r>
      </w:p>
    </w:sdtContent>
  </w:sdt>
  <w:p w:rsidR="00B7671B" w:rsidRDefault="00B767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FF5" w:rsidRDefault="00F56FF5" w:rsidP="00840481">
      <w:pPr>
        <w:spacing w:after="0" w:line="240" w:lineRule="auto"/>
      </w:pPr>
      <w:r>
        <w:separator/>
      </w:r>
    </w:p>
  </w:footnote>
  <w:footnote w:type="continuationSeparator" w:id="0">
    <w:p w:rsidR="00F56FF5" w:rsidRDefault="00F56FF5" w:rsidP="008404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249C3"/>
    <w:multiLevelType w:val="hybridMultilevel"/>
    <w:tmpl w:val="42B4781C"/>
    <w:lvl w:ilvl="0" w:tplc="C47A0D0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23F533EA"/>
    <w:multiLevelType w:val="hybridMultilevel"/>
    <w:tmpl w:val="EFA40130"/>
    <w:lvl w:ilvl="0" w:tplc="DB922F80">
      <w:start w:val="1"/>
      <w:numFmt w:val="decimal"/>
      <w:lvlText w:val="%1."/>
      <w:lvlJc w:val="left"/>
      <w:pPr>
        <w:ind w:left="720" w:hanging="360"/>
      </w:pPr>
      <w:rPr>
        <w:rFonts w:hint="default"/>
        <w:i w:val="0"/>
        <w:u w:val="none"/>
        <w:lang w:val="es-ES_tradn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94954A6"/>
    <w:multiLevelType w:val="hybridMultilevel"/>
    <w:tmpl w:val="510CBD72"/>
    <w:lvl w:ilvl="0" w:tplc="42A4166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6FF6190"/>
    <w:multiLevelType w:val="hybridMultilevel"/>
    <w:tmpl w:val="A664B746"/>
    <w:lvl w:ilvl="0" w:tplc="EF1CB9BA">
      <w:start w:val="1"/>
      <w:numFmt w:val="decimal"/>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4" w15:restartNumberingAfterBreak="0">
    <w:nsid w:val="500211F8"/>
    <w:multiLevelType w:val="hybridMultilevel"/>
    <w:tmpl w:val="10DE88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C79594E"/>
    <w:multiLevelType w:val="hybridMultilevel"/>
    <w:tmpl w:val="75A4B206"/>
    <w:lvl w:ilvl="0" w:tplc="340A000F">
      <w:start w:val="1"/>
      <w:numFmt w:val="decimal"/>
      <w:lvlText w:val="%1."/>
      <w:lvlJc w:val="left"/>
      <w:pPr>
        <w:ind w:left="720" w:hanging="360"/>
      </w:pPr>
    </w:lvl>
    <w:lvl w:ilvl="1" w:tplc="17F0A9A6">
      <w:numFmt w:val="bullet"/>
      <w:lvlText w:val="−"/>
      <w:lvlJc w:val="left"/>
      <w:pPr>
        <w:ind w:left="1440" w:hanging="360"/>
      </w:pPr>
      <w:rPr>
        <w:rFonts w:ascii="Garamond" w:eastAsiaTheme="minorHAnsi" w:hAnsi="Garamond" w:cstheme="minorBidi"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4FC38E5"/>
    <w:multiLevelType w:val="hybridMultilevel"/>
    <w:tmpl w:val="DA081CF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C43666E"/>
    <w:multiLevelType w:val="hybridMultilevel"/>
    <w:tmpl w:val="9DE606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F7"/>
    <w:rsid w:val="0006790B"/>
    <w:rsid w:val="001422C2"/>
    <w:rsid w:val="001D393C"/>
    <w:rsid w:val="0026564E"/>
    <w:rsid w:val="00271164"/>
    <w:rsid w:val="0032309C"/>
    <w:rsid w:val="003463BE"/>
    <w:rsid w:val="003D01DF"/>
    <w:rsid w:val="003E7922"/>
    <w:rsid w:val="00402920"/>
    <w:rsid w:val="00420EF1"/>
    <w:rsid w:val="004360E4"/>
    <w:rsid w:val="004A2CF7"/>
    <w:rsid w:val="005132B2"/>
    <w:rsid w:val="00570B17"/>
    <w:rsid w:val="005D10E5"/>
    <w:rsid w:val="00615D27"/>
    <w:rsid w:val="0068204D"/>
    <w:rsid w:val="006A37F9"/>
    <w:rsid w:val="006E530D"/>
    <w:rsid w:val="007D5327"/>
    <w:rsid w:val="008279CB"/>
    <w:rsid w:val="00840481"/>
    <w:rsid w:val="008A4097"/>
    <w:rsid w:val="00936485"/>
    <w:rsid w:val="00977E3A"/>
    <w:rsid w:val="009B6BE7"/>
    <w:rsid w:val="009E72DC"/>
    <w:rsid w:val="00A26FBC"/>
    <w:rsid w:val="00AC4CF7"/>
    <w:rsid w:val="00AD5582"/>
    <w:rsid w:val="00B7671B"/>
    <w:rsid w:val="00B873DF"/>
    <w:rsid w:val="00BA315A"/>
    <w:rsid w:val="00BC77A4"/>
    <w:rsid w:val="00C12AE9"/>
    <w:rsid w:val="00C57E32"/>
    <w:rsid w:val="00C70855"/>
    <w:rsid w:val="00D10D8E"/>
    <w:rsid w:val="00D139A5"/>
    <w:rsid w:val="00D20DD7"/>
    <w:rsid w:val="00DA27BA"/>
    <w:rsid w:val="00DA7E78"/>
    <w:rsid w:val="00E57104"/>
    <w:rsid w:val="00EC3098"/>
    <w:rsid w:val="00F3184D"/>
    <w:rsid w:val="00F527B4"/>
    <w:rsid w:val="00F56F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61B3B-94F5-490E-A05C-342CF26F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A2CF7"/>
    <w:pPr>
      <w:spacing w:after="0" w:line="240" w:lineRule="auto"/>
    </w:pPr>
    <w:rPr>
      <w:rFonts w:ascii="Garamond" w:hAnsi="Garamond"/>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463BE"/>
    <w:pPr>
      <w:ind w:left="720"/>
      <w:contextualSpacing/>
    </w:pPr>
  </w:style>
  <w:style w:type="paragraph" w:styleId="Encabezado">
    <w:name w:val="header"/>
    <w:basedOn w:val="Normal"/>
    <w:link w:val="EncabezadoCar"/>
    <w:uiPriority w:val="99"/>
    <w:unhideWhenUsed/>
    <w:rsid w:val="00840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0481"/>
  </w:style>
  <w:style w:type="paragraph" w:styleId="Piedepgina">
    <w:name w:val="footer"/>
    <w:basedOn w:val="Normal"/>
    <w:link w:val="PiedepginaCar"/>
    <w:uiPriority w:val="99"/>
    <w:unhideWhenUsed/>
    <w:rsid w:val="008404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0481"/>
  </w:style>
  <w:style w:type="paragraph" w:styleId="Textonotapie">
    <w:name w:val="footnote text"/>
    <w:basedOn w:val="Normal"/>
    <w:link w:val="TextonotapieCar"/>
    <w:uiPriority w:val="99"/>
    <w:unhideWhenUsed/>
    <w:rsid w:val="00936485"/>
    <w:pPr>
      <w:spacing w:after="0" w:line="240" w:lineRule="auto"/>
    </w:pPr>
    <w:rPr>
      <w:sz w:val="20"/>
      <w:szCs w:val="20"/>
    </w:rPr>
  </w:style>
  <w:style w:type="character" w:customStyle="1" w:styleId="TextonotapieCar">
    <w:name w:val="Texto nota pie Car"/>
    <w:basedOn w:val="Fuentedeprrafopredeter"/>
    <w:link w:val="Textonotapie"/>
    <w:uiPriority w:val="99"/>
    <w:rsid w:val="00936485"/>
    <w:rPr>
      <w:sz w:val="20"/>
      <w:szCs w:val="20"/>
    </w:rPr>
  </w:style>
  <w:style w:type="character" w:styleId="Refdenotaalpie">
    <w:name w:val="footnote reference"/>
    <w:basedOn w:val="Fuentedeprrafopredeter"/>
    <w:uiPriority w:val="99"/>
    <w:semiHidden/>
    <w:unhideWhenUsed/>
    <w:rsid w:val="009364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8702">
      <w:bodyDiv w:val="1"/>
      <w:marLeft w:val="0"/>
      <w:marRight w:val="0"/>
      <w:marTop w:val="0"/>
      <w:marBottom w:val="0"/>
      <w:divBdr>
        <w:top w:val="none" w:sz="0" w:space="0" w:color="auto"/>
        <w:left w:val="none" w:sz="0" w:space="0" w:color="auto"/>
        <w:bottom w:val="none" w:sz="0" w:space="0" w:color="auto"/>
        <w:right w:val="none" w:sz="0" w:space="0" w:color="auto"/>
      </w:divBdr>
      <w:divsChild>
        <w:div w:id="786894375">
          <w:marLeft w:val="1886"/>
          <w:marRight w:val="0"/>
          <w:marTop w:val="0"/>
          <w:marBottom w:val="0"/>
          <w:divBdr>
            <w:top w:val="none" w:sz="0" w:space="0" w:color="auto"/>
            <w:left w:val="none" w:sz="0" w:space="0" w:color="auto"/>
            <w:bottom w:val="none" w:sz="0" w:space="0" w:color="auto"/>
            <w:right w:val="none" w:sz="0" w:space="0" w:color="auto"/>
          </w:divBdr>
        </w:div>
      </w:divsChild>
    </w:div>
    <w:div w:id="210315279">
      <w:bodyDiv w:val="1"/>
      <w:marLeft w:val="0"/>
      <w:marRight w:val="0"/>
      <w:marTop w:val="0"/>
      <w:marBottom w:val="0"/>
      <w:divBdr>
        <w:top w:val="none" w:sz="0" w:space="0" w:color="auto"/>
        <w:left w:val="none" w:sz="0" w:space="0" w:color="auto"/>
        <w:bottom w:val="none" w:sz="0" w:space="0" w:color="auto"/>
        <w:right w:val="none" w:sz="0" w:space="0" w:color="auto"/>
      </w:divBdr>
    </w:div>
    <w:div w:id="231277726">
      <w:bodyDiv w:val="1"/>
      <w:marLeft w:val="0"/>
      <w:marRight w:val="0"/>
      <w:marTop w:val="0"/>
      <w:marBottom w:val="0"/>
      <w:divBdr>
        <w:top w:val="none" w:sz="0" w:space="0" w:color="auto"/>
        <w:left w:val="none" w:sz="0" w:space="0" w:color="auto"/>
        <w:bottom w:val="none" w:sz="0" w:space="0" w:color="auto"/>
        <w:right w:val="none" w:sz="0" w:space="0" w:color="auto"/>
      </w:divBdr>
    </w:div>
    <w:div w:id="238099256">
      <w:bodyDiv w:val="1"/>
      <w:marLeft w:val="0"/>
      <w:marRight w:val="0"/>
      <w:marTop w:val="0"/>
      <w:marBottom w:val="0"/>
      <w:divBdr>
        <w:top w:val="none" w:sz="0" w:space="0" w:color="auto"/>
        <w:left w:val="none" w:sz="0" w:space="0" w:color="auto"/>
        <w:bottom w:val="none" w:sz="0" w:space="0" w:color="auto"/>
        <w:right w:val="none" w:sz="0" w:space="0" w:color="auto"/>
      </w:divBdr>
    </w:div>
    <w:div w:id="359549787">
      <w:bodyDiv w:val="1"/>
      <w:marLeft w:val="0"/>
      <w:marRight w:val="0"/>
      <w:marTop w:val="0"/>
      <w:marBottom w:val="0"/>
      <w:divBdr>
        <w:top w:val="none" w:sz="0" w:space="0" w:color="auto"/>
        <w:left w:val="none" w:sz="0" w:space="0" w:color="auto"/>
        <w:bottom w:val="none" w:sz="0" w:space="0" w:color="auto"/>
        <w:right w:val="none" w:sz="0" w:space="0" w:color="auto"/>
      </w:divBdr>
      <w:divsChild>
        <w:div w:id="271328619">
          <w:marLeft w:val="547"/>
          <w:marRight w:val="0"/>
          <w:marTop w:val="0"/>
          <w:marBottom w:val="0"/>
          <w:divBdr>
            <w:top w:val="none" w:sz="0" w:space="0" w:color="auto"/>
            <w:left w:val="none" w:sz="0" w:space="0" w:color="auto"/>
            <w:bottom w:val="none" w:sz="0" w:space="0" w:color="auto"/>
            <w:right w:val="none" w:sz="0" w:space="0" w:color="auto"/>
          </w:divBdr>
        </w:div>
      </w:divsChild>
    </w:div>
    <w:div w:id="392316341">
      <w:bodyDiv w:val="1"/>
      <w:marLeft w:val="0"/>
      <w:marRight w:val="0"/>
      <w:marTop w:val="0"/>
      <w:marBottom w:val="0"/>
      <w:divBdr>
        <w:top w:val="none" w:sz="0" w:space="0" w:color="auto"/>
        <w:left w:val="none" w:sz="0" w:space="0" w:color="auto"/>
        <w:bottom w:val="none" w:sz="0" w:space="0" w:color="auto"/>
        <w:right w:val="none" w:sz="0" w:space="0" w:color="auto"/>
      </w:divBdr>
    </w:div>
    <w:div w:id="508325391">
      <w:bodyDiv w:val="1"/>
      <w:marLeft w:val="0"/>
      <w:marRight w:val="0"/>
      <w:marTop w:val="0"/>
      <w:marBottom w:val="0"/>
      <w:divBdr>
        <w:top w:val="none" w:sz="0" w:space="0" w:color="auto"/>
        <w:left w:val="none" w:sz="0" w:space="0" w:color="auto"/>
        <w:bottom w:val="none" w:sz="0" w:space="0" w:color="auto"/>
        <w:right w:val="none" w:sz="0" w:space="0" w:color="auto"/>
      </w:divBdr>
    </w:div>
    <w:div w:id="616329558">
      <w:bodyDiv w:val="1"/>
      <w:marLeft w:val="0"/>
      <w:marRight w:val="0"/>
      <w:marTop w:val="0"/>
      <w:marBottom w:val="0"/>
      <w:divBdr>
        <w:top w:val="none" w:sz="0" w:space="0" w:color="auto"/>
        <w:left w:val="none" w:sz="0" w:space="0" w:color="auto"/>
        <w:bottom w:val="none" w:sz="0" w:space="0" w:color="auto"/>
        <w:right w:val="none" w:sz="0" w:space="0" w:color="auto"/>
      </w:divBdr>
    </w:div>
    <w:div w:id="680661259">
      <w:bodyDiv w:val="1"/>
      <w:marLeft w:val="0"/>
      <w:marRight w:val="0"/>
      <w:marTop w:val="0"/>
      <w:marBottom w:val="0"/>
      <w:divBdr>
        <w:top w:val="none" w:sz="0" w:space="0" w:color="auto"/>
        <w:left w:val="none" w:sz="0" w:space="0" w:color="auto"/>
        <w:bottom w:val="none" w:sz="0" w:space="0" w:color="auto"/>
        <w:right w:val="none" w:sz="0" w:space="0" w:color="auto"/>
      </w:divBdr>
      <w:divsChild>
        <w:div w:id="223104212">
          <w:marLeft w:val="547"/>
          <w:marRight w:val="0"/>
          <w:marTop w:val="96"/>
          <w:marBottom w:val="0"/>
          <w:divBdr>
            <w:top w:val="none" w:sz="0" w:space="0" w:color="auto"/>
            <w:left w:val="none" w:sz="0" w:space="0" w:color="auto"/>
            <w:bottom w:val="none" w:sz="0" w:space="0" w:color="auto"/>
            <w:right w:val="none" w:sz="0" w:space="0" w:color="auto"/>
          </w:divBdr>
        </w:div>
        <w:div w:id="939339944">
          <w:marLeft w:val="1166"/>
          <w:marRight w:val="0"/>
          <w:marTop w:val="96"/>
          <w:marBottom w:val="0"/>
          <w:divBdr>
            <w:top w:val="none" w:sz="0" w:space="0" w:color="auto"/>
            <w:left w:val="none" w:sz="0" w:space="0" w:color="auto"/>
            <w:bottom w:val="none" w:sz="0" w:space="0" w:color="auto"/>
            <w:right w:val="none" w:sz="0" w:space="0" w:color="auto"/>
          </w:divBdr>
        </w:div>
        <w:div w:id="435952538">
          <w:marLeft w:val="1166"/>
          <w:marRight w:val="0"/>
          <w:marTop w:val="96"/>
          <w:marBottom w:val="0"/>
          <w:divBdr>
            <w:top w:val="none" w:sz="0" w:space="0" w:color="auto"/>
            <w:left w:val="none" w:sz="0" w:space="0" w:color="auto"/>
            <w:bottom w:val="none" w:sz="0" w:space="0" w:color="auto"/>
            <w:right w:val="none" w:sz="0" w:space="0" w:color="auto"/>
          </w:divBdr>
        </w:div>
        <w:div w:id="829756023">
          <w:marLeft w:val="1166"/>
          <w:marRight w:val="0"/>
          <w:marTop w:val="96"/>
          <w:marBottom w:val="0"/>
          <w:divBdr>
            <w:top w:val="none" w:sz="0" w:space="0" w:color="auto"/>
            <w:left w:val="none" w:sz="0" w:space="0" w:color="auto"/>
            <w:bottom w:val="none" w:sz="0" w:space="0" w:color="auto"/>
            <w:right w:val="none" w:sz="0" w:space="0" w:color="auto"/>
          </w:divBdr>
        </w:div>
        <w:div w:id="300155009">
          <w:marLeft w:val="547"/>
          <w:marRight w:val="0"/>
          <w:marTop w:val="96"/>
          <w:marBottom w:val="0"/>
          <w:divBdr>
            <w:top w:val="none" w:sz="0" w:space="0" w:color="auto"/>
            <w:left w:val="none" w:sz="0" w:space="0" w:color="auto"/>
            <w:bottom w:val="none" w:sz="0" w:space="0" w:color="auto"/>
            <w:right w:val="none" w:sz="0" w:space="0" w:color="auto"/>
          </w:divBdr>
        </w:div>
        <w:div w:id="1346248179">
          <w:marLeft w:val="547"/>
          <w:marRight w:val="0"/>
          <w:marTop w:val="96"/>
          <w:marBottom w:val="0"/>
          <w:divBdr>
            <w:top w:val="none" w:sz="0" w:space="0" w:color="auto"/>
            <w:left w:val="none" w:sz="0" w:space="0" w:color="auto"/>
            <w:bottom w:val="none" w:sz="0" w:space="0" w:color="auto"/>
            <w:right w:val="none" w:sz="0" w:space="0" w:color="auto"/>
          </w:divBdr>
        </w:div>
        <w:div w:id="1227454332">
          <w:marLeft w:val="547"/>
          <w:marRight w:val="0"/>
          <w:marTop w:val="96"/>
          <w:marBottom w:val="0"/>
          <w:divBdr>
            <w:top w:val="none" w:sz="0" w:space="0" w:color="auto"/>
            <w:left w:val="none" w:sz="0" w:space="0" w:color="auto"/>
            <w:bottom w:val="none" w:sz="0" w:space="0" w:color="auto"/>
            <w:right w:val="none" w:sz="0" w:space="0" w:color="auto"/>
          </w:divBdr>
        </w:div>
        <w:div w:id="1602641417">
          <w:marLeft w:val="547"/>
          <w:marRight w:val="0"/>
          <w:marTop w:val="96"/>
          <w:marBottom w:val="0"/>
          <w:divBdr>
            <w:top w:val="none" w:sz="0" w:space="0" w:color="auto"/>
            <w:left w:val="none" w:sz="0" w:space="0" w:color="auto"/>
            <w:bottom w:val="none" w:sz="0" w:space="0" w:color="auto"/>
            <w:right w:val="none" w:sz="0" w:space="0" w:color="auto"/>
          </w:divBdr>
        </w:div>
      </w:divsChild>
    </w:div>
    <w:div w:id="858390537">
      <w:bodyDiv w:val="1"/>
      <w:marLeft w:val="0"/>
      <w:marRight w:val="0"/>
      <w:marTop w:val="0"/>
      <w:marBottom w:val="0"/>
      <w:divBdr>
        <w:top w:val="none" w:sz="0" w:space="0" w:color="auto"/>
        <w:left w:val="none" w:sz="0" w:space="0" w:color="auto"/>
        <w:bottom w:val="none" w:sz="0" w:space="0" w:color="auto"/>
        <w:right w:val="none" w:sz="0" w:space="0" w:color="auto"/>
      </w:divBdr>
    </w:div>
    <w:div w:id="1277371803">
      <w:bodyDiv w:val="1"/>
      <w:marLeft w:val="0"/>
      <w:marRight w:val="0"/>
      <w:marTop w:val="0"/>
      <w:marBottom w:val="0"/>
      <w:divBdr>
        <w:top w:val="none" w:sz="0" w:space="0" w:color="auto"/>
        <w:left w:val="none" w:sz="0" w:space="0" w:color="auto"/>
        <w:bottom w:val="none" w:sz="0" w:space="0" w:color="auto"/>
        <w:right w:val="none" w:sz="0" w:space="0" w:color="auto"/>
      </w:divBdr>
    </w:div>
    <w:div w:id="1286958925">
      <w:bodyDiv w:val="1"/>
      <w:marLeft w:val="0"/>
      <w:marRight w:val="0"/>
      <w:marTop w:val="0"/>
      <w:marBottom w:val="0"/>
      <w:divBdr>
        <w:top w:val="none" w:sz="0" w:space="0" w:color="auto"/>
        <w:left w:val="none" w:sz="0" w:space="0" w:color="auto"/>
        <w:bottom w:val="none" w:sz="0" w:space="0" w:color="auto"/>
        <w:right w:val="none" w:sz="0" w:space="0" w:color="auto"/>
      </w:divBdr>
    </w:div>
    <w:div w:id="1454208384">
      <w:bodyDiv w:val="1"/>
      <w:marLeft w:val="0"/>
      <w:marRight w:val="0"/>
      <w:marTop w:val="0"/>
      <w:marBottom w:val="0"/>
      <w:divBdr>
        <w:top w:val="none" w:sz="0" w:space="0" w:color="auto"/>
        <w:left w:val="none" w:sz="0" w:space="0" w:color="auto"/>
        <w:bottom w:val="none" w:sz="0" w:space="0" w:color="auto"/>
        <w:right w:val="none" w:sz="0" w:space="0" w:color="auto"/>
      </w:divBdr>
    </w:div>
    <w:div w:id="1480268646">
      <w:bodyDiv w:val="1"/>
      <w:marLeft w:val="0"/>
      <w:marRight w:val="0"/>
      <w:marTop w:val="0"/>
      <w:marBottom w:val="0"/>
      <w:divBdr>
        <w:top w:val="none" w:sz="0" w:space="0" w:color="auto"/>
        <w:left w:val="none" w:sz="0" w:space="0" w:color="auto"/>
        <w:bottom w:val="none" w:sz="0" w:space="0" w:color="auto"/>
        <w:right w:val="none" w:sz="0" w:space="0" w:color="auto"/>
      </w:divBdr>
    </w:div>
    <w:div w:id="1607302530">
      <w:bodyDiv w:val="1"/>
      <w:marLeft w:val="0"/>
      <w:marRight w:val="0"/>
      <w:marTop w:val="0"/>
      <w:marBottom w:val="0"/>
      <w:divBdr>
        <w:top w:val="none" w:sz="0" w:space="0" w:color="auto"/>
        <w:left w:val="none" w:sz="0" w:space="0" w:color="auto"/>
        <w:bottom w:val="none" w:sz="0" w:space="0" w:color="auto"/>
        <w:right w:val="none" w:sz="0" w:space="0" w:color="auto"/>
      </w:divBdr>
    </w:div>
    <w:div w:id="1684746722">
      <w:bodyDiv w:val="1"/>
      <w:marLeft w:val="0"/>
      <w:marRight w:val="0"/>
      <w:marTop w:val="0"/>
      <w:marBottom w:val="0"/>
      <w:divBdr>
        <w:top w:val="none" w:sz="0" w:space="0" w:color="auto"/>
        <w:left w:val="none" w:sz="0" w:space="0" w:color="auto"/>
        <w:bottom w:val="none" w:sz="0" w:space="0" w:color="auto"/>
        <w:right w:val="none" w:sz="0" w:space="0" w:color="auto"/>
      </w:divBdr>
    </w:div>
    <w:div w:id="1732121066">
      <w:bodyDiv w:val="1"/>
      <w:marLeft w:val="0"/>
      <w:marRight w:val="0"/>
      <w:marTop w:val="0"/>
      <w:marBottom w:val="0"/>
      <w:divBdr>
        <w:top w:val="none" w:sz="0" w:space="0" w:color="auto"/>
        <w:left w:val="none" w:sz="0" w:space="0" w:color="auto"/>
        <w:bottom w:val="none" w:sz="0" w:space="0" w:color="auto"/>
        <w:right w:val="none" w:sz="0" w:space="0" w:color="auto"/>
      </w:divBdr>
    </w:div>
    <w:div w:id="1873152494">
      <w:bodyDiv w:val="1"/>
      <w:marLeft w:val="0"/>
      <w:marRight w:val="0"/>
      <w:marTop w:val="0"/>
      <w:marBottom w:val="0"/>
      <w:divBdr>
        <w:top w:val="none" w:sz="0" w:space="0" w:color="auto"/>
        <w:left w:val="none" w:sz="0" w:space="0" w:color="auto"/>
        <w:bottom w:val="none" w:sz="0" w:space="0" w:color="auto"/>
        <w:right w:val="none" w:sz="0" w:space="0" w:color="auto"/>
      </w:divBdr>
    </w:div>
    <w:div w:id="1883590685">
      <w:bodyDiv w:val="1"/>
      <w:marLeft w:val="0"/>
      <w:marRight w:val="0"/>
      <w:marTop w:val="0"/>
      <w:marBottom w:val="0"/>
      <w:divBdr>
        <w:top w:val="none" w:sz="0" w:space="0" w:color="auto"/>
        <w:left w:val="none" w:sz="0" w:space="0" w:color="auto"/>
        <w:bottom w:val="none" w:sz="0" w:space="0" w:color="auto"/>
        <w:right w:val="none" w:sz="0" w:space="0" w:color="auto"/>
      </w:divBdr>
      <w:divsChild>
        <w:div w:id="1909218633">
          <w:marLeft w:val="547"/>
          <w:marRight w:val="0"/>
          <w:marTop w:val="0"/>
          <w:marBottom w:val="0"/>
          <w:divBdr>
            <w:top w:val="none" w:sz="0" w:space="0" w:color="auto"/>
            <w:left w:val="none" w:sz="0" w:space="0" w:color="auto"/>
            <w:bottom w:val="none" w:sz="0" w:space="0" w:color="auto"/>
            <w:right w:val="none" w:sz="0" w:space="0" w:color="auto"/>
          </w:divBdr>
        </w:div>
        <w:div w:id="1761481614">
          <w:marLeft w:val="547"/>
          <w:marRight w:val="0"/>
          <w:marTop w:val="0"/>
          <w:marBottom w:val="0"/>
          <w:divBdr>
            <w:top w:val="none" w:sz="0" w:space="0" w:color="auto"/>
            <w:left w:val="none" w:sz="0" w:space="0" w:color="auto"/>
            <w:bottom w:val="none" w:sz="0" w:space="0" w:color="auto"/>
            <w:right w:val="none" w:sz="0" w:space="0" w:color="auto"/>
          </w:divBdr>
        </w:div>
        <w:div w:id="958340982">
          <w:marLeft w:val="547"/>
          <w:marRight w:val="0"/>
          <w:marTop w:val="0"/>
          <w:marBottom w:val="0"/>
          <w:divBdr>
            <w:top w:val="none" w:sz="0" w:space="0" w:color="auto"/>
            <w:left w:val="none" w:sz="0" w:space="0" w:color="auto"/>
            <w:bottom w:val="none" w:sz="0" w:space="0" w:color="auto"/>
            <w:right w:val="none" w:sz="0" w:space="0" w:color="auto"/>
          </w:divBdr>
        </w:div>
        <w:div w:id="1421104984">
          <w:marLeft w:val="547"/>
          <w:marRight w:val="0"/>
          <w:marTop w:val="0"/>
          <w:marBottom w:val="0"/>
          <w:divBdr>
            <w:top w:val="none" w:sz="0" w:space="0" w:color="auto"/>
            <w:left w:val="none" w:sz="0" w:space="0" w:color="auto"/>
            <w:bottom w:val="none" w:sz="0" w:space="0" w:color="auto"/>
            <w:right w:val="none" w:sz="0" w:space="0" w:color="auto"/>
          </w:divBdr>
        </w:div>
      </w:divsChild>
    </w:div>
    <w:div w:id="1926760441">
      <w:bodyDiv w:val="1"/>
      <w:marLeft w:val="0"/>
      <w:marRight w:val="0"/>
      <w:marTop w:val="0"/>
      <w:marBottom w:val="0"/>
      <w:divBdr>
        <w:top w:val="none" w:sz="0" w:space="0" w:color="auto"/>
        <w:left w:val="none" w:sz="0" w:space="0" w:color="auto"/>
        <w:bottom w:val="none" w:sz="0" w:space="0" w:color="auto"/>
        <w:right w:val="none" w:sz="0" w:space="0" w:color="auto"/>
      </w:divBdr>
    </w:div>
    <w:div w:id="1961952068">
      <w:bodyDiv w:val="1"/>
      <w:marLeft w:val="0"/>
      <w:marRight w:val="0"/>
      <w:marTop w:val="0"/>
      <w:marBottom w:val="0"/>
      <w:divBdr>
        <w:top w:val="none" w:sz="0" w:space="0" w:color="auto"/>
        <w:left w:val="none" w:sz="0" w:space="0" w:color="auto"/>
        <w:bottom w:val="none" w:sz="0" w:space="0" w:color="auto"/>
        <w:right w:val="none" w:sz="0" w:space="0" w:color="auto"/>
      </w:divBdr>
    </w:div>
    <w:div w:id="2102603042">
      <w:bodyDiv w:val="1"/>
      <w:marLeft w:val="0"/>
      <w:marRight w:val="0"/>
      <w:marTop w:val="0"/>
      <w:marBottom w:val="0"/>
      <w:divBdr>
        <w:top w:val="none" w:sz="0" w:space="0" w:color="auto"/>
        <w:left w:val="none" w:sz="0" w:space="0" w:color="auto"/>
        <w:bottom w:val="none" w:sz="0" w:space="0" w:color="auto"/>
        <w:right w:val="none" w:sz="0" w:space="0" w:color="auto"/>
      </w:divBdr>
      <w:divsChild>
        <w:div w:id="1743137973">
          <w:marLeft w:val="1166"/>
          <w:marRight w:val="0"/>
          <w:marTop w:val="0"/>
          <w:marBottom w:val="0"/>
          <w:divBdr>
            <w:top w:val="none" w:sz="0" w:space="0" w:color="auto"/>
            <w:left w:val="none" w:sz="0" w:space="0" w:color="auto"/>
            <w:bottom w:val="none" w:sz="0" w:space="0" w:color="auto"/>
            <w:right w:val="none" w:sz="0" w:space="0" w:color="auto"/>
          </w:divBdr>
        </w:div>
        <w:div w:id="198319223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628A1-8982-4E95-BE68-9DA91297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1275</Words>
  <Characters>7018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2019-06-10T23:10:00Z</dcterms:created>
  <dcterms:modified xsi:type="dcterms:W3CDTF">2019-06-10T23:10:00Z</dcterms:modified>
</cp:coreProperties>
</file>