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2BCE" w14:textId="77777777" w:rsidR="00F9799A" w:rsidRDefault="004A692A" w:rsidP="00A92CE4">
      <w:pPr>
        <w:spacing w:line="276" w:lineRule="auto"/>
        <w:jc w:val="center"/>
        <w:rPr>
          <w:rFonts w:ascii="Courier New" w:hAnsi="Courier New" w:cs="Courier New"/>
          <w:b/>
          <w:bCs/>
          <w:sz w:val="24"/>
          <w:szCs w:val="24"/>
        </w:rPr>
      </w:pPr>
      <w:r w:rsidRPr="00A92CE4">
        <w:rPr>
          <w:rFonts w:ascii="Courier New" w:hAnsi="Courier New" w:cs="Courier New"/>
          <w:b/>
          <w:bCs/>
          <w:sz w:val="24"/>
          <w:szCs w:val="24"/>
        </w:rPr>
        <w:t>MINUTA ALZA DE P</w:t>
      </w:r>
      <w:r w:rsidR="00F9799A">
        <w:rPr>
          <w:rFonts w:ascii="Courier New" w:hAnsi="Courier New" w:cs="Courier New"/>
          <w:b/>
          <w:bCs/>
          <w:sz w:val="24"/>
          <w:szCs w:val="24"/>
        </w:rPr>
        <w:t>RIMA GES</w:t>
      </w:r>
    </w:p>
    <w:p w14:paraId="4595C62C" w14:textId="68997EA3" w:rsidR="004A692A" w:rsidRPr="00A92CE4" w:rsidRDefault="00A3541C" w:rsidP="00F9799A">
      <w:pPr>
        <w:spacing w:line="276" w:lineRule="auto"/>
        <w:rPr>
          <w:rFonts w:ascii="Courier New" w:hAnsi="Courier New" w:cs="Courier New"/>
          <w:b/>
          <w:bCs/>
          <w:sz w:val="24"/>
          <w:szCs w:val="24"/>
        </w:rPr>
      </w:pPr>
      <w:r>
        <w:rPr>
          <w:rFonts w:ascii="Courier New" w:hAnsi="Courier New" w:cs="Courier New"/>
          <w:b/>
          <w:bCs/>
          <w:sz w:val="24"/>
          <w:szCs w:val="24"/>
        </w:rPr>
        <w:pict w14:anchorId="231AC8EB">
          <v:rect id="_x0000_i1025" style="width:0;height:1.5pt" o:hralign="center" o:hrstd="t" o:hr="t" fillcolor="#a0a0a0" stroked="f"/>
        </w:pict>
      </w:r>
    </w:p>
    <w:p w14:paraId="5635ED29" w14:textId="5A81FECD" w:rsidR="007900C6" w:rsidRPr="00180675" w:rsidRDefault="007900C6" w:rsidP="00D707E1">
      <w:pPr>
        <w:pStyle w:val="Prrafodelista"/>
        <w:numPr>
          <w:ilvl w:val="0"/>
          <w:numId w:val="1"/>
        </w:numPr>
        <w:spacing w:line="276" w:lineRule="auto"/>
        <w:jc w:val="both"/>
        <w:rPr>
          <w:rFonts w:ascii="Courier New" w:hAnsi="Courier New" w:cs="Courier New"/>
          <w:sz w:val="24"/>
          <w:szCs w:val="24"/>
        </w:rPr>
      </w:pPr>
      <w:r w:rsidRPr="00180675">
        <w:rPr>
          <w:rFonts w:ascii="Courier New" w:hAnsi="Courier New" w:cs="Courier New"/>
          <w:sz w:val="24"/>
          <w:szCs w:val="24"/>
        </w:rPr>
        <w:t xml:space="preserve">Conforme al artículo 2 de la Ley 19.966, </w:t>
      </w:r>
      <w:r w:rsidR="00180675" w:rsidRPr="00180675">
        <w:rPr>
          <w:rFonts w:ascii="Courier New" w:hAnsi="Courier New" w:cs="Courier New"/>
          <w:sz w:val="24"/>
          <w:szCs w:val="24"/>
        </w:rPr>
        <w:t xml:space="preserve">Establece un Régimen de Garantías en Salud, </w:t>
      </w:r>
      <w:r w:rsidR="003958C6">
        <w:rPr>
          <w:rFonts w:ascii="Courier New" w:hAnsi="Courier New" w:cs="Courier New"/>
          <w:sz w:val="24"/>
          <w:szCs w:val="24"/>
        </w:rPr>
        <w:t xml:space="preserve">existirán </w:t>
      </w:r>
      <w:r w:rsidR="00180675" w:rsidRPr="00180675">
        <w:rPr>
          <w:rFonts w:ascii="Courier New" w:hAnsi="Courier New" w:cs="Courier New"/>
          <w:i/>
          <w:iCs/>
          <w:sz w:val="24"/>
          <w:szCs w:val="24"/>
        </w:rPr>
        <w:t>“(…)</w:t>
      </w:r>
      <w:r w:rsidRPr="00180675">
        <w:rPr>
          <w:rFonts w:ascii="Courier New" w:hAnsi="Courier New" w:cs="Courier New"/>
          <w:i/>
          <w:iCs/>
          <w:sz w:val="24"/>
          <w:szCs w:val="24"/>
        </w:rPr>
        <w:t xml:space="preserve"> El Fondo Nacional de Salud y las Instituciones de Salud Previsional </w:t>
      </w:r>
      <w:r w:rsidR="00103777">
        <w:rPr>
          <w:rFonts w:ascii="Courier New" w:hAnsi="Courier New" w:cs="Courier New"/>
          <w:sz w:val="24"/>
          <w:szCs w:val="24"/>
        </w:rPr>
        <w:t xml:space="preserve">(Ndr: isapres) </w:t>
      </w:r>
      <w:r w:rsidRPr="00180675">
        <w:rPr>
          <w:rFonts w:ascii="Courier New" w:hAnsi="Courier New" w:cs="Courier New"/>
          <w:i/>
          <w:iCs/>
          <w:sz w:val="24"/>
          <w:szCs w:val="24"/>
        </w:rPr>
        <w:t xml:space="preserve">deberán asegurar obligatoriamente dichas garantías </w:t>
      </w:r>
      <w:r w:rsidR="00103777">
        <w:rPr>
          <w:rFonts w:ascii="Courier New" w:hAnsi="Courier New" w:cs="Courier New"/>
          <w:sz w:val="24"/>
          <w:szCs w:val="24"/>
        </w:rPr>
        <w:t>(NdR: las Garantías Explícitas en Salud</w:t>
      </w:r>
      <w:r w:rsidR="000B1E36">
        <w:rPr>
          <w:rFonts w:ascii="Courier New" w:hAnsi="Courier New" w:cs="Courier New"/>
          <w:sz w:val="24"/>
          <w:szCs w:val="24"/>
        </w:rPr>
        <w:t>, en adelante las GES</w:t>
      </w:r>
      <w:r w:rsidR="00103777">
        <w:rPr>
          <w:rFonts w:ascii="Courier New" w:hAnsi="Courier New" w:cs="Courier New"/>
          <w:sz w:val="24"/>
          <w:szCs w:val="24"/>
        </w:rPr>
        <w:t xml:space="preserve">) </w:t>
      </w:r>
      <w:r w:rsidRPr="00180675">
        <w:rPr>
          <w:rFonts w:ascii="Courier New" w:hAnsi="Courier New" w:cs="Courier New"/>
          <w:i/>
          <w:iCs/>
          <w:sz w:val="24"/>
          <w:szCs w:val="24"/>
        </w:rPr>
        <w:t>a sus respectivos beneficiarios.</w:t>
      </w:r>
      <w:r w:rsidR="00180675">
        <w:rPr>
          <w:rFonts w:ascii="Courier New" w:hAnsi="Courier New" w:cs="Courier New"/>
          <w:i/>
          <w:iCs/>
          <w:sz w:val="24"/>
          <w:szCs w:val="24"/>
        </w:rPr>
        <w:t>”</w:t>
      </w:r>
    </w:p>
    <w:p w14:paraId="7B909107" w14:textId="77777777" w:rsidR="00180675" w:rsidRPr="00180675" w:rsidRDefault="00180675" w:rsidP="00180675">
      <w:pPr>
        <w:pStyle w:val="Prrafodelista"/>
        <w:spacing w:line="276" w:lineRule="auto"/>
        <w:jc w:val="both"/>
        <w:rPr>
          <w:rFonts w:ascii="Courier New" w:hAnsi="Courier New" w:cs="Courier New"/>
          <w:sz w:val="24"/>
          <w:szCs w:val="24"/>
        </w:rPr>
      </w:pPr>
    </w:p>
    <w:p w14:paraId="65EB3B21" w14:textId="77777777" w:rsidR="00103777" w:rsidRPr="00103777" w:rsidRDefault="00103777" w:rsidP="0088529D">
      <w:pPr>
        <w:pStyle w:val="Prrafodelista"/>
        <w:numPr>
          <w:ilvl w:val="0"/>
          <w:numId w:val="1"/>
        </w:numPr>
        <w:spacing w:line="276" w:lineRule="auto"/>
        <w:jc w:val="both"/>
        <w:rPr>
          <w:rFonts w:ascii="Courier New" w:hAnsi="Courier New" w:cs="Courier New"/>
          <w:i/>
          <w:iCs/>
          <w:sz w:val="24"/>
          <w:szCs w:val="24"/>
        </w:rPr>
      </w:pPr>
      <w:r>
        <w:rPr>
          <w:rFonts w:ascii="Courier New" w:hAnsi="Courier New" w:cs="Courier New"/>
          <w:sz w:val="24"/>
          <w:szCs w:val="24"/>
        </w:rPr>
        <w:t xml:space="preserve">En el caso de los beneficiarios del </w:t>
      </w:r>
      <w:r w:rsidR="00DB246C" w:rsidRPr="002B03FC">
        <w:rPr>
          <w:rFonts w:ascii="Courier New" w:hAnsi="Courier New" w:cs="Courier New"/>
          <w:sz w:val="24"/>
          <w:szCs w:val="24"/>
        </w:rPr>
        <w:t xml:space="preserve">FONASA, </w:t>
      </w:r>
      <w:r>
        <w:rPr>
          <w:rFonts w:ascii="Courier New" w:hAnsi="Courier New" w:cs="Courier New"/>
          <w:sz w:val="24"/>
          <w:szCs w:val="24"/>
        </w:rPr>
        <w:t xml:space="preserve">la </w:t>
      </w:r>
      <w:r w:rsidR="00DB246C" w:rsidRPr="002B03FC">
        <w:rPr>
          <w:rFonts w:ascii="Courier New" w:hAnsi="Courier New" w:cs="Courier New"/>
          <w:sz w:val="24"/>
          <w:szCs w:val="24"/>
        </w:rPr>
        <w:t>prima GES est</w:t>
      </w:r>
      <w:r>
        <w:rPr>
          <w:rFonts w:ascii="Courier New" w:hAnsi="Courier New" w:cs="Courier New"/>
          <w:sz w:val="24"/>
          <w:szCs w:val="24"/>
        </w:rPr>
        <w:t>á</w:t>
      </w:r>
      <w:r w:rsidR="00DB246C" w:rsidRPr="002B03FC">
        <w:rPr>
          <w:rFonts w:ascii="Courier New" w:hAnsi="Courier New" w:cs="Courier New"/>
          <w:sz w:val="24"/>
          <w:szCs w:val="24"/>
        </w:rPr>
        <w:t xml:space="preserve"> incluida dentro de la cotización legal obligatoria</w:t>
      </w:r>
      <w:r>
        <w:rPr>
          <w:rFonts w:ascii="Courier New" w:hAnsi="Courier New" w:cs="Courier New"/>
          <w:sz w:val="24"/>
          <w:szCs w:val="24"/>
        </w:rPr>
        <w:t>.</w:t>
      </w:r>
    </w:p>
    <w:p w14:paraId="79741C4A" w14:textId="6ADBC0D9" w:rsidR="00E6084C" w:rsidRDefault="000B1E36" w:rsidP="000B1E36">
      <w:pPr>
        <w:pStyle w:val="Prrafodelista"/>
        <w:spacing w:line="276" w:lineRule="auto"/>
        <w:jc w:val="both"/>
        <w:rPr>
          <w:rFonts w:ascii="Courier New" w:hAnsi="Courier New" w:cs="Courier New"/>
          <w:i/>
          <w:iCs/>
          <w:sz w:val="24"/>
          <w:szCs w:val="24"/>
        </w:rPr>
      </w:pPr>
      <w:r>
        <w:rPr>
          <w:rFonts w:ascii="Courier New" w:hAnsi="Courier New" w:cs="Courier New"/>
          <w:sz w:val="24"/>
          <w:szCs w:val="24"/>
        </w:rPr>
        <w:t>L</w:t>
      </w:r>
      <w:r w:rsidR="00DB246C" w:rsidRPr="002B03FC">
        <w:rPr>
          <w:rFonts w:ascii="Courier New" w:hAnsi="Courier New" w:cs="Courier New"/>
          <w:sz w:val="24"/>
          <w:szCs w:val="24"/>
        </w:rPr>
        <w:t>as isapres</w:t>
      </w:r>
      <w:r>
        <w:rPr>
          <w:rFonts w:ascii="Courier New" w:hAnsi="Courier New" w:cs="Courier New"/>
          <w:sz w:val="24"/>
          <w:szCs w:val="24"/>
        </w:rPr>
        <w:t xml:space="preserve">, a su vez, </w:t>
      </w:r>
      <w:r w:rsidR="00DB246C" w:rsidRPr="002B03FC">
        <w:rPr>
          <w:rFonts w:ascii="Courier New" w:hAnsi="Courier New" w:cs="Courier New"/>
          <w:sz w:val="24"/>
          <w:szCs w:val="24"/>
        </w:rPr>
        <w:t xml:space="preserve">están expresamente autorizadas para </w:t>
      </w:r>
      <w:r w:rsidR="0020039E" w:rsidRPr="002B03FC">
        <w:rPr>
          <w:rFonts w:ascii="Courier New" w:hAnsi="Courier New" w:cs="Courier New"/>
          <w:sz w:val="24"/>
          <w:szCs w:val="24"/>
        </w:rPr>
        <w:t xml:space="preserve">cobrar un precio por el otorgamiento de las </w:t>
      </w:r>
      <w:r w:rsidR="003958C6">
        <w:rPr>
          <w:rFonts w:ascii="Courier New" w:hAnsi="Courier New" w:cs="Courier New"/>
          <w:sz w:val="24"/>
          <w:szCs w:val="24"/>
        </w:rPr>
        <w:t>GES</w:t>
      </w:r>
      <w:r w:rsidR="00800BA4" w:rsidRPr="002B03FC">
        <w:rPr>
          <w:rFonts w:ascii="Courier New" w:hAnsi="Courier New" w:cs="Courier New"/>
          <w:sz w:val="24"/>
          <w:szCs w:val="24"/>
        </w:rPr>
        <w:t>, por cada uno de los beneficiarios</w:t>
      </w:r>
      <w:r>
        <w:rPr>
          <w:rFonts w:ascii="Courier New" w:hAnsi="Courier New" w:cs="Courier New"/>
          <w:sz w:val="24"/>
          <w:szCs w:val="24"/>
        </w:rPr>
        <w:t xml:space="preserve">, </w:t>
      </w:r>
      <w:r w:rsidR="003958C6">
        <w:rPr>
          <w:rFonts w:ascii="Courier New" w:hAnsi="Courier New" w:cs="Courier New"/>
          <w:sz w:val="24"/>
          <w:szCs w:val="24"/>
        </w:rPr>
        <w:t>de acuerdo</w:t>
      </w:r>
      <w:r w:rsidR="00800BA4" w:rsidRPr="002B03FC">
        <w:rPr>
          <w:rFonts w:ascii="Courier New" w:hAnsi="Courier New" w:cs="Courier New"/>
          <w:sz w:val="24"/>
          <w:szCs w:val="24"/>
        </w:rPr>
        <w:t xml:space="preserve"> </w:t>
      </w:r>
      <w:r w:rsidR="003958C6">
        <w:rPr>
          <w:rFonts w:ascii="Courier New" w:hAnsi="Courier New" w:cs="Courier New"/>
          <w:sz w:val="24"/>
          <w:szCs w:val="24"/>
        </w:rPr>
        <w:t>a</w:t>
      </w:r>
      <w:r w:rsidR="00800BA4" w:rsidRPr="002B03FC">
        <w:rPr>
          <w:rFonts w:ascii="Courier New" w:hAnsi="Courier New" w:cs="Courier New"/>
          <w:sz w:val="24"/>
          <w:szCs w:val="24"/>
        </w:rPr>
        <w:t xml:space="preserve"> lo dispuesto en el </w:t>
      </w:r>
      <w:r w:rsidR="00804E54" w:rsidRPr="002B03FC">
        <w:rPr>
          <w:rFonts w:ascii="Courier New" w:hAnsi="Courier New" w:cs="Courier New"/>
          <w:sz w:val="24"/>
          <w:szCs w:val="24"/>
        </w:rPr>
        <w:t xml:space="preserve">inciso segundo del </w:t>
      </w:r>
      <w:r w:rsidR="00E6084C" w:rsidRPr="002B03FC">
        <w:rPr>
          <w:rFonts w:ascii="Courier New" w:hAnsi="Courier New" w:cs="Courier New"/>
          <w:sz w:val="24"/>
          <w:szCs w:val="24"/>
        </w:rPr>
        <w:t>artículo 206 del DFL 1, de 2005, del Minsal</w:t>
      </w:r>
      <w:r w:rsidR="002B03FC" w:rsidRPr="002B03FC">
        <w:rPr>
          <w:rFonts w:ascii="Courier New" w:hAnsi="Courier New" w:cs="Courier New"/>
          <w:sz w:val="24"/>
          <w:szCs w:val="24"/>
        </w:rPr>
        <w:t>, Fija texto refundido, coordinado y sistematizado del Decreto Ley N° 2.763, de 1979 y de las Leyes N° 18.933 y N° 18.469</w:t>
      </w:r>
      <w:r w:rsidR="006630F7">
        <w:rPr>
          <w:rFonts w:ascii="Courier New" w:hAnsi="Courier New" w:cs="Courier New"/>
          <w:sz w:val="24"/>
          <w:szCs w:val="24"/>
        </w:rPr>
        <w:t>, el que señala</w:t>
      </w:r>
      <w:r w:rsidR="002B03FC" w:rsidRPr="002B03FC">
        <w:rPr>
          <w:rFonts w:ascii="Courier New" w:hAnsi="Courier New" w:cs="Courier New"/>
          <w:sz w:val="24"/>
          <w:szCs w:val="24"/>
        </w:rPr>
        <w:t xml:space="preserve">: </w:t>
      </w:r>
      <w:r w:rsidR="00E6084C" w:rsidRPr="002B03FC">
        <w:rPr>
          <w:rFonts w:ascii="Courier New" w:hAnsi="Courier New" w:cs="Courier New"/>
          <w:i/>
          <w:iCs/>
          <w:sz w:val="24"/>
          <w:szCs w:val="24"/>
        </w:rPr>
        <w:t>“La Institución de Salud Previsional deberá informar a la Superintendencia</w:t>
      </w:r>
      <w:r w:rsidR="006630F7">
        <w:rPr>
          <w:rFonts w:ascii="Courier New" w:hAnsi="Courier New" w:cs="Courier New"/>
          <w:i/>
          <w:iCs/>
          <w:sz w:val="24"/>
          <w:szCs w:val="24"/>
        </w:rPr>
        <w:t xml:space="preserve"> </w:t>
      </w:r>
      <w:r w:rsidR="006630F7">
        <w:rPr>
          <w:rFonts w:ascii="Courier New" w:hAnsi="Courier New" w:cs="Courier New"/>
          <w:sz w:val="24"/>
          <w:szCs w:val="24"/>
        </w:rPr>
        <w:t>(NdR: de Salud)</w:t>
      </w:r>
      <w:r w:rsidR="00E6084C" w:rsidRPr="002B03FC">
        <w:rPr>
          <w:rFonts w:ascii="Courier New" w:hAnsi="Courier New" w:cs="Courier New"/>
          <w:i/>
          <w:iCs/>
          <w:sz w:val="24"/>
          <w:szCs w:val="24"/>
        </w:rPr>
        <w:t>, dentro de los noventa días siguientes a la publicación del mencionado decreto</w:t>
      </w:r>
      <w:r w:rsidR="00504E38">
        <w:rPr>
          <w:rStyle w:val="Refdenotaalpie"/>
          <w:rFonts w:ascii="Courier New" w:hAnsi="Courier New" w:cs="Courier New"/>
          <w:i/>
          <w:iCs/>
          <w:sz w:val="24"/>
          <w:szCs w:val="24"/>
        </w:rPr>
        <w:footnoteReference w:id="1"/>
      </w:r>
      <w:r w:rsidR="006630F7">
        <w:rPr>
          <w:rFonts w:ascii="Courier New" w:hAnsi="Courier New" w:cs="Courier New"/>
          <w:i/>
          <w:iCs/>
          <w:sz w:val="24"/>
          <w:szCs w:val="24"/>
        </w:rPr>
        <w:t xml:space="preserve"> </w:t>
      </w:r>
      <w:r w:rsidR="00E6084C" w:rsidRPr="002B03FC">
        <w:rPr>
          <w:rFonts w:ascii="Courier New" w:hAnsi="Courier New" w:cs="Courier New"/>
          <w:i/>
          <w:iCs/>
          <w:sz w:val="24"/>
          <w:szCs w:val="24"/>
        </w:rPr>
        <w:t>el precio que cobrará por las Garantías Explícitas en Salud. Dicho precio se expresará en unidades de fomento o en la moneda de curso legal en el país. Corresponderá a la Superintendencia publicar en el Diario Oficial, con treinta días de anticipación a la vigencia del antedicho decreto, a lo menos, el precio fijado por cada Institución de Salud Previsional. Se presumirá de derecho que los afiliados han sido notificados del precio, desde la referida publicación.”</w:t>
      </w:r>
      <w:r w:rsidR="00804E54">
        <w:rPr>
          <w:rStyle w:val="Refdenotaalpie"/>
          <w:rFonts w:ascii="Courier New" w:hAnsi="Courier New" w:cs="Courier New"/>
          <w:i/>
          <w:iCs/>
          <w:sz w:val="24"/>
          <w:szCs w:val="24"/>
        </w:rPr>
        <w:footnoteReference w:id="2"/>
      </w:r>
    </w:p>
    <w:p w14:paraId="243C2420" w14:textId="77777777" w:rsidR="006F1F26" w:rsidRPr="008F7E1C" w:rsidRDefault="006F1F26" w:rsidP="00050F19">
      <w:pPr>
        <w:pStyle w:val="Prrafodelista"/>
        <w:spacing w:line="276" w:lineRule="auto"/>
        <w:jc w:val="both"/>
        <w:rPr>
          <w:rFonts w:ascii="Courier New" w:hAnsi="Courier New" w:cs="Courier New"/>
          <w:sz w:val="24"/>
          <w:szCs w:val="24"/>
        </w:rPr>
      </w:pPr>
      <w:r w:rsidRPr="008F7E1C">
        <w:rPr>
          <w:rFonts w:ascii="Courier New" w:hAnsi="Courier New" w:cs="Courier New"/>
          <w:sz w:val="24"/>
          <w:szCs w:val="24"/>
        </w:rPr>
        <w:t>Actualmente, los precios de las GES que cobran las isapre varían entre UF 0,390 a 0,520 mensuales, en el caso de las isapre abiertas; y 0,255 a 0,480, en el caso de las isapre cerradas</w:t>
      </w:r>
      <w:r>
        <w:rPr>
          <w:rStyle w:val="Refdenotaalpie"/>
          <w:rFonts w:ascii="Courier New" w:hAnsi="Courier New" w:cs="Courier New"/>
          <w:sz w:val="24"/>
          <w:szCs w:val="24"/>
        </w:rPr>
        <w:footnoteReference w:id="3"/>
      </w:r>
      <w:r w:rsidRPr="008F7E1C">
        <w:rPr>
          <w:rFonts w:ascii="Courier New" w:hAnsi="Courier New" w:cs="Courier New"/>
          <w:sz w:val="24"/>
          <w:szCs w:val="24"/>
        </w:rPr>
        <w:t xml:space="preserve">. </w:t>
      </w:r>
    </w:p>
    <w:p w14:paraId="3805E14B" w14:textId="77777777" w:rsidR="006F1F26" w:rsidRPr="006F1F26" w:rsidRDefault="006F1F26" w:rsidP="006F1F26">
      <w:pPr>
        <w:pStyle w:val="Prrafodelista"/>
        <w:rPr>
          <w:rFonts w:ascii="Courier New" w:hAnsi="Courier New" w:cs="Courier New"/>
          <w:sz w:val="24"/>
          <w:szCs w:val="24"/>
        </w:rPr>
      </w:pPr>
    </w:p>
    <w:p w14:paraId="30538D4E" w14:textId="77777777" w:rsidR="006F1F26" w:rsidRDefault="006F1F26">
      <w:pPr>
        <w:rPr>
          <w:rFonts w:ascii="Courier New" w:hAnsi="Courier New" w:cs="Courier New"/>
          <w:sz w:val="24"/>
          <w:szCs w:val="24"/>
        </w:rPr>
      </w:pPr>
      <w:r>
        <w:rPr>
          <w:rFonts w:ascii="Courier New" w:hAnsi="Courier New" w:cs="Courier New"/>
          <w:sz w:val="24"/>
          <w:szCs w:val="24"/>
        </w:rPr>
        <w:br w:type="page"/>
      </w:r>
    </w:p>
    <w:p w14:paraId="4BA9D351" w14:textId="5A3C6A96" w:rsidR="00CE3392" w:rsidRDefault="000B1E36" w:rsidP="00353B04">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sz w:val="24"/>
          <w:szCs w:val="24"/>
        </w:rPr>
        <w:lastRenderedPageBreak/>
        <w:t>Respecto de la cuantía de la modificación del precios, e</w:t>
      </w:r>
      <w:r w:rsidR="00CE3392" w:rsidRPr="00923D4B">
        <w:rPr>
          <w:rFonts w:ascii="Courier New" w:hAnsi="Courier New" w:cs="Courier New"/>
          <w:sz w:val="24"/>
          <w:szCs w:val="24"/>
        </w:rPr>
        <w:t xml:space="preserve">l artículo 5 del D.S. 121, del Minsal, Reglamento que establece normas para la elaboración y determinación de las garantías explicitas en salud a que se refiere la Ley Nº 19.966, dispone que </w:t>
      </w:r>
      <w:r w:rsidR="00CE3392" w:rsidRPr="00923D4B">
        <w:rPr>
          <w:rFonts w:ascii="Courier New" w:hAnsi="Courier New" w:cs="Courier New"/>
          <w:i/>
          <w:iCs/>
          <w:sz w:val="24"/>
          <w:szCs w:val="24"/>
        </w:rPr>
        <w:t>“Las Garantías Explícitas en Salud que se determinen no podrán generar un costo esperado individual promedio pertinente, calculado conforme al párrafo quinto de este reglamento, que sea significativamente diferente al valor de la Prima Universal.</w:t>
      </w:r>
    </w:p>
    <w:p w14:paraId="28260CA4" w14:textId="77777777" w:rsidR="00050F19" w:rsidRDefault="00050F19" w:rsidP="008F7E1C">
      <w:pPr>
        <w:pStyle w:val="Prrafodelista"/>
        <w:spacing w:line="276" w:lineRule="auto"/>
        <w:jc w:val="both"/>
        <w:rPr>
          <w:rFonts w:ascii="Courier New" w:hAnsi="Courier New" w:cs="Courier New"/>
          <w:sz w:val="24"/>
          <w:szCs w:val="24"/>
          <w:highlight w:val="yellow"/>
        </w:rPr>
      </w:pPr>
    </w:p>
    <w:p w14:paraId="304B43EF" w14:textId="281939AC" w:rsidR="00353B04" w:rsidRPr="000B1E36" w:rsidRDefault="00CE3392" w:rsidP="000B1E36">
      <w:pPr>
        <w:pStyle w:val="Prrafodelista"/>
        <w:numPr>
          <w:ilvl w:val="0"/>
          <w:numId w:val="1"/>
        </w:numPr>
        <w:jc w:val="both"/>
        <w:rPr>
          <w:rFonts w:ascii="Courier New" w:hAnsi="Courier New" w:cs="Courier New"/>
          <w:sz w:val="24"/>
          <w:szCs w:val="24"/>
        </w:rPr>
      </w:pPr>
      <w:r>
        <w:rPr>
          <w:rFonts w:ascii="Courier New" w:hAnsi="Courier New" w:cs="Courier New"/>
          <w:sz w:val="24"/>
          <w:szCs w:val="24"/>
        </w:rPr>
        <w:t>A</w:t>
      </w:r>
      <w:r w:rsidR="002B03FC" w:rsidRPr="00923D4B">
        <w:rPr>
          <w:rFonts w:ascii="Courier New" w:hAnsi="Courier New" w:cs="Courier New"/>
          <w:sz w:val="24"/>
          <w:szCs w:val="24"/>
        </w:rPr>
        <w:t xml:space="preserve">l igual que en el caso de las alzas de precio base, las isapres no deben fundamentar el </w:t>
      </w:r>
      <w:r>
        <w:rPr>
          <w:rFonts w:ascii="Courier New" w:hAnsi="Courier New" w:cs="Courier New"/>
          <w:sz w:val="24"/>
          <w:szCs w:val="24"/>
        </w:rPr>
        <w:t>aumento</w:t>
      </w:r>
      <w:r w:rsidR="002B03FC" w:rsidRPr="00923D4B">
        <w:rPr>
          <w:rFonts w:ascii="Courier New" w:hAnsi="Courier New" w:cs="Courier New"/>
          <w:sz w:val="24"/>
          <w:szCs w:val="24"/>
        </w:rPr>
        <w:t xml:space="preserve"> de la prima, por lo cual su aplicación </w:t>
      </w:r>
      <w:r w:rsidR="003837FA" w:rsidRPr="00923D4B">
        <w:rPr>
          <w:rFonts w:ascii="Courier New" w:hAnsi="Courier New" w:cs="Courier New"/>
          <w:sz w:val="24"/>
          <w:szCs w:val="24"/>
        </w:rPr>
        <w:t xml:space="preserve">queda sujeta a la decisión de </w:t>
      </w:r>
      <w:r w:rsidR="002B03FC" w:rsidRPr="00923D4B">
        <w:rPr>
          <w:rFonts w:ascii="Courier New" w:hAnsi="Courier New" w:cs="Courier New"/>
          <w:sz w:val="24"/>
          <w:szCs w:val="24"/>
        </w:rPr>
        <w:t>la Superintendencia de Salud y/o Cortes de Apelaciones, según el caso.</w:t>
      </w:r>
      <w:r w:rsidR="00923D4B" w:rsidRPr="00923D4B">
        <w:rPr>
          <w:rFonts w:ascii="Courier New" w:hAnsi="Courier New" w:cs="Courier New"/>
          <w:sz w:val="24"/>
          <w:szCs w:val="24"/>
        </w:rPr>
        <w:t xml:space="preserve"> </w:t>
      </w:r>
      <w:r w:rsidR="000B1E36">
        <w:rPr>
          <w:rFonts w:ascii="Courier New" w:hAnsi="Courier New" w:cs="Courier New"/>
          <w:sz w:val="24"/>
          <w:szCs w:val="24"/>
        </w:rPr>
        <w:t xml:space="preserve">Por ello, </w:t>
      </w:r>
      <w:r w:rsidR="003958C6" w:rsidRPr="000B1E36">
        <w:rPr>
          <w:rFonts w:ascii="Courier New" w:hAnsi="Courier New" w:cs="Courier New"/>
          <w:sz w:val="24"/>
          <w:szCs w:val="24"/>
        </w:rPr>
        <w:t xml:space="preserve">la racionalidad de la </w:t>
      </w:r>
      <w:r w:rsidR="000B1E36">
        <w:rPr>
          <w:rFonts w:ascii="Courier New" w:hAnsi="Courier New" w:cs="Courier New"/>
          <w:sz w:val="24"/>
          <w:szCs w:val="24"/>
        </w:rPr>
        <w:t xml:space="preserve">modificación de la </w:t>
      </w:r>
      <w:r w:rsidR="003958C6" w:rsidRPr="000B1E36">
        <w:rPr>
          <w:rFonts w:ascii="Courier New" w:hAnsi="Courier New" w:cs="Courier New"/>
          <w:sz w:val="24"/>
          <w:szCs w:val="24"/>
        </w:rPr>
        <w:t xml:space="preserve">prima GES queda entregada a </w:t>
      </w:r>
      <w:r w:rsidR="00353B04" w:rsidRPr="000B1E36">
        <w:rPr>
          <w:rFonts w:ascii="Courier New" w:hAnsi="Courier New" w:cs="Courier New"/>
          <w:sz w:val="24"/>
          <w:szCs w:val="24"/>
        </w:rPr>
        <w:t>la decisión del Tribunal Especial de la Superintendencia de Salud y/o las Cortes de Apelaciones. De esta manera, aquellos beneficiarios que no impugnen dicha alza se verán obligados a pagarla, atendido el efecto relativo de las sentencias.</w:t>
      </w:r>
    </w:p>
    <w:p w14:paraId="5279EEA1" w14:textId="77777777" w:rsidR="00353B04" w:rsidRPr="00353B04" w:rsidRDefault="00353B04" w:rsidP="00353B04">
      <w:pPr>
        <w:pStyle w:val="Prrafodelista"/>
        <w:rPr>
          <w:rFonts w:ascii="Courier New" w:hAnsi="Courier New" w:cs="Courier New"/>
          <w:sz w:val="24"/>
          <w:szCs w:val="24"/>
        </w:rPr>
      </w:pPr>
    </w:p>
    <w:p w14:paraId="22B070B1" w14:textId="337CC3AE" w:rsidR="00491952" w:rsidRDefault="005B7A4D" w:rsidP="00491952">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sz w:val="24"/>
          <w:szCs w:val="24"/>
        </w:rPr>
        <w:t xml:space="preserve">Respecto del proceso de alza de precio GES anterior, </w:t>
      </w:r>
      <w:r w:rsidR="00CE3392" w:rsidRPr="00A73201">
        <w:rPr>
          <w:rFonts w:ascii="Courier New" w:hAnsi="Courier New" w:cs="Courier New"/>
          <w:sz w:val="24"/>
          <w:szCs w:val="24"/>
        </w:rPr>
        <w:t xml:space="preserve">la </w:t>
      </w:r>
      <w:r w:rsidR="005B5643">
        <w:rPr>
          <w:rFonts w:ascii="Courier New" w:hAnsi="Courier New" w:cs="Courier New"/>
          <w:sz w:val="24"/>
          <w:szCs w:val="24"/>
        </w:rPr>
        <w:t xml:space="preserve">Excma. </w:t>
      </w:r>
      <w:r w:rsidR="00CE3392" w:rsidRPr="00A73201">
        <w:rPr>
          <w:rFonts w:ascii="Courier New" w:hAnsi="Courier New" w:cs="Courier New"/>
          <w:sz w:val="24"/>
          <w:szCs w:val="24"/>
        </w:rPr>
        <w:t>Corte Suprema acog</w:t>
      </w:r>
      <w:r>
        <w:rPr>
          <w:rFonts w:ascii="Courier New" w:hAnsi="Courier New" w:cs="Courier New"/>
          <w:sz w:val="24"/>
          <w:szCs w:val="24"/>
        </w:rPr>
        <w:t>ió</w:t>
      </w:r>
      <w:r w:rsidR="00CE3392" w:rsidRPr="00A73201">
        <w:rPr>
          <w:rFonts w:ascii="Courier New" w:hAnsi="Courier New" w:cs="Courier New"/>
          <w:sz w:val="24"/>
          <w:szCs w:val="24"/>
        </w:rPr>
        <w:t xml:space="preserve"> </w:t>
      </w:r>
      <w:r w:rsidR="00491952">
        <w:rPr>
          <w:rFonts w:ascii="Courier New" w:hAnsi="Courier New" w:cs="Courier New"/>
          <w:sz w:val="24"/>
          <w:szCs w:val="24"/>
        </w:rPr>
        <w:t xml:space="preserve">– con costas – </w:t>
      </w:r>
      <w:r w:rsidR="005B5643" w:rsidRPr="00491952">
        <w:rPr>
          <w:rFonts w:ascii="Courier New" w:hAnsi="Courier New" w:cs="Courier New"/>
          <w:sz w:val="24"/>
          <w:szCs w:val="24"/>
        </w:rPr>
        <w:t xml:space="preserve">los </w:t>
      </w:r>
      <w:r w:rsidR="00CE3392" w:rsidRPr="00491952">
        <w:rPr>
          <w:rFonts w:ascii="Courier New" w:hAnsi="Courier New" w:cs="Courier New"/>
          <w:sz w:val="24"/>
          <w:szCs w:val="24"/>
        </w:rPr>
        <w:t xml:space="preserve">recursos de protección </w:t>
      </w:r>
      <w:r w:rsidR="005B5643" w:rsidRPr="00491952">
        <w:rPr>
          <w:rFonts w:ascii="Courier New" w:hAnsi="Courier New" w:cs="Courier New"/>
          <w:sz w:val="24"/>
          <w:szCs w:val="24"/>
        </w:rPr>
        <w:t xml:space="preserve">interpuestos por los beneficiarios contra las isapres, </w:t>
      </w:r>
      <w:r w:rsidR="00CE3392" w:rsidRPr="00491952">
        <w:rPr>
          <w:rFonts w:ascii="Courier New" w:hAnsi="Courier New" w:cs="Courier New"/>
          <w:sz w:val="24"/>
          <w:szCs w:val="24"/>
        </w:rPr>
        <w:t xml:space="preserve">disponiendo que </w:t>
      </w:r>
      <w:r w:rsidR="00491952">
        <w:rPr>
          <w:rFonts w:ascii="Courier New" w:hAnsi="Courier New" w:cs="Courier New"/>
          <w:sz w:val="24"/>
          <w:szCs w:val="24"/>
        </w:rPr>
        <w:t>dejar sin efecto dichos aumentos, en base a los siguientes argumentos</w:t>
      </w:r>
      <w:r w:rsidR="002440D2">
        <w:rPr>
          <w:rStyle w:val="Refdenotaalpie"/>
          <w:rFonts w:ascii="Courier New" w:hAnsi="Courier New" w:cs="Courier New"/>
          <w:sz w:val="24"/>
          <w:szCs w:val="24"/>
        </w:rPr>
        <w:footnoteReference w:id="4"/>
      </w:r>
      <w:r w:rsidR="00491952">
        <w:rPr>
          <w:rFonts w:ascii="Courier New" w:hAnsi="Courier New" w:cs="Courier New"/>
          <w:sz w:val="24"/>
          <w:szCs w:val="24"/>
        </w:rPr>
        <w:t>:</w:t>
      </w:r>
    </w:p>
    <w:p w14:paraId="743EFE7D" w14:textId="7713935C" w:rsidR="00491952" w:rsidRPr="0095643D" w:rsidRDefault="0095643D" w:rsidP="0095643D">
      <w:pPr>
        <w:pStyle w:val="Prrafodelista"/>
        <w:numPr>
          <w:ilvl w:val="1"/>
          <w:numId w:val="1"/>
        </w:numPr>
        <w:spacing w:line="276" w:lineRule="auto"/>
        <w:jc w:val="both"/>
        <w:rPr>
          <w:rFonts w:ascii="Courier New" w:hAnsi="Courier New" w:cs="Courier New"/>
          <w:i/>
          <w:iCs/>
          <w:sz w:val="24"/>
          <w:szCs w:val="24"/>
        </w:rPr>
      </w:pPr>
      <w:r w:rsidRPr="0095643D">
        <w:rPr>
          <w:rFonts w:ascii="Courier New" w:hAnsi="Courier New" w:cs="Courier New"/>
          <w:i/>
          <w:iCs/>
          <w:sz w:val="24"/>
          <w:szCs w:val="24"/>
        </w:rPr>
        <w:t xml:space="preserve">“(…) </w:t>
      </w:r>
      <w:r w:rsidR="00491952" w:rsidRPr="0095643D">
        <w:rPr>
          <w:rFonts w:ascii="Courier New" w:hAnsi="Courier New" w:cs="Courier New"/>
          <w:i/>
          <w:iCs/>
          <w:sz w:val="24"/>
          <w:szCs w:val="24"/>
        </w:rPr>
        <w:t>se agregan algunas prestaciones en determinadas</w:t>
      </w:r>
      <w:r w:rsidRPr="0095643D">
        <w:rPr>
          <w:rFonts w:ascii="Courier New" w:hAnsi="Courier New" w:cs="Courier New"/>
          <w:i/>
          <w:iCs/>
          <w:sz w:val="24"/>
          <w:szCs w:val="24"/>
        </w:rPr>
        <w:t xml:space="preserve"> </w:t>
      </w:r>
      <w:r w:rsidR="00491952" w:rsidRPr="0095643D">
        <w:rPr>
          <w:rFonts w:ascii="Courier New" w:hAnsi="Courier New" w:cs="Courier New"/>
          <w:i/>
          <w:iCs/>
          <w:sz w:val="24"/>
          <w:szCs w:val="24"/>
        </w:rPr>
        <w:t>enfermedades, correspondiendo el resto a modificaciones de</w:t>
      </w:r>
      <w:r w:rsidRPr="0095643D">
        <w:rPr>
          <w:rFonts w:ascii="Courier New" w:hAnsi="Courier New" w:cs="Courier New"/>
          <w:i/>
          <w:iCs/>
          <w:sz w:val="24"/>
          <w:szCs w:val="24"/>
        </w:rPr>
        <w:t xml:space="preserve"> </w:t>
      </w:r>
      <w:r w:rsidR="00491952" w:rsidRPr="0095643D">
        <w:rPr>
          <w:rFonts w:ascii="Courier New" w:hAnsi="Courier New" w:cs="Courier New"/>
          <w:i/>
          <w:iCs/>
          <w:sz w:val="24"/>
          <w:szCs w:val="24"/>
        </w:rPr>
        <w:t>las prestaciones existentes y variaciones de canastas.</w:t>
      </w:r>
      <w:r w:rsidR="00314911">
        <w:rPr>
          <w:rFonts w:ascii="Courier New" w:hAnsi="Courier New" w:cs="Courier New"/>
          <w:i/>
          <w:iCs/>
          <w:sz w:val="24"/>
          <w:szCs w:val="24"/>
        </w:rPr>
        <w:t xml:space="preserve"> </w:t>
      </w:r>
      <w:r w:rsidRPr="0095643D">
        <w:rPr>
          <w:rFonts w:ascii="Courier New" w:hAnsi="Courier New" w:cs="Courier New"/>
          <w:i/>
          <w:iCs/>
          <w:sz w:val="24"/>
          <w:szCs w:val="24"/>
        </w:rPr>
        <w:t>(…)”</w:t>
      </w:r>
      <w:r>
        <w:rPr>
          <w:rFonts w:ascii="Courier New" w:hAnsi="Courier New" w:cs="Courier New"/>
          <w:i/>
          <w:iCs/>
          <w:sz w:val="24"/>
          <w:szCs w:val="24"/>
        </w:rPr>
        <w:t xml:space="preserve"> </w:t>
      </w:r>
      <w:r>
        <w:rPr>
          <w:rFonts w:ascii="Courier New" w:hAnsi="Courier New" w:cs="Courier New"/>
          <w:sz w:val="24"/>
          <w:szCs w:val="24"/>
        </w:rPr>
        <w:t>(Considerando Octavo)</w:t>
      </w:r>
      <w:r w:rsidR="00264017">
        <w:rPr>
          <w:rFonts w:ascii="Courier New" w:hAnsi="Courier New" w:cs="Courier New"/>
          <w:sz w:val="24"/>
          <w:szCs w:val="24"/>
        </w:rPr>
        <w:t>;</w:t>
      </w:r>
    </w:p>
    <w:p w14:paraId="7078BDAB" w14:textId="3C6AC513" w:rsidR="00314911" w:rsidRPr="00264017" w:rsidRDefault="0095643D" w:rsidP="00314911">
      <w:pPr>
        <w:pStyle w:val="Prrafodelista"/>
        <w:numPr>
          <w:ilvl w:val="1"/>
          <w:numId w:val="1"/>
        </w:numPr>
        <w:spacing w:line="276" w:lineRule="auto"/>
        <w:jc w:val="both"/>
        <w:rPr>
          <w:rFonts w:ascii="Courier New" w:hAnsi="Courier New" w:cs="Courier New"/>
          <w:i/>
          <w:iCs/>
          <w:sz w:val="24"/>
          <w:szCs w:val="24"/>
        </w:rPr>
      </w:pPr>
      <w:r>
        <w:rPr>
          <w:rFonts w:ascii="Courier New" w:hAnsi="Courier New" w:cs="Courier New"/>
          <w:sz w:val="24"/>
          <w:szCs w:val="24"/>
        </w:rPr>
        <w:t xml:space="preserve">El </w:t>
      </w:r>
      <w:r w:rsidR="00314911" w:rsidRPr="00314911">
        <w:rPr>
          <w:rFonts w:ascii="Courier New" w:hAnsi="Courier New" w:cs="Courier New"/>
          <w:i/>
          <w:iCs/>
          <w:sz w:val="24"/>
          <w:szCs w:val="24"/>
        </w:rPr>
        <w:t>“(…) precio fijado por la Isapre recurrida, es</w:t>
      </w:r>
      <w:r w:rsidR="00314911">
        <w:rPr>
          <w:rFonts w:ascii="Courier New" w:hAnsi="Courier New" w:cs="Courier New"/>
          <w:i/>
          <w:iCs/>
          <w:sz w:val="24"/>
          <w:szCs w:val="24"/>
        </w:rPr>
        <w:t xml:space="preserve"> </w:t>
      </w:r>
      <w:r w:rsidR="00314911" w:rsidRPr="00314911">
        <w:rPr>
          <w:rFonts w:ascii="Courier New" w:hAnsi="Courier New" w:cs="Courier New"/>
          <w:i/>
          <w:iCs/>
          <w:sz w:val="24"/>
          <w:szCs w:val="24"/>
        </w:rPr>
        <w:t>significativamente” superior a la prima universal</w:t>
      </w:r>
      <w:r w:rsidR="00314911">
        <w:rPr>
          <w:rFonts w:ascii="Courier New" w:hAnsi="Courier New" w:cs="Courier New"/>
          <w:i/>
          <w:iCs/>
          <w:sz w:val="24"/>
          <w:szCs w:val="24"/>
        </w:rPr>
        <w:t xml:space="preserve"> (…)”</w:t>
      </w:r>
      <w:r w:rsidR="00264017">
        <w:rPr>
          <w:rFonts w:ascii="Courier New" w:hAnsi="Courier New" w:cs="Courier New"/>
          <w:i/>
          <w:iCs/>
          <w:sz w:val="24"/>
          <w:szCs w:val="24"/>
        </w:rPr>
        <w:t xml:space="preserve"> </w:t>
      </w:r>
      <w:r w:rsidR="00264017">
        <w:rPr>
          <w:rFonts w:ascii="Courier New" w:hAnsi="Courier New" w:cs="Courier New"/>
          <w:sz w:val="24"/>
          <w:szCs w:val="24"/>
        </w:rPr>
        <w:t>(Considerando Noveno);</w:t>
      </w:r>
    </w:p>
    <w:p w14:paraId="6717489C" w14:textId="45690D1D" w:rsidR="00264017" w:rsidRPr="00264017" w:rsidRDefault="00264017" w:rsidP="00264017">
      <w:pPr>
        <w:pStyle w:val="Prrafodelista"/>
        <w:numPr>
          <w:ilvl w:val="1"/>
          <w:numId w:val="1"/>
        </w:numPr>
        <w:spacing w:line="276" w:lineRule="auto"/>
        <w:jc w:val="both"/>
        <w:rPr>
          <w:rFonts w:ascii="Courier New" w:hAnsi="Courier New" w:cs="Courier New"/>
          <w:i/>
          <w:iCs/>
          <w:sz w:val="24"/>
          <w:szCs w:val="24"/>
        </w:rPr>
      </w:pPr>
      <w:r w:rsidRPr="00264017">
        <w:rPr>
          <w:rFonts w:ascii="Courier New" w:hAnsi="Courier New" w:cs="Courier New"/>
          <w:sz w:val="24"/>
          <w:szCs w:val="24"/>
        </w:rPr>
        <w:t>Que</w:t>
      </w:r>
      <w:r>
        <w:rPr>
          <w:rFonts w:ascii="Courier New" w:hAnsi="Courier New" w:cs="Courier New"/>
          <w:i/>
          <w:iCs/>
          <w:sz w:val="24"/>
          <w:szCs w:val="24"/>
        </w:rPr>
        <w:t xml:space="preserve"> las </w:t>
      </w:r>
      <w:r w:rsidRPr="00264017">
        <w:rPr>
          <w:rFonts w:ascii="Courier New" w:hAnsi="Courier New" w:cs="Courier New"/>
          <w:i/>
          <w:iCs/>
          <w:sz w:val="24"/>
          <w:szCs w:val="24"/>
        </w:rPr>
        <w:t>“(…) Isapres abiertas gastan en GES, en</w:t>
      </w:r>
      <w:r>
        <w:rPr>
          <w:rFonts w:ascii="Courier New" w:hAnsi="Courier New" w:cs="Courier New"/>
          <w:i/>
          <w:iCs/>
          <w:sz w:val="24"/>
          <w:szCs w:val="24"/>
        </w:rPr>
        <w:t xml:space="preserve"> </w:t>
      </w:r>
      <w:r w:rsidRPr="00264017">
        <w:rPr>
          <w:rFonts w:ascii="Courier New" w:hAnsi="Courier New" w:cs="Courier New"/>
          <w:i/>
          <w:iCs/>
          <w:sz w:val="24"/>
          <w:szCs w:val="24"/>
        </w:rPr>
        <w:t>promedio, un 36,8% de lo recaudado por tal concepto</w:t>
      </w:r>
      <w:r>
        <w:rPr>
          <w:rFonts w:ascii="Courier New" w:hAnsi="Courier New" w:cs="Courier New"/>
          <w:i/>
          <w:iCs/>
          <w:sz w:val="24"/>
          <w:szCs w:val="24"/>
        </w:rPr>
        <w:t xml:space="preserve"> (…)” </w:t>
      </w:r>
      <w:r>
        <w:rPr>
          <w:rFonts w:ascii="Courier New" w:hAnsi="Courier New" w:cs="Courier New"/>
          <w:sz w:val="24"/>
          <w:szCs w:val="24"/>
        </w:rPr>
        <w:t>(Considerando Undécimo);</w:t>
      </w:r>
    </w:p>
    <w:p w14:paraId="6A28F7E3" w14:textId="2873CCCF" w:rsidR="00264017" w:rsidRDefault="009F0B88" w:rsidP="00C25863">
      <w:pPr>
        <w:pStyle w:val="Prrafodelista"/>
        <w:numPr>
          <w:ilvl w:val="1"/>
          <w:numId w:val="1"/>
        </w:numPr>
        <w:spacing w:line="276" w:lineRule="auto"/>
        <w:jc w:val="both"/>
        <w:rPr>
          <w:rFonts w:ascii="Courier New" w:hAnsi="Courier New" w:cs="Courier New"/>
          <w:i/>
          <w:iCs/>
          <w:sz w:val="24"/>
          <w:szCs w:val="24"/>
        </w:rPr>
      </w:pPr>
      <w:r w:rsidRPr="009F0B88">
        <w:rPr>
          <w:rFonts w:ascii="Courier New" w:hAnsi="Courier New" w:cs="Courier New"/>
          <w:i/>
          <w:iCs/>
          <w:sz w:val="24"/>
          <w:szCs w:val="24"/>
        </w:rPr>
        <w:t xml:space="preserve">“Duodécimo: Que, en el contexto expuesto, estando habilitadas las Instituciones de Salud Previsional para determinar unilateralmente el precio de las prestaciones relativas a las Garantías Explícitas en Salud, el ejercicio de tal facultad que por ley se les otorga sólo estará revestida de legitimidad cuando obedezca a una variación sobre la base de criterios </w:t>
      </w:r>
      <w:r w:rsidRPr="009F0B88">
        <w:rPr>
          <w:rFonts w:ascii="Courier New" w:hAnsi="Courier New" w:cs="Courier New"/>
          <w:i/>
          <w:iCs/>
          <w:sz w:val="24"/>
          <w:szCs w:val="24"/>
        </w:rPr>
        <w:lastRenderedPageBreak/>
        <w:t>objetivos de razonabilidad, que la ley vincula expresamente a la comparación en relación a la Prima Universal, que determinada en el costo de la cobertura de que se trata, que no importe, por este solo hecho, mayor lucro para una de las partes.</w:t>
      </w:r>
      <w:r>
        <w:rPr>
          <w:rFonts w:ascii="Courier New" w:hAnsi="Courier New" w:cs="Courier New"/>
          <w:i/>
          <w:iCs/>
          <w:sz w:val="24"/>
          <w:szCs w:val="24"/>
        </w:rPr>
        <w:t xml:space="preserve"> (…)”.</w:t>
      </w:r>
    </w:p>
    <w:p w14:paraId="6DABADD3" w14:textId="0B6FDB65" w:rsidR="002440D2" w:rsidRDefault="002440D2" w:rsidP="002440D2">
      <w:pPr>
        <w:pStyle w:val="Prrafodelista"/>
        <w:numPr>
          <w:ilvl w:val="1"/>
          <w:numId w:val="1"/>
        </w:numPr>
        <w:spacing w:line="276" w:lineRule="auto"/>
        <w:jc w:val="both"/>
        <w:rPr>
          <w:rFonts w:ascii="Courier New" w:hAnsi="Courier New" w:cs="Courier New"/>
          <w:sz w:val="24"/>
          <w:szCs w:val="24"/>
        </w:rPr>
      </w:pPr>
      <w:r>
        <w:rPr>
          <w:rFonts w:ascii="Courier New" w:hAnsi="Courier New" w:cs="Courier New"/>
          <w:sz w:val="24"/>
          <w:szCs w:val="24"/>
        </w:rPr>
        <w:t xml:space="preserve">Que, </w:t>
      </w:r>
      <w:r w:rsidR="00FA00B2">
        <w:rPr>
          <w:rFonts w:ascii="Courier New" w:hAnsi="Courier New" w:cs="Courier New"/>
          <w:sz w:val="24"/>
          <w:szCs w:val="24"/>
        </w:rPr>
        <w:t>de esta manera, la Excma. Corte Suprema ha estimado que esta alza</w:t>
      </w:r>
      <w:r w:rsidR="0060432B">
        <w:rPr>
          <w:rFonts w:ascii="Courier New" w:hAnsi="Courier New" w:cs="Courier New"/>
          <w:sz w:val="24"/>
          <w:szCs w:val="24"/>
        </w:rPr>
        <w:t xml:space="preserve"> es</w:t>
      </w:r>
      <w:r w:rsidR="00FA00B2">
        <w:rPr>
          <w:rFonts w:ascii="Courier New" w:hAnsi="Courier New" w:cs="Courier New"/>
          <w:sz w:val="24"/>
          <w:szCs w:val="24"/>
        </w:rPr>
        <w:t xml:space="preserve"> </w:t>
      </w:r>
      <w:r>
        <w:rPr>
          <w:rFonts w:ascii="Courier New" w:hAnsi="Courier New" w:cs="Courier New"/>
          <w:sz w:val="24"/>
          <w:szCs w:val="24"/>
        </w:rPr>
        <w:t>ilegal y arbitraria, en cuanto infringe los numerales 9 y 24 del artículo 19 de la Constitución Política de la República.</w:t>
      </w:r>
    </w:p>
    <w:p w14:paraId="51377EE3" w14:textId="77777777" w:rsidR="00342155" w:rsidRDefault="00342155" w:rsidP="00342155">
      <w:pPr>
        <w:pStyle w:val="Prrafodelista"/>
        <w:spacing w:line="276" w:lineRule="auto"/>
        <w:jc w:val="both"/>
        <w:rPr>
          <w:rFonts w:ascii="Courier New" w:hAnsi="Courier New" w:cs="Courier New"/>
          <w:sz w:val="24"/>
          <w:szCs w:val="24"/>
        </w:rPr>
      </w:pPr>
    </w:p>
    <w:p w14:paraId="14B1B5B5" w14:textId="0B57AF0B" w:rsidR="00077EE2" w:rsidRDefault="0060432B" w:rsidP="00930F42">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sz w:val="24"/>
          <w:szCs w:val="24"/>
        </w:rPr>
        <w:t>Cabe destacar que a la fecha no se ha publicado el nuevo decreto correspondiente al período 2019 – 2021, el que fue retirado por el Ministerio de Salud</w:t>
      </w:r>
      <w:r w:rsidR="00660B72">
        <w:rPr>
          <w:rFonts w:ascii="Courier New" w:hAnsi="Courier New" w:cs="Courier New"/>
          <w:sz w:val="24"/>
          <w:szCs w:val="24"/>
        </w:rPr>
        <w:t>.</w:t>
      </w:r>
      <w:r>
        <w:rPr>
          <w:rFonts w:ascii="Courier New" w:hAnsi="Courier New" w:cs="Courier New"/>
          <w:sz w:val="24"/>
          <w:szCs w:val="24"/>
        </w:rPr>
        <w:t xml:space="preserve"> </w:t>
      </w:r>
      <w:r w:rsidR="00660B72">
        <w:rPr>
          <w:rFonts w:ascii="Courier New" w:hAnsi="Courier New" w:cs="Courier New"/>
          <w:sz w:val="24"/>
          <w:szCs w:val="24"/>
        </w:rPr>
        <w:t xml:space="preserve">De esta manera, </w:t>
      </w:r>
      <w:r w:rsidR="00077EE2">
        <w:rPr>
          <w:rFonts w:ascii="Courier New" w:hAnsi="Courier New" w:cs="Courier New"/>
          <w:sz w:val="24"/>
          <w:szCs w:val="24"/>
        </w:rPr>
        <w:t xml:space="preserve">de acuerdo al artículo 23 de la Ley 19.966, </w:t>
      </w:r>
      <w:r w:rsidR="00077EE2" w:rsidRPr="00077EE2">
        <w:rPr>
          <w:rFonts w:ascii="Courier New" w:hAnsi="Courier New" w:cs="Courier New"/>
          <w:i/>
          <w:iCs/>
          <w:sz w:val="24"/>
          <w:szCs w:val="24"/>
        </w:rPr>
        <w:t>“Las Garantías Explícitas en Salud tendrán una vigencia de tres años. Si no se hubieran modificado al vencimiento del plazo señalado precedentemente, se entenderán prorrogadas por otros tres años y así sucesivamente.</w:t>
      </w:r>
      <w:r w:rsidR="00077EE2">
        <w:rPr>
          <w:rFonts w:ascii="Courier New" w:hAnsi="Courier New" w:cs="Courier New"/>
          <w:i/>
          <w:iCs/>
          <w:sz w:val="24"/>
          <w:szCs w:val="24"/>
        </w:rPr>
        <w:t>”</w:t>
      </w:r>
    </w:p>
    <w:p w14:paraId="4B250B7B" w14:textId="77777777" w:rsidR="00077EE2" w:rsidRDefault="00077EE2" w:rsidP="00077EE2">
      <w:pPr>
        <w:pStyle w:val="Prrafodelista"/>
        <w:spacing w:line="276" w:lineRule="auto"/>
        <w:jc w:val="both"/>
        <w:rPr>
          <w:rFonts w:ascii="Courier New" w:hAnsi="Courier New" w:cs="Courier New"/>
          <w:sz w:val="24"/>
          <w:szCs w:val="24"/>
        </w:rPr>
      </w:pPr>
    </w:p>
    <w:p w14:paraId="4CAC5840" w14:textId="285F07E5" w:rsidR="00930F42" w:rsidRDefault="00077EE2" w:rsidP="00930F42">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sz w:val="24"/>
          <w:szCs w:val="24"/>
        </w:rPr>
        <w:t>Cabe destacar que el Minsa</w:t>
      </w:r>
      <w:r w:rsidR="00325D20">
        <w:rPr>
          <w:rFonts w:ascii="Courier New" w:hAnsi="Courier New" w:cs="Courier New"/>
          <w:sz w:val="24"/>
          <w:szCs w:val="24"/>
        </w:rPr>
        <w:t>l</w:t>
      </w:r>
      <w:r>
        <w:rPr>
          <w:rFonts w:ascii="Courier New" w:hAnsi="Courier New" w:cs="Courier New"/>
          <w:sz w:val="24"/>
          <w:szCs w:val="24"/>
        </w:rPr>
        <w:t xml:space="preserve"> retiró el decreto en tramitación ante la Contraloría, con el fin de agregar </w:t>
      </w:r>
      <w:r w:rsidR="00660B72" w:rsidRPr="00660B72">
        <w:rPr>
          <w:rFonts w:ascii="Courier New" w:hAnsi="Courier New" w:cs="Courier New"/>
          <w:i/>
          <w:iCs/>
          <w:sz w:val="24"/>
          <w:szCs w:val="24"/>
        </w:rPr>
        <w:t xml:space="preserve">“cinco nuevas enfermedades </w:t>
      </w:r>
      <w:r>
        <w:rPr>
          <w:rFonts w:ascii="Courier New" w:hAnsi="Courier New" w:cs="Courier New"/>
          <w:sz w:val="24"/>
          <w:szCs w:val="24"/>
        </w:rPr>
        <w:t xml:space="preserve">(que) </w:t>
      </w:r>
      <w:r w:rsidR="00660B72" w:rsidRPr="00660B72">
        <w:rPr>
          <w:rFonts w:ascii="Courier New" w:hAnsi="Courier New" w:cs="Courier New"/>
          <w:i/>
          <w:iCs/>
          <w:sz w:val="24"/>
          <w:szCs w:val="24"/>
        </w:rPr>
        <w:t>se incorporarán al Plan de Garantías Explícitas en Salud más conocido como AUGE. Se trata del Alzheimer y cuatro tipos de cáncer: de pulmón, de tiroides, renal y mieloma múltiple.</w:t>
      </w:r>
      <w:r w:rsidR="00660B72">
        <w:rPr>
          <w:rFonts w:ascii="Courier New" w:hAnsi="Courier New" w:cs="Courier New"/>
          <w:i/>
          <w:iCs/>
          <w:sz w:val="24"/>
          <w:szCs w:val="24"/>
        </w:rPr>
        <w:t>”</w:t>
      </w:r>
      <w:r w:rsidR="00660B72">
        <w:rPr>
          <w:rStyle w:val="Refdenotaalpie"/>
          <w:rFonts w:ascii="Courier New" w:hAnsi="Courier New" w:cs="Courier New"/>
          <w:i/>
          <w:iCs/>
          <w:sz w:val="24"/>
          <w:szCs w:val="24"/>
        </w:rPr>
        <w:footnoteReference w:id="5"/>
      </w:r>
      <w:r>
        <w:rPr>
          <w:rFonts w:ascii="Courier New" w:hAnsi="Courier New" w:cs="Courier New"/>
          <w:i/>
          <w:iCs/>
          <w:sz w:val="24"/>
          <w:szCs w:val="24"/>
        </w:rPr>
        <w:t xml:space="preserve">. </w:t>
      </w:r>
      <w:r>
        <w:rPr>
          <w:rFonts w:ascii="Courier New" w:hAnsi="Courier New" w:cs="Courier New"/>
          <w:sz w:val="24"/>
          <w:szCs w:val="24"/>
        </w:rPr>
        <w:t xml:space="preserve">Hasta la fecha no se conocen </w:t>
      </w:r>
      <w:r w:rsidR="001C1BCF">
        <w:rPr>
          <w:rFonts w:ascii="Courier New" w:hAnsi="Courier New" w:cs="Courier New"/>
          <w:sz w:val="24"/>
          <w:szCs w:val="24"/>
        </w:rPr>
        <w:t>cuáles</w:t>
      </w:r>
      <w:r>
        <w:rPr>
          <w:rFonts w:ascii="Courier New" w:hAnsi="Courier New" w:cs="Courier New"/>
          <w:sz w:val="24"/>
          <w:szCs w:val="24"/>
        </w:rPr>
        <w:t xml:space="preserve"> </w:t>
      </w:r>
      <w:r w:rsidR="001C1BCF">
        <w:rPr>
          <w:rFonts w:ascii="Courier New" w:hAnsi="Courier New" w:cs="Courier New"/>
          <w:sz w:val="24"/>
          <w:szCs w:val="24"/>
        </w:rPr>
        <w:t xml:space="preserve">serán los problemas de salud garantizados, el listado de prestaciones específicas ni las </w:t>
      </w:r>
      <w:r w:rsidR="00930F42">
        <w:rPr>
          <w:rFonts w:ascii="Courier New" w:hAnsi="Courier New" w:cs="Courier New"/>
          <w:sz w:val="24"/>
          <w:szCs w:val="24"/>
        </w:rPr>
        <w:t>garantías asociadas</w:t>
      </w:r>
      <w:r>
        <w:rPr>
          <w:rFonts w:ascii="Courier New" w:hAnsi="Courier New" w:cs="Courier New"/>
          <w:sz w:val="24"/>
          <w:szCs w:val="24"/>
        </w:rPr>
        <w:t xml:space="preserve"> a dichos problemas de salud</w:t>
      </w:r>
      <w:r w:rsidR="00930F42">
        <w:rPr>
          <w:rFonts w:ascii="Courier New" w:hAnsi="Courier New" w:cs="Courier New"/>
          <w:sz w:val="24"/>
          <w:szCs w:val="24"/>
        </w:rPr>
        <w:t>.</w:t>
      </w:r>
    </w:p>
    <w:p w14:paraId="614EB19E" w14:textId="77777777" w:rsidR="00930F42" w:rsidRDefault="00930F42" w:rsidP="00930F42">
      <w:pPr>
        <w:pStyle w:val="Prrafodelista"/>
        <w:spacing w:line="276" w:lineRule="auto"/>
        <w:jc w:val="both"/>
        <w:rPr>
          <w:rFonts w:ascii="Courier New" w:hAnsi="Courier New" w:cs="Courier New"/>
          <w:sz w:val="24"/>
          <w:szCs w:val="24"/>
        </w:rPr>
      </w:pPr>
    </w:p>
    <w:p w14:paraId="598EA366" w14:textId="77777777" w:rsidR="00894036" w:rsidRPr="00894036" w:rsidRDefault="0009519D" w:rsidP="00894036">
      <w:pPr>
        <w:pStyle w:val="Prrafodelista"/>
        <w:numPr>
          <w:ilvl w:val="0"/>
          <w:numId w:val="1"/>
        </w:numPr>
        <w:spacing w:line="276" w:lineRule="auto"/>
        <w:jc w:val="both"/>
        <w:rPr>
          <w:rFonts w:ascii="Courier New" w:hAnsi="Courier New" w:cs="Courier New"/>
          <w:sz w:val="24"/>
          <w:szCs w:val="24"/>
        </w:rPr>
      </w:pPr>
      <w:r w:rsidRPr="00930F42">
        <w:rPr>
          <w:rFonts w:ascii="Courier New" w:hAnsi="Courier New" w:cs="Courier New"/>
          <w:sz w:val="24"/>
          <w:szCs w:val="24"/>
        </w:rPr>
        <w:t xml:space="preserve">Ante ese escenario, </w:t>
      </w:r>
      <w:r w:rsidR="00660B72" w:rsidRPr="00930F42">
        <w:rPr>
          <w:rFonts w:ascii="Courier New" w:hAnsi="Courier New" w:cs="Courier New"/>
          <w:sz w:val="24"/>
          <w:szCs w:val="24"/>
        </w:rPr>
        <w:t xml:space="preserve">la Superintendencia de Salud </w:t>
      </w:r>
      <w:r w:rsidRPr="00930F42">
        <w:rPr>
          <w:rFonts w:ascii="Courier New" w:hAnsi="Courier New" w:cs="Courier New"/>
          <w:sz w:val="24"/>
          <w:szCs w:val="24"/>
        </w:rPr>
        <w:t xml:space="preserve">declaró que </w:t>
      </w:r>
      <w:r w:rsidRPr="00930F42">
        <w:rPr>
          <w:rFonts w:ascii="Courier New" w:hAnsi="Courier New" w:cs="Courier New"/>
          <w:i/>
          <w:iCs/>
          <w:sz w:val="24"/>
          <w:szCs w:val="24"/>
        </w:rPr>
        <w:t>"Dado que a la fecha no se ha publicado en el Diario Oficial un nuevo decreto modificatorio correspondiente a las Garantías Explícitas en Salud, las Instituciones Previsionales de Salud (Isapres), no podrán variar el precio vigente ni informar un nuevo precio a este organismo. (…) es improcedente por parte de las isapres informar un nuevo precio por concepto de Garantías Explícitas en Salud, GES, hasta que se publique un nuevo Decreto GES".</w:t>
      </w:r>
      <w:r>
        <w:rPr>
          <w:rStyle w:val="Refdenotaalpie"/>
          <w:rFonts w:ascii="Courier New" w:hAnsi="Courier New" w:cs="Courier New"/>
          <w:i/>
          <w:iCs/>
          <w:sz w:val="24"/>
          <w:szCs w:val="24"/>
        </w:rPr>
        <w:footnoteReference w:id="6"/>
      </w:r>
    </w:p>
    <w:p w14:paraId="501F7445" w14:textId="77777777" w:rsidR="00894036" w:rsidRPr="00894036" w:rsidRDefault="00894036" w:rsidP="00894036">
      <w:pPr>
        <w:pStyle w:val="Prrafodelista"/>
        <w:rPr>
          <w:rFonts w:ascii="Courier New" w:hAnsi="Courier New" w:cs="Courier New"/>
          <w:sz w:val="24"/>
          <w:szCs w:val="24"/>
        </w:rPr>
      </w:pPr>
    </w:p>
    <w:p w14:paraId="1C7A0452" w14:textId="77777777" w:rsidR="00894036" w:rsidRDefault="00894036">
      <w:pPr>
        <w:rPr>
          <w:rFonts w:ascii="Courier New" w:hAnsi="Courier New" w:cs="Courier New"/>
          <w:sz w:val="24"/>
          <w:szCs w:val="24"/>
        </w:rPr>
      </w:pPr>
      <w:r>
        <w:rPr>
          <w:rFonts w:ascii="Courier New" w:hAnsi="Courier New" w:cs="Courier New"/>
          <w:sz w:val="24"/>
          <w:szCs w:val="24"/>
        </w:rPr>
        <w:br w:type="page"/>
      </w:r>
    </w:p>
    <w:p w14:paraId="3E8C3003" w14:textId="3259074E" w:rsidR="004A692A" w:rsidRPr="00894036" w:rsidRDefault="001C1BCF" w:rsidP="00894036">
      <w:pPr>
        <w:pStyle w:val="Prrafodelista"/>
        <w:numPr>
          <w:ilvl w:val="0"/>
          <w:numId w:val="1"/>
        </w:numPr>
        <w:spacing w:line="276" w:lineRule="auto"/>
        <w:jc w:val="both"/>
        <w:rPr>
          <w:rFonts w:ascii="Courier New" w:hAnsi="Courier New" w:cs="Courier New"/>
          <w:sz w:val="24"/>
          <w:szCs w:val="24"/>
        </w:rPr>
      </w:pPr>
      <w:bookmarkStart w:id="0" w:name="_GoBack"/>
      <w:bookmarkEnd w:id="0"/>
      <w:r w:rsidRPr="00894036">
        <w:rPr>
          <w:rFonts w:ascii="Courier New" w:hAnsi="Courier New" w:cs="Courier New"/>
          <w:sz w:val="24"/>
          <w:szCs w:val="24"/>
        </w:rPr>
        <w:lastRenderedPageBreak/>
        <w:t xml:space="preserve">En conclusión, </w:t>
      </w:r>
      <w:r w:rsidR="00325D20" w:rsidRPr="00894036">
        <w:rPr>
          <w:rFonts w:ascii="Courier New" w:hAnsi="Courier New" w:cs="Courier New"/>
          <w:sz w:val="24"/>
          <w:szCs w:val="24"/>
        </w:rPr>
        <w:t xml:space="preserve">a partir de la fecha de la publicación del </w:t>
      </w:r>
      <w:r w:rsidRPr="00894036">
        <w:rPr>
          <w:rFonts w:ascii="Courier New" w:hAnsi="Courier New" w:cs="Courier New"/>
          <w:sz w:val="24"/>
          <w:szCs w:val="24"/>
        </w:rPr>
        <w:t xml:space="preserve">nuevo decreto </w:t>
      </w:r>
      <w:r w:rsidR="00325D20" w:rsidRPr="00894036">
        <w:rPr>
          <w:rFonts w:ascii="Courier New" w:hAnsi="Courier New" w:cs="Courier New"/>
          <w:sz w:val="24"/>
          <w:szCs w:val="24"/>
        </w:rPr>
        <w:t xml:space="preserve">GES las isapres podrán modificar los precios que cobrar por asegurar su otorgamiento a sus beneficiarios. Ahora, dado que este decreto contendrá </w:t>
      </w:r>
      <w:r w:rsidRPr="00894036">
        <w:rPr>
          <w:rFonts w:ascii="Courier New" w:hAnsi="Courier New" w:cs="Courier New"/>
          <w:sz w:val="24"/>
          <w:szCs w:val="24"/>
        </w:rPr>
        <w:t>nuevas prestaciones de salud, se hace cargo de uno de los elementos que tuvo en consideración la Excma. Corte Suprema para acoger los recursos de protección</w:t>
      </w:r>
      <w:r w:rsidR="00707D69" w:rsidRPr="00894036">
        <w:rPr>
          <w:rFonts w:ascii="Courier New" w:hAnsi="Courier New" w:cs="Courier New"/>
          <w:sz w:val="24"/>
          <w:szCs w:val="24"/>
        </w:rPr>
        <w:t>.</w:t>
      </w:r>
    </w:p>
    <w:sectPr w:rsidR="004A692A" w:rsidRPr="00894036" w:rsidSect="004A692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31EE" w14:textId="77777777" w:rsidR="00A3541C" w:rsidRDefault="00A3541C" w:rsidP="00CF246F">
      <w:pPr>
        <w:spacing w:after="0" w:line="240" w:lineRule="auto"/>
      </w:pPr>
      <w:r>
        <w:separator/>
      </w:r>
    </w:p>
  </w:endnote>
  <w:endnote w:type="continuationSeparator" w:id="0">
    <w:p w14:paraId="096305BF" w14:textId="77777777" w:rsidR="00A3541C" w:rsidRDefault="00A3541C" w:rsidP="00CF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A52F" w14:textId="77777777" w:rsidR="00A3541C" w:rsidRDefault="00A3541C" w:rsidP="00CF246F">
      <w:pPr>
        <w:spacing w:after="0" w:line="240" w:lineRule="auto"/>
      </w:pPr>
      <w:r>
        <w:separator/>
      </w:r>
    </w:p>
  </w:footnote>
  <w:footnote w:type="continuationSeparator" w:id="0">
    <w:p w14:paraId="6B0F5B6B" w14:textId="77777777" w:rsidR="00A3541C" w:rsidRDefault="00A3541C" w:rsidP="00CF246F">
      <w:pPr>
        <w:spacing w:after="0" w:line="240" w:lineRule="auto"/>
      </w:pPr>
      <w:r>
        <w:continuationSeparator/>
      </w:r>
    </w:p>
  </w:footnote>
  <w:footnote w:id="1">
    <w:p w14:paraId="5883DB21" w14:textId="0AA55D46" w:rsidR="00504E38" w:rsidRDefault="00504E38" w:rsidP="00504E38">
      <w:pPr>
        <w:pStyle w:val="Textonotapie"/>
        <w:jc w:val="both"/>
      </w:pPr>
      <w:r>
        <w:rPr>
          <w:rStyle w:val="Refdenotaalpie"/>
        </w:rPr>
        <w:footnoteRef/>
      </w:r>
      <w:r>
        <w:t xml:space="preserve"> </w:t>
      </w:r>
      <w:r>
        <w:rPr>
          <w:rFonts w:ascii="Courier New" w:hAnsi="Courier New" w:cs="Courier New"/>
          <w:sz w:val="16"/>
          <w:szCs w:val="16"/>
        </w:rPr>
        <w:t>De acuerdo al a</w:t>
      </w:r>
      <w:r w:rsidRPr="00504E38">
        <w:rPr>
          <w:rFonts w:ascii="Courier New" w:hAnsi="Courier New" w:cs="Courier New"/>
          <w:sz w:val="16"/>
          <w:szCs w:val="16"/>
        </w:rPr>
        <w:t>rtículo 11</w:t>
      </w:r>
      <w:r>
        <w:rPr>
          <w:rFonts w:ascii="Courier New" w:hAnsi="Courier New" w:cs="Courier New"/>
          <w:sz w:val="16"/>
          <w:szCs w:val="16"/>
        </w:rPr>
        <w:t xml:space="preserve"> de la Ley 19.966, </w:t>
      </w:r>
      <w:r w:rsidRPr="00504E38">
        <w:rPr>
          <w:rFonts w:ascii="Courier New" w:hAnsi="Courier New" w:cs="Courier New"/>
          <w:i/>
          <w:iCs/>
          <w:sz w:val="16"/>
          <w:szCs w:val="16"/>
        </w:rPr>
        <w:t>“Las Garantías Explícitas en Salud serán elaboradas por el Ministerio de Salud, de conformidad con el procedimiento establecido en esta ley y en el reglamento, y deberán ser aprobadas por decreto supremo de dicho Ministerio suscrito, además, por el Ministro de Hacienda.</w:t>
      </w:r>
      <w:r>
        <w:rPr>
          <w:rFonts w:ascii="Courier New" w:hAnsi="Courier New" w:cs="Courier New"/>
          <w:i/>
          <w:iCs/>
          <w:sz w:val="16"/>
          <w:szCs w:val="16"/>
        </w:rPr>
        <w:t>”</w:t>
      </w:r>
    </w:p>
  </w:footnote>
  <w:footnote w:id="2">
    <w:p w14:paraId="1B2F95E7" w14:textId="1AA7FB0C" w:rsidR="00804E54" w:rsidRDefault="00804E54">
      <w:pPr>
        <w:pStyle w:val="Textonotapie"/>
      </w:pPr>
      <w:r>
        <w:rPr>
          <w:rStyle w:val="Refdenotaalpie"/>
        </w:rPr>
        <w:footnoteRef/>
      </w:r>
      <w:r>
        <w:t xml:space="preserve"> </w:t>
      </w:r>
      <w:r w:rsidRPr="00804E54">
        <w:rPr>
          <w:rFonts w:ascii="Courier New" w:hAnsi="Courier New" w:cs="Courier New"/>
          <w:sz w:val="16"/>
          <w:szCs w:val="16"/>
        </w:rPr>
        <w:t>Esta disposición fue agregada mediante el artículo 34 de la Ley 19.966, que a su vez agrega un artículo 42 B a la Ley 18.469.</w:t>
      </w:r>
    </w:p>
  </w:footnote>
  <w:footnote w:id="3">
    <w:p w14:paraId="3242B4AB" w14:textId="77777777" w:rsidR="006F1F26" w:rsidRDefault="006F1F26" w:rsidP="006F1F26">
      <w:pPr>
        <w:pStyle w:val="Textonotapie"/>
      </w:pPr>
      <w:r>
        <w:rPr>
          <w:rStyle w:val="Refdenotaalpie"/>
        </w:rPr>
        <w:footnoteRef/>
      </w:r>
      <w:r>
        <w:t xml:space="preserve"> </w:t>
      </w:r>
      <w:r w:rsidRPr="00A15C6E">
        <w:rPr>
          <w:rFonts w:ascii="Courier New" w:hAnsi="Courier New" w:cs="Courier New"/>
          <w:sz w:val="16"/>
          <w:szCs w:val="16"/>
        </w:rPr>
        <w:t xml:space="preserve">Fuente: </w:t>
      </w:r>
      <w:hyperlink r:id="rId1" w:history="1">
        <w:r w:rsidRPr="007D7CE5">
          <w:rPr>
            <w:rStyle w:val="Hipervnculo"/>
            <w:rFonts w:ascii="Courier New" w:hAnsi="Courier New" w:cs="Courier New"/>
            <w:sz w:val="16"/>
            <w:szCs w:val="16"/>
          </w:rPr>
          <w:t>http://www.supersalud.gob.cl/difusion/665/w3-article-17297.html</w:t>
        </w:r>
      </w:hyperlink>
    </w:p>
  </w:footnote>
  <w:footnote w:id="4">
    <w:p w14:paraId="546BB776" w14:textId="1EA7A655" w:rsidR="002440D2" w:rsidRDefault="002440D2">
      <w:pPr>
        <w:pStyle w:val="Textonotapie"/>
      </w:pPr>
      <w:r>
        <w:rPr>
          <w:rStyle w:val="Refdenotaalpie"/>
        </w:rPr>
        <w:footnoteRef/>
      </w:r>
      <w:r>
        <w:t xml:space="preserve"> </w:t>
      </w:r>
      <w:r w:rsidRPr="002440D2">
        <w:rPr>
          <w:rFonts w:ascii="Courier New" w:hAnsi="Courier New" w:cs="Courier New"/>
          <w:sz w:val="16"/>
          <w:szCs w:val="16"/>
        </w:rPr>
        <w:t>A modo de referencia,</w:t>
      </w:r>
      <w:r>
        <w:t xml:space="preserve"> </w:t>
      </w:r>
      <w:r w:rsidRPr="002440D2">
        <w:rPr>
          <w:rFonts w:ascii="Courier New" w:hAnsi="Courier New" w:cs="Courier New"/>
          <w:sz w:val="16"/>
          <w:szCs w:val="16"/>
        </w:rPr>
        <w:t>Rol N° 23.127-2017.</w:t>
      </w:r>
    </w:p>
  </w:footnote>
  <w:footnote w:id="5">
    <w:p w14:paraId="4B155197" w14:textId="1336E359" w:rsidR="00660B72" w:rsidRDefault="00660B72">
      <w:pPr>
        <w:pStyle w:val="Textonotapie"/>
      </w:pPr>
      <w:r>
        <w:rPr>
          <w:rStyle w:val="Refdenotaalpie"/>
        </w:rPr>
        <w:footnoteRef/>
      </w:r>
      <w:r>
        <w:t xml:space="preserve"> </w:t>
      </w:r>
      <w:r>
        <w:rPr>
          <w:rFonts w:ascii="Courier New" w:hAnsi="Courier New" w:cs="Courier New"/>
          <w:sz w:val="16"/>
          <w:szCs w:val="16"/>
        </w:rPr>
        <w:t xml:space="preserve">Fuente: </w:t>
      </w:r>
      <w:hyperlink r:id="rId2" w:history="1">
        <w:r w:rsidR="0009519D" w:rsidRPr="0049334A">
          <w:rPr>
            <w:rStyle w:val="Hipervnculo"/>
            <w:rFonts w:ascii="Courier New" w:hAnsi="Courier New" w:cs="Courier New"/>
            <w:sz w:val="16"/>
            <w:szCs w:val="16"/>
          </w:rPr>
          <w:t>https://www.minsal.cl/plan-auge-85/</w:t>
        </w:r>
      </w:hyperlink>
    </w:p>
  </w:footnote>
  <w:footnote w:id="6">
    <w:p w14:paraId="68ADDED2" w14:textId="5A1140CD" w:rsidR="0009519D" w:rsidRDefault="0009519D">
      <w:pPr>
        <w:pStyle w:val="Textonotapie"/>
      </w:pPr>
      <w:r>
        <w:rPr>
          <w:rStyle w:val="Refdenotaalpie"/>
        </w:rPr>
        <w:footnoteRef/>
      </w:r>
      <w:r>
        <w:t xml:space="preserve"> </w:t>
      </w:r>
      <w:r w:rsidRPr="0009519D">
        <w:rPr>
          <w:rFonts w:ascii="Courier New" w:hAnsi="Courier New" w:cs="Courier New"/>
          <w:sz w:val="16"/>
          <w:szCs w:val="16"/>
        </w:rPr>
        <w:t xml:space="preserve">Fuente: </w:t>
      </w:r>
      <w:hyperlink r:id="rId3" w:history="1">
        <w:r w:rsidRPr="0009519D">
          <w:rPr>
            <w:rStyle w:val="Hipervnculo"/>
            <w:rFonts w:ascii="Courier New" w:hAnsi="Courier New" w:cs="Courier New"/>
            <w:sz w:val="16"/>
            <w:szCs w:val="16"/>
          </w:rPr>
          <w:t>https://www.cooperativa.cl/noticias/pais/salud/isapre/superintendencia-no-viso-nuevos-precios-ges-informados-por-isapres/2019-06-04/191605.html</w:t>
        </w:r>
      </w:hyperlink>
      <w:r>
        <w:rPr>
          <w:rStyle w:val="Hipervnculo"/>
          <w:rFonts w:ascii="Courier New" w:hAnsi="Courier New" w:cs="Courier Ne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27231"/>
    <w:multiLevelType w:val="hybridMultilevel"/>
    <w:tmpl w:val="2402A848"/>
    <w:lvl w:ilvl="0" w:tplc="832A8978">
      <w:start w:val="1"/>
      <w:numFmt w:val="bullet"/>
      <w:lvlText w:val="•"/>
      <w:lvlJc w:val="left"/>
      <w:pPr>
        <w:tabs>
          <w:tab w:val="num" w:pos="720"/>
        </w:tabs>
        <w:ind w:left="720" w:hanging="360"/>
      </w:pPr>
      <w:rPr>
        <w:rFonts w:ascii="Arial" w:hAnsi="Arial" w:hint="default"/>
      </w:rPr>
    </w:lvl>
    <w:lvl w:ilvl="1" w:tplc="36C209FC">
      <w:numFmt w:val="bullet"/>
      <w:lvlText w:val="•"/>
      <w:lvlJc w:val="left"/>
      <w:pPr>
        <w:tabs>
          <w:tab w:val="num" w:pos="1440"/>
        </w:tabs>
        <w:ind w:left="1440" w:hanging="360"/>
      </w:pPr>
      <w:rPr>
        <w:rFonts w:ascii="Arial" w:hAnsi="Arial" w:hint="default"/>
      </w:rPr>
    </w:lvl>
    <w:lvl w:ilvl="2" w:tplc="674ADD66" w:tentative="1">
      <w:start w:val="1"/>
      <w:numFmt w:val="bullet"/>
      <w:lvlText w:val="•"/>
      <w:lvlJc w:val="left"/>
      <w:pPr>
        <w:tabs>
          <w:tab w:val="num" w:pos="2160"/>
        </w:tabs>
        <w:ind w:left="2160" w:hanging="360"/>
      </w:pPr>
      <w:rPr>
        <w:rFonts w:ascii="Arial" w:hAnsi="Arial" w:hint="default"/>
      </w:rPr>
    </w:lvl>
    <w:lvl w:ilvl="3" w:tplc="4FD4D5F2" w:tentative="1">
      <w:start w:val="1"/>
      <w:numFmt w:val="bullet"/>
      <w:lvlText w:val="•"/>
      <w:lvlJc w:val="left"/>
      <w:pPr>
        <w:tabs>
          <w:tab w:val="num" w:pos="2880"/>
        </w:tabs>
        <w:ind w:left="2880" w:hanging="360"/>
      </w:pPr>
      <w:rPr>
        <w:rFonts w:ascii="Arial" w:hAnsi="Arial" w:hint="default"/>
      </w:rPr>
    </w:lvl>
    <w:lvl w:ilvl="4" w:tplc="4ACE1B4C" w:tentative="1">
      <w:start w:val="1"/>
      <w:numFmt w:val="bullet"/>
      <w:lvlText w:val="•"/>
      <w:lvlJc w:val="left"/>
      <w:pPr>
        <w:tabs>
          <w:tab w:val="num" w:pos="3600"/>
        </w:tabs>
        <w:ind w:left="3600" w:hanging="360"/>
      </w:pPr>
      <w:rPr>
        <w:rFonts w:ascii="Arial" w:hAnsi="Arial" w:hint="default"/>
      </w:rPr>
    </w:lvl>
    <w:lvl w:ilvl="5" w:tplc="9AD8BC7C" w:tentative="1">
      <w:start w:val="1"/>
      <w:numFmt w:val="bullet"/>
      <w:lvlText w:val="•"/>
      <w:lvlJc w:val="left"/>
      <w:pPr>
        <w:tabs>
          <w:tab w:val="num" w:pos="4320"/>
        </w:tabs>
        <w:ind w:left="4320" w:hanging="360"/>
      </w:pPr>
      <w:rPr>
        <w:rFonts w:ascii="Arial" w:hAnsi="Arial" w:hint="default"/>
      </w:rPr>
    </w:lvl>
    <w:lvl w:ilvl="6" w:tplc="7BE0C370" w:tentative="1">
      <w:start w:val="1"/>
      <w:numFmt w:val="bullet"/>
      <w:lvlText w:val="•"/>
      <w:lvlJc w:val="left"/>
      <w:pPr>
        <w:tabs>
          <w:tab w:val="num" w:pos="5040"/>
        </w:tabs>
        <w:ind w:left="5040" w:hanging="360"/>
      </w:pPr>
      <w:rPr>
        <w:rFonts w:ascii="Arial" w:hAnsi="Arial" w:hint="default"/>
      </w:rPr>
    </w:lvl>
    <w:lvl w:ilvl="7" w:tplc="226CEE0E" w:tentative="1">
      <w:start w:val="1"/>
      <w:numFmt w:val="bullet"/>
      <w:lvlText w:val="•"/>
      <w:lvlJc w:val="left"/>
      <w:pPr>
        <w:tabs>
          <w:tab w:val="num" w:pos="5760"/>
        </w:tabs>
        <w:ind w:left="5760" w:hanging="360"/>
      </w:pPr>
      <w:rPr>
        <w:rFonts w:ascii="Arial" w:hAnsi="Arial" w:hint="default"/>
      </w:rPr>
    </w:lvl>
    <w:lvl w:ilvl="8" w:tplc="307ED4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F93E05"/>
    <w:multiLevelType w:val="hybridMultilevel"/>
    <w:tmpl w:val="8EB2A9DE"/>
    <w:lvl w:ilvl="0" w:tplc="340A000F">
      <w:start w:val="1"/>
      <w:numFmt w:val="decimal"/>
      <w:lvlText w:val="%1."/>
      <w:lvlJc w:val="left"/>
      <w:pPr>
        <w:ind w:left="720" w:hanging="360"/>
      </w:pPr>
      <w:rPr>
        <w:rFonts w:hint="default"/>
      </w:rPr>
    </w:lvl>
    <w:lvl w:ilvl="1" w:tplc="1C30C34E">
      <w:start w:val="1"/>
      <w:numFmt w:val="lowerLetter"/>
      <w:lvlText w:val="%2."/>
      <w:lvlJc w:val="left"/>
      <w:pPr>
        <w:ind w:left="1440" w:hanging="360"/>
      </w:pPr>
      <w:rPr>
        <w:i w:val="0"/>
        <w:iCs w:val="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2A"/>
    <w:rsid w:val="000168F8"/>
    <w:rsid w:val="00024276"/>
    <w:rsid w:val="000474B7"/>
    <w:rsid w:val="00050F19"/>
    <w:rsid w:val="00077EE2"/>
    <w:rsid w:val="0009519D"/>
    <w:rsid w:val="000B1E36"/>
    <w:rsid w:val="00103777"/>
    <w:rsid w:val="00180675"/>
    <w:rsid w:val="001C1BCF"/>
    <w:rsid w:val="0020039E"/>
    <w:rsid w:val="002440D2"/>
    <w:rsid w:val="00264017"/>
    <w:rsid w:val="002B03FC"/>
    <w:rsid w:val="00302382"/>
    <w:rsid w:val="00314911"/>
    <w:rsid w:val="00325D20"/>
    <w:rsid w:val="00342155"/>
    <w:rsid w:val="00353B04"/>
    <w:rsid w:val="003837FA"/>
    <w:rsid w:val="00391594"/>
    <w:rsid w:val="00392FE7"/>
    <w:rsid w:val="003958C6"/>
    <w:rsid w:val="00432F24"/>
    <w:rsid w:val="004612B2"/>
    <w:rsid w:val="00491952"/>
    <w:rsid w:val="004A692A"/>
    <w:rsid w:val="004C5B47"/>
    <w:rsid w:val="00504E38"/>
    <w:rsid w:val="005B5643"/>
    <w:rsid w:val="005B7A4D"/>
    <w:rsid w:val="0060432B"/>
    <w:rsid w:val="006344E2"/>
    <w:rsid w:val="00660B72"/>
    <w:rsid w:val="006630F7"/>
    <w:rsid w:val="006A1F3D"/>
    <w:rsid w:val="006F1F26"/>
    <w:rsid w:val="0070646B"/>
    <w:rsid w:val="00707D69"/>
    <w:rsid w:val="00716AB3"/>
    <w:rsid w:val="007900C6"/>
    <w:rsid w:val="007E6AD2"/>
    <w:rsid w:val="00800BA4"/>
    <w:rsid w:val="00804E54"/>
    <w:rsid w:val="00877A1B"/>
    <w:rsid w:val="00890F8E"/>
    <w:rsid w:val="00894036"/>
    <w:rsid w:val="008E274C"/>
    <w:rsid w:val="008F7E1C"/>
    <w:rsid w:val="00902574"/>
    <w:rsid w:val="00923D4B"/>
    <w:rsid w:val="00930F42"/>
    <w:rsid w:val="0095643D"/>
    <w:rsid w:val="009C4F80"/>
    <w:rsid w:val="009F0B88"/>
    <w:rsid w:val="00A06686"/>
    <w:rsid w:val="00A15C6E"/>
    <w:rsid w:val="00A3541C"/>
    <w:rsid w:val="00A73201"/>
    <w:rsid w:val="00A92CE4"/>
    <w:rsid w:val="00B1325F"/>
    <w:rsid w:val="00C219F9"/>
    <w:rsid w:val="00CE3392"/>
    <w:rsid w:val="00CF246F"/>
    <w:rsid w:val="00DB246C"/>
    <w:rsid w:val="00DB5A5C"/>
    <w:rsid w:val="00DF79A4"/>
    <w:rsid w:val="00E6084C"/>
    <w:rsid w:val="00ED2AD4"/>
    <w:rsid w:val="00F0643E"/>
    <w:rsid w:val="00F14B09"/>
    <w:rsid w:val="00F9799A"/>
    <w:rsid w:val="00FA00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C840"/>
  <w15:chartTrackingRefBased/>
  <w15:docId w15:val="{7A2852C6-53D9-47E1-B08C-7C13098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92A"/>
    <w:pPr>
      <w:ind w:left="720"/>
      <w:contextualSpacing/>
    </w:pPr>
  </w:style>
  <w:style w:type="paragraph" w:styleId="Textonotapie">
    <w:name w:val="footnote text"/>
    <w:basedOn w:val="Normal"/>
    <w:link w:val="TextonotapieCar"/>
    <w:uiPriority w:val="99"/>
    <w:semiHidden/>
    <w:unhideWhenUsed/>
    <w:rsid w:val="00CF24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246F"/>
    <w:rPr>
      <w:sz w:val="20"/>
      <w:szCs w:val="20"/>
    </w:rPr>
  </w:style>
  <w:style w:type="character" w:styleId="Refdenotaalpie">
    <w:name w:val="footnote reference"/>
    <w:basedOn w:val="Fuentedeprrafopredeter"/>
    <w:uiPriority w:val="99"/>
    <w:semiHidden/>
    <w:unhideWhenUsed/>
    <w:rsid w:val="00CF246F"/>
    <w:rPr>
      <w:vertAlign w:val="superscript"/>
    </w:rPr>
  </w:style>
  <w:style w:type="paragraph" w:styleId="HTMLconformatoprevio">
    <w:name w:val="HTML Preformatted"/>
    <w:basedOn w:val="Normal"/>
    <w:link w:val="HTMLconformatoprevioCar"/>
    <w:uiPriority w:val="99"/>
    <w:unhideWhenUsed/>
    <w:rsid w:val="00CF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CF246F"/>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7064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46B"/>
    <w:rPr>
      <w:rFonts w:ascii="Segoe UI" w:hAnsi="Segoe UI" w:cs="Segoe UI"/>
      <w:sz w:val="18"/>
      <w:szCs w:val="18"/>
    </w:rPr>
  </w:style>
  <w:style w:type="character" w:styleId="Hipervnculo">
    <w:name w:val="Hyperlink"/>
    <w:basedOn w:val="Fuentedeprrafopredeter"/>
    <w:uiPriority w:val="99"/>
    <w:unhideWhenUsed/>
    <w:rsid w:val="00CE3392"/>
    <w:rPr>
      <w:color w:val="0563C1" w:themeColor="hyperlink"/>
      <w:u w:val="single"/>
    </w:rPr>
  </w:style>
  <w:style w:type="character" w:styleId="Mencinsinresolver">
    <w:name w:val="Unresolved Mention"/>
    <w:basedOn w:val="Fuentedeprrafopredeter"/>
    <w:uiPriority w:val="99"/>
    <w:semiHidden/>
    <w:unhideWhenUsed/>
    <w:rsid w:val="00CE3392"/>
    <w:rPr>
      <w:color w:val="605E5C"/>
      <w:shd w:val="clear" w:color="auto" w:fill="E1DFDD"/>
    </w:rPr>
  </w:style>
  <w:style w:type="character" w:styleId="Hipervnculovisitado">
    <w:name w:val="FollowedHyperlink"/>
    <w:basedOn w:val="Fuentedeprrafopredeter"/>
    <w:uiPriority w:val="99"/>
    <w:semiHidden/>
    <w:unhideWhenUsed/>
    <w:rsid w:val="00504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3130">
      <w:bodyDiv w:val="1"/>
      <w:marLeft w:val="0"/>
      <w:marRight w:val="0"/>
      <w:marTop w:val="0"/>
      <w:marBottom w:val="0"/>
      <w:divBdr>
        <w:top w:val="none" w:sz="0" w:space="0" w:color="auto"/>
        <w:left w:val="none" w:sz="0" w:space="0" w:color="auto"/>
        <w:bottom w:val="none" w:sz="0" w:space="0" w:color="auto"/>
        <w:right w:val="none" w:sz="0" w:space="0" w:color="auto"/>
      </w:divBdr>
    </w:div>
    <w:div w:id="1991981419">
      <w:bodyDiv w:val="1"/>
      <w:marLeft w:val="0"/>
      <w:marRight w:val="0"/>
      <w:marTop w:val="0"/>
      <w:marBottom w:val="0"/>
      <w:divBdr>
        <w:top w:val="none" w:sz="0" w:space="0" w:color="auto"/>
        <w:left w:val="none" w:sz="0" w:space="0" w:color="auto"/>
        <w:bottom w:val="none" w:sz="0" w:space="0" w:color="auto"/>
        <w:right w:val="none" w:sz="0" w:space="0" w:color="auto"/>
      </w:divBdr>
      <w:divsChild>
        <w:div w:id="506483479">
          <w:marLeft w:val="360"/>
          <w:marRight w:val="0"/>
          <w:marTop w:val="200"/>
          <w:marBottom w:val="0"/>
          <w:divBdr>
            <w:top w:val="none" w:sz="0" w:space="0" w:color="auto"/>
            <w:left w:val="none" w:sz="0" w:space="0" w:color="auto"/>
            <w:bottom w:val="none" w:sz="0" w:space="0" w:color="auto"/>
            <w:right w:val="none" w:sz="0" w:space="0" w:color="auto"/>
          </w:divBdr>
        </w:div>
        <w:div w:id="31423391">
          <w:marLeft w:val="360"/>
          <w:marRight w:val="0"/>
          <w:marTop w:val="200"/>
          <w:marBottom w:val="0"/>
          <w:divBdr>
            <w:top w:val="none" w:sz="0" w:space="0" w:color="auto"/>
            <w:left w:val="none" w:sz="0" w:space="0" w:color="auto"/>
            <w:bottom w:val="none" w:sz="0" w:space="0" w:color="auto"/>
            <w:right w:val="none" w:sz="0" w:space="0" w:color="auto"/>
          </w:divBdr>
        </w:div>
        <w:div w:id="993223630">
          <w:marLeft w:val="360"/>
          <w:marRight w:val="0"/>
          <w:marTop w:val="200"/>
          <w:marBottom w:val="0"/>
          <w:divBdr>
            <w:top w:val="none" w:sz="0" w:space="0" w:color="auto"/>
            <w:left w:val="none" w:sz="0" w:space="0" w:color="auto"/>
            <w:bottom w:val="none" w:sz="0" w:space="0" w:color="auto"/>
            <w:right w:val="none" w:sz="0" w:space="0" w:color="auto"/>
          </w:divBdr>
        </w:div>
        <w:div w:id="409622097">
          <w:marLeft w:val="360"/>
          <w:marRight w:val="0"/>
          <w:marTop w:val="200"/>
          <w:marBottom w:val="0"/>
          <w:divBdr>
            <w:top w:val="none" w:sz="0" w:space="0" w:color="auto"/>
            <w:left w:val="none" w:sz="0" w:space="0" w:color="auto"/>
            <w:bottom w:val="none" w:sz="0" w:space="0" w:color="auto"/>
            <w:right w:val="none" w:sz="0" w:space="0" w:color="auto"/>
          </w:divBdr>
        </w:div>
        <w:div w:id="597175765">
          <w:marLeft w:val="1080"/>
          <w:marRight w:val="0"/>
          <w:marTop w:val="100"/>
          <w:marBottom w:val="0"/>
          <w:divBdr>
            <w:top w:val="none" w:sz="0" w:space="0" w:color="auto"/>
            <w:left w:val="none" w:sz="0" w:space="0" w:color="auto"/>
            <w:bottom w:val="none" w:sz="0" w:space="0" w:color="auto"/>
            <w:right w:val="none" w:sz="0" w:space="0" w:color="auto"/>
          </w:divBdr>
        </w:div>
        <w:div w:id="367223358">
          <w:marLeft w:val="1080"/>
          <w:marRight w:val="0"/>
          <w:marTop w:val="100"/>
          <w:marBottom w:val="0"/>
          <w:divBdr>
            <w:top w:val="none" w:sz="0" w:space="0" w:color="auto"/>
            <w:left w:val="none" w:sz="0" w:space="0" w:color="auto"/>
            <w:bottom w:val="none" w:sz="0" w:space="0" w:color="auto"/>
            <w:right w:val="none" w:sz="0" w:space="0" w:color="auto"/>
          </w:divBdr>
        </w:div>
        <w:div w:id="105083314">
          <w:marLeft w:val="1080"/>
          <w:marRight w:val="0"/>
          <w:marTop w:val="100"/>
          <w:marBottom w:val="0"/>
          <w:divBdr>
            <w:top w:val="none" w:sz="0" w:space="0" w:color="auto"/>
            <w:left w:val="none" w:sz="0" w:space="0" w:color="auto"/>
            <w:bottom w:val="none" w:sz="0" w:space="0" w:color="auto"/>
            <w:right w:val="none" w:sz="0" w:space="0" w:color="auto"/>
          </w:divBdr>
        </w:div>
        <w:div w:id="74850266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operativa.cl/noticias/pais/salud/isapre/superintendencia-no-viso-nuevos-precios-ges-informados-por-isapres/2019-06-04/191605.html" TargetMode="External"/><Relationship Id="rId2" Type="http://schemas.openxmlformats.org/officeDocument/2006/relationships/hyperlink" Target="https://www.minsal.cl/plan-auge-85/" TargetMode="External"/><Relationship Id="rId1" Type="http://schemas.openxmlformats.org/officeDocument/2006/relationships/hyperlink" Target="http://www.supersalud.gob.cl/difusion/665/w3-article-1729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90F9-E16C-4E2B-B5E0-9FD72458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Junyent Ruiz</dc:creator>
  <cp:keywords/>
  <dc:description/>
  <cp:lastModifiedBy>Jaime Junyent Ruiz</cp:lastModifiedBy>
  <cp:revision>6</cp:revision>
  <dcterms:created xsi:type="dcterms:W3CDTF">2019-07-12T20:41:00Z</dcterms:created>
  <dcterms:modified xsi:type="dcterms:W3CDTF">2019-07-15T17:49:00Z</dcterms:modified>
</cp:coreProperties>
</file>