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B40A7" w14:textId="740BBE33" w:rsidR="00537E76" w:rsidRDefault="00CA4530" w:rsidP="00A92CE4">
      <w:pPr>
        <w:spacing w:line="276" w:lineRule="auto"/>
        <w:jc w:val="center"/>
        <w:rPr>
          <w:rFonts w:ascii="Courier New" w:hAnsi="Courier New" w:cs="Courier New"/>
          <w:b/>
          <w:bCs/>
          <w:sz w:val="24"/>
          <w:szCs w:val="24"/>
        </w:rPr>
      </w:pPr>
      <w:r>
        <w:rPr>
          <w:rFonts w:ascii="Courier New" w:hAnsi="Courier New" w:cs="Courier New"/>
          <w:b/>
          <w:bCs/>
          <w:sz w:val="24"/>
          <w:szCs w:val="24"/>
        </w:rPr>
        <w:t xml:space="preserve">OBSERVACIONES, COMENTARIOS Y TEMAS AUSENTES EN </w:t>
      </w:r>
      <w:r w:rsidR="00DD1F78">
        <w:rPr>
          <w:rFonts w:ascii="Courier New" w:hAnsi="Courier New" w:cs="Courier New"/>
          <w:b/>
          <w:bCs/>
          <w:sz w:val="24"/>
          <w:szCs w:val="24"/>
        </w:rPr>
        <w:t xml:space="preserve">INDICACION SUSTITUTIVA </w:t>
      </w:r>
      <w:r w:rsidR="00DF67DF" w:rsidRPr="00DF67DF">
        <w:rPr>
          <w:rFonts w:ascii="Courier New" w:hAnsi="Courier New" w:cs="Courier New"/>
          <w:b/>
          <w:bCs/>
          <w:sz w:val="24"/>
          <w:szCs w:val="24"/>
        </w:rPr>
        <w:t>AL PROYECTO DE LEY QUE MODIFICA EL SISTEMA PRIVADO DE SALUD, INCORPORANDO UN PLAN GARANTIZADO</w:t>
      </w:r>
      <w:r w:rsidR="00DF67DF">
        <w:rPr>
          <w:rFonts w:ascii="Courier New" w:hAnsi="Courier New" w:cs="Courier New"/>
          <w:b/>
          <w:bCs/>
          <w:sz w:val="24"/>
          <w:szCs w:val="24"/>
        </w:rPr>
        <w:t>, PRESENTADA EL 22 DE ABRIL DE 2019</w:t>
      </w:r>
      <w:r w:rsidR="00DF67DF" w:rsidRPr="00DF67DF">
        <w:rPr>
          <w:rFonts w:ascii="Courier New" w:hAnsi="Courier New" w:cs="Courier New"/>
          <w:b/>
          <w:bCs/>
          <w:sz w:val="24"/>
          <w:szCs w:val="24"/>
        </w:rPr>
        <w:t xml:space="preserve"> </w:t>
      </w:r>
    </w:p>
    <w:p w14:paraId="4595C62C" w14:textId="60C56509" w:rsidR="004A692A" w:rsidRPr="00A92CE4" w:rsidRDefault="00ED2B91" w:rsidP="00ED2B91">
      <w:pPr>
        <w:spacing w:line="276" w:lineRule="auto"/>
        <w:jc w:val="center"/>
        <w:rPr>
          <w:rFonts w:ascii="Courier New" w:hAnsi="Courier New" w:cs="Courier New"/>
          <w:b/>
          <w:bCs/>
          <w:sz w:val="24"/>
          <w:szCs w:val="24"/>
        </w:rPr>
      </w:pPr>
      <w:r w:rsidRPr="00DF67DF">
        <w:rPr>
          <w:rFonts w:ascii="Courier New" w:hAnsi="Courier New" w:cs="Courier New"/>
          <w:b/>
          <w:bCs/>
          <w:sz w:val="24"/>
          <w:szCs w:val="24"/>
        </w:rPr>
        <w:t>(BOLETÍN N°8105-11)</w:t>
      </w:r>
      <w:bookmarkStart w:id="0" w:name="_GoBack"/>
      <w:bookmarkEnd w:id="0"/>
      <w:r w:rsidR="004C0240">
        <w:rPr>
          <w:rFonts w:ascii="Courier New" w:hAnsi="Courier New" w:cs="Courier New"/>
          <w:b/>
          <w:bCs/>
          <w:sz w:val="24"/>
          <w:szCs w:val="24"/>
        </w:rPr>
        <w:pict w14:anchorId="231AC8EB">
          <v:rect id="_x0000_i1025" style="width:0;height:1.5pt" o:hralign="center" o:hrstd="t" o:hr="t" fillcolor="#a0a0a0" stroked="f"/>
        </w:pict>
      </w:r>
    </w:p>
    <w:p w14:paraId="584338D6" w14:textId="77777777" w:rsidR="00537E76" w:rsidRDefault="00537E76" w:rsidP="00537E76">
      <w:pPr>
        <w:pStyle w:val="Prrafodelista"/>
        <w:spacing w:line="276" w:lineRule="auto"/>
        <w:jc w:val="both"/>
        <w:rPr>
          <w:rFonts w:ascii="Courier New" w:hAnsi="Courier New" w:cs="Courier New"/>
          <w:sz w:val="24"/>
          <w:szCs w:val="24"/>
        </w:rPr>
      </w:pPr>
    </w:p>
    <w:p w14:paraId="6DB7C6BE" w14:textId="727C5775" w:rsidR="009E7416" w:rsidRDefault="00CA4530" w:rsidP="00CA4530">
      <w:pPr>
        <w:pStyle w:val="Prrafodelista"/>
        <w:numPr>
          <w:ilvl w:val="0"/>
          <w:numId w:val="1"/>
        </w:numPr>
        <w:spacing w:line="276" w:lineRule="auto"/>
        <w:jc w:val="both"/>
        <w:rPr>
          <w:rFonts w:ascii="Courier New" w:hAnsi="Courier New" w:cs="Courier New"/>
          <w:sz w:val="24"/>
          <w:szCs w:val="24"/>
        </w:rPr>
      </w:pPr>
      <w:r w:rsidRPr="00CA4530">
        <w:rPr>
          <w:rFonts w:ascii="Courier New" w:hAnsi="Courier New" w:cs="Courier New"/>
          <w:b/>
          <w:bCs/>
          <w:sz w:val="24"/>
          <w:szCs w:val="24"/>
        </w:rPr>
        <w:t>No es una reforma integral</w:t>
      </w:r>
      <w:r w:rsidRPr="00504D12">
        <w:rPr>
          <w:rFonts w:ascii="Courier New" w:hAnsi="Courier New" w:cs="Courier New"/>
          <w:sz w:val="24"/>
          <w:szCs w:val="24"/>
        </w:rPr>
        <w:t>. A modo de ejemplo, la reforma de</w:t>
      </w:r>
      <w:r w:rsidR="00AD1E44">
        <w:rPr>
          <w:rFonts w:ascii="Courier New" w:hAnsi="Courier New" w:cs="Courier New"/>
          <w:sz w:val="24"/>
          <w:szCs w:val="24"/>
        </w:rPr>
        <w:t xml:space="preserve"> </w:t>
      </w:r>
      <w:r w:rsidRPr="00504D12">
        <w:rPr>
          <w:rFonts w:ascii="Courier New" w:hAnsi="Courier New" w:cs="Courier New"/>
          <w:sz w:val="24"/>
          <w:szCs w:val="24"/>
        </w:rPr>
        <w:t>l</w:t>
      </w:r>
      <w:r w:rsidR="00AD1E44">
        <w:rPr>
          <w:rFonts w:ascii="Courier New" w:hAnsi="Courier New" w:cs="Courier New"/>
          <w:sz w:val="24"/>
          <w:szCs w:val="24"/>
        </w:rPr>
        <w:t xml:space="preserve">a Salud del </w:t>
      </w:r>
      <w:r w:rsidRPr="00504D12">
        <w:rPr>
          <w:rFonts w:ascii="Courier New" w:hAnsi="Courier New" w:cs="Courier New"/>
          <w:sz w:val="24"/>
          <w:szCs w:val="24"/>
        </w:rPr>
        <w:t>Presidente Lagos</w:t>
      </w:r>
      <w:r w:rsidR="00AD1E44">
        <w:rPr>
          <w:rFonts w:ascii="Courier New" w:hAnsi="Courier New" w:cs="Courier New"/>
          <w:sz w:val="24"/>
          <w:szCs w:val="24"/>
        </w:rPr>
        <w:t xml:space="preserve"> incluyó 6 leyes</w:t>
      </w:r>
      <w:r w:rsidRPr="00504D12">
        <w:rPr>
          <w:rFonts w:ascii="Courier New" w:hAnsi="Courier New" w:cs="Courier New"/>
          <w:sz w:val="24"/>
          <w:szCs w:val="24"/>
        </w:rPr>
        <w:t>: Ley cort</w:t>
      </w:r>
      <w:r w:rsidR="00AD1E44">
        <w:rPr>
          <w:rFonts w:ascii="Courier New" w:hAnsi="Courier New" w:cs="Courier New"/>
          <w:sz w:val="24"/>
          <w:szCs w:val="24"/>
        </w:rPr>
        <w:t>a</w:t>
      </w:r>
      <w:r w:rsidRPr="00504D12">
        <w:rPr>
          <w:rFonts w:ascii="Courier New" w:hAnsi="Courier New" w:cs="Courier New"/>
          <w:sz w:val="24"/>
          <w:szCs w:val="24"/>
        </w:rPr>
        <w:t xml:space="preserve"> de isapres</w:t>
      </w:r>
      <w:r w:rsidR="009432FF">
        <w:rPr>
          <w:rStyle w:val="Refdenotaalpie"/>
          <w:rFonts w:ascii="Courier New" w:hAnsi="Courier New" w:cs="Courier New"/>
          <w:sz w:val="24"/>
          <w:szCs w:val="24"/>
        </w:rPr>
        <w:footnoteReference w:id="1"/>
      </w:r>
      <w:r w:rsidRPr="00504D12">
        <w:rPr>
          <w:rFonts w:ascii="Courier New" w:hAnsi="Courier New" w:cs="Courier New"/>
          <w:sz w:val="24"/>
          <w:szCs w:val="24"/>
        </w:rPr>
        <w:t>, ley larga de isapres</w:t>
      </w:r>
      <w:r w:rsidR="00BD3997">
        <w:rPr>
          <w:rStyle w:val="Refdenotaalpie"/>
          <w:rFonts w:ascii="Courier New" w:hAnsi="Courier New" w:cs="Courier New"/>
          <w:sz w:val="24"/>
          <w:szCs w:val="24"/>
        </w:rPr>
        <w:footnoteReference w:id="2"/>
      </w:r>
      <w:r w:rsidRPr="00504D12">
        <w:rPr>
          <w:rFonts w:ascii="Courier New" w:hAnsi="Courier New" w:cs="Courier New"/>
          <w:sz w:val="24"/>
          <w:szCs w:val="24"/>
        </w:rPr>
        <w:t>, ley de financiamiento del ges</w:t>
      </w:r>
      <w:r w:rsidR="009432FF">
        <w:rPr>
          <w:rStyle w:val="Refdenotaalpie"/>
          <w:rFonts w:ascii="Courier New" w:hAnsi="Courier New" w:cs="Courier New"/>
          <w:sz w:val="24"/>
          <w:szCs w:val="24"/>
        </w:rPr>
        <w:footnoteReference w:id="3"/>
      </w:r>
      <w:r w:rsidRPr="00504D12">
        <w:rPr>
          <w:rFonts w:ascii="Courier New" w:hAnsi="Courier New" w:cs="Courier New"/>
          <w:sz w:val="24"/>
          <w:szCs w:val="24"/>
        </w:rPr>
        <w:t>, ley de autoridad sanitaria</w:t>
      </w:r>
      <w:r w:rsidR="009432FF">
        <w:rPr>
          <w:rStyle w:val="Refdenotaalpie"/>
          <w:rFonts w:ascii="Courier New" w:hAnsi="Courier New" w:cs="Courier New"/>
          <w:sz w:val="24"/>
          <w:szCs w:val="24"/>
        </w:rPr>
        <w:footnoteReference w:id="4"/>
      </w:r>
      <w:r w:rsidR="00BD3997">
        <w:rPr>
          <w:rFonts w:ascii="Courier New" w:hAnsi="Courier New" w:cs="Courier New"/>
          <w:sz w:val="24"/>
          <w:szCs w:val="24"/>
        </w:rPr>
        <w:t>;</w:t>
      </w:r>
      <w:r w:rsidR="00AD1E44">
        <w:rPr>
          <w:rFonts w:ascii="Courier New" w:hAnsi="Courier New" w:cs="Courier New"/>
          <w:sz w:val="24"/>
          <w:szCs w:val="24"/>
        </w:rPr>
        <w:t xml:space="preserve"> ley GES</w:t>
      </w:r>
      <w:r w:rsidR="00BD3997">
        <w:rPr>
          <w:rStyle w:val="Refdenotaalpie"/>
          <w:rFonts w:ascii="Courier New" w:hAnsi="Courier New" w:cs="Courier New"/>
          <w:sz w:val="24"/>
          <w:szCs w:val="24"/>
        </w:rPr>
        <w:footnoteReference w:id="5"/>
      </w:r>
      <w:r w:rsidR="00BD3997">
        <w:rPr>
          <w:rFonts w:ascii="Courier New" w:hAnsi="Courier New" w:cs="Courier New"/>
          <w:sz w:val="24"/>
          <w:szCs w:val="24"/>
        </w:rPr>
        <w:t xml:space="preserve"> y </w:t>
      </w:r>
      <w:r w:rsidR="00BD3997" w:rsidRPr="00504D12">
        <w:rPr>
          <w:rFonts w:ascii="Courier New" w:hAnsi="Courier New" w:cs="Courier New"/>
          <w:sz w:val="24"/>
          <w:szCs w:val="24"/>
        </w:rPr>
        <w:t>ley de derechos y deberes</w:t>
      </w:r>
      <w:r w:rsidR="00752432">
        <w:rPr>
          <w:rStyle w:val="Refdenotaalpie"/>
          <w:rFonts w:ascii="Courier New" w:hAnsi="Courier New" w:cs="Courier New"/>
          <w:sz w:val="24"/>
          <w:szCs w:val="24"/>
        </w:rPr>
        <w:footnoteReference w:id="6"/>
      </w:r>
      <w:r w:rsidRPr="00504D12">
        <w:rPr>
          <w:rFonts w:ascii="Courier New" w:hAnsi="Courier New" w:cs="Courier New"/>
          <w:sz w:val="24"/>
          <w:szCs w:val="24"/>
        </w:rPr>
        <w:t>.</w:t>
      </w:r>
      <w:r w:rsidR="009E7416">
        <w:rPr>
          <w:rFonts w:ascii="Courier New" w:hAnsi="Courier New" w:cs="Courier New"/>
          <w:sz w:val="24"/>
          <w:szCs w:val="24"/>
        </w:rPr>
        <w:t xml:space="preserve"> En ese sentido, se observa la falta de una </w:t>
      </w:r>
      <w:r w:rsidR="009E7416" w:rsidRPr="00504D12">
        <w:rPr>
          <w:rFonts w:ascii="Courier New" w:hAnsi="Courier New" w:cs="Courier New"/>
          <w:sz w:val="24"/>
          <w:szCs w:val="24"/>
        </w:rPr>
        <w:t xml:space="preserve">definición sanitaria previa: </w:t>
      </w:r>
      <w:r w:rsidR="009E7416">
        <w:rPr>
          <w:rFonts w:ascii="Courier New" w:hAnsi="Courier New" w:cs="Courier New"/>
          <w:sz w:val="24"/>
          <w:szCs w:val="24"/>
        </w:rPr>
        <w:t>¿</w:t>
      </w:r>
      <w:r w:rsidR="009E7416" w:rsidRPr="00504D12">
        <w:rPr>
          <w:rFonts w:ascii="Courier New" w:hAnsi="Courier New" w:cs="Courier New"/>
          <w:sz w:val="24"/>
          <w:szCs w:val="24"/>
        </w:rPr>
        <w:t>cuál es el plan de salud que l</w:t>
      </w:r>
      <w:r w:rsidR="00AB1632">
        <w:rPr>
          <w:rFonts w:ascii="Courier New" w:hAnsi="Courier New" w:cs="Courier New"/>
          <w:sz w:val="24"/>
          <w:szCs w:val="24"/>
        </w:rPr>
        <w:t>as personas ne</w:t>
      </w:r>
      <w:r w:rsidR="009E7416" w:rsidRPr="00504D12">
        <w:rPr>
          <w:rFonts w:ascii="Courier New" w:hAnsi="Courier New" w:cs="Courier New"/>
          <w:sz w:val="24"/>
          <w:szCs w:val="24"/>
        </w:rPr>
        <w:t>cesitan</w:t>
      </w:r>
      <w:r w:rsidR="009E7416">
        <w:rPr>
          <w:rFonts w:ascii="Courier New" w:hAnsi="Courier New" w:cs="Courier New"/>
          <w:sz w:val="24"/>
          <w:szCs w:val="24"/>
        </w:rPr>
        <w:t>?</w:t>
      </w:r>
    </w:p>
    <w:p w14:paraId="6F44F508" w14:textId="77777777" w:rsidR="00CA4530" w:rsidRPr="00CA4530" w:rsidRDefault="00CA4530" w:rsidP="00CA4530">
      <w:pPr>
        <w:pStyle w:val="Prrafodelista"/>
        <w:spacing w:line="276" w:lineRule="auto"/>
        <w:jc w:val="both"/>
        <w:rPr>
          <w:rFonts w:ascii="Courier New" w:hAnsi="Courier New" w:cs="Courier New"/>
          <w:sz w:val="24"/>
          <w:szCs w:val="24"/>
        </w:rPr>
      </w:pPr>
    </w:p>
    <w:p w14:paraId="2A0AD350" w14:textId="1D9F9F7F" w:rsidR="00B0429E" w:rsidRDefault="00A06B08" w:rsidP="00CA4530">
      <w:pPr>
        <w:pStyle w:val="Prrafodelista"/>
        <w:numPr>
          <w:ilvl w:val="0"/>
          <w:numId w:val="1"/>
        </w:numPr>
        <w:spacing w:line="276" w:lineRule="auto"/>
        <w:jc w:val="both"/>
        <w:rPr>
          <w:rFonts w:ascii="Courier New" w:hAnsi="Courier New" w:cs="Courier New"/>
          <w:sz w:val="24"/>
          <w:szCs w:val="24"/>
        </w:rPr>
      </w:pPr>
      <w:r w:rsidRPr="00A06B08">
        <w:rPr>
          <w:rFonts w:ascii="Courier New" w:hAnsi="Courier New" w:cs="Courier New"/>
          <w:b/>
          <w:bCs/>
          <w:sz w:val="24"/>
          <w:szCs w:val="24"/>
        </w:rPr>
        <w:t xml:space="preserve">Nada garantiza que esta reforma no termine precarizando el </w:t>
      </w:r>
      <w:r w:rsidRPr="00A06B08">
        <w:rPr>
          <w:rFonts w:ascii="Courier New" w:hAnsi="Courier New" w:cs="Courier New"/>
          <w:b/>
          <w:bCs/>
          <w:sz w:val="24"/>
          <w:szCs w:val="24"/>
        </w:rPr>
        <w:t>derecho de la salud</w:t>
      </w:r>
      <w:r w:rsidRPr="00A06B08">
        <w:rPr>
          <w:rFonts w:ascii="Courier New" w:hAnsi="Courier New" w:cs="Courier New"/>
          <w:b/>
          <w:bCs/>
          <w:sz w:val="24"/>
          <w:szCs w:val="24"/>
        </w:rPr>
        <w:t xml:space="preserve"> de las personas.</w:t>
      </w:r>
      <w:r>
        <w:rPr>
          <w:rFonts w:ascii="Courier New" w:hAnsi="Courier New" w:cs="Courier New"/>
          <w:sz w:val="24"/>
          <w:szCs w:val="24"/>
        </w:rPr>
        <w:t xml:space="preserve"> E</w:t>
      </w:r>
      <w:r w:rsidR="00AB1632">
        <w:rPr>
          <w:rFonts w:ascii="Courier New" w:hAnsi="Courier New" w:cs="Courier New"/>
          <w:sz w:val="24"/>
          <w:szCs w:val="24"/>
        </w:rPr>
        <w:t xml:space="preserve">l derecho a la protección de la salud en Chile </w:t>
      </w:r>
      <w:r w:rsidR="00067925">
        <w:rPr>
          <w:rFonts w:ascii="Courier New" w:hAnsi="Courier New" w:cs="Courier New"/>
          <w:sz w:val="24"/>
          <w:szCs w:val="24"/>
        </w:rPr>
        <w:t xml:space="preserve">ya es bastante precario, dado que </w:t>
      </w:r>
      <w:r w:rsidR="00AB1632">
        <w:rPr>
          <w:rFonts w:ascii="Courier New" w:hAnsi="Courier New" w:cs="Courier New"/>
          <w:sz w:val="24"/>
          <w:szCs w:val="24"/>
        </w:rPr>
        <w:t>solo la elección al sistema al cual las personas quieran incorporarse (</w:t>
      </w:r>
      <w:r w:rsidR="008C7FC2">
        <w:rPr>
          <w:rFonts w:ascii="Courier New" w:hAnsi="Courier New" w:cs="Courier New"/>
          <w:sz w:val="24"/>
          <w:szCs w:val="24"/>
        </w:rPr>
        <w:t xml:space="preserve">sea este estatal </w:t>
      </w:r>
      <w:r w:rsidR="00AB1632">
        <w:rPr>
          <w:rFonts w:ascii="Courier New" w:hAnsi="Courier New" w:cs="Courier New"/>
          <w:sz w:val="24"/>
          <w:szCs w:val="24"/>
        </w:rPr>
        <w:t>o privado)</w:t>
      </w:r>
      <w:r w:rsidR="00067925">
        <w:rPr>
          <w:rFonts w:ascii="Courier New" w:hAnsi="Courier New" w:cs="Courier New"/>
          <w:sz w:val="24"/>
          <w:szCs w:val="24"/>
        </w:rPr>
        <w:t xml:space="preserve"> se encuentra ampar</w:t>
      </w:r>
      <w:r w:rsidR="008C7FC2">
        <w:rPr>
          <w:rFonts w:ascii="Courier New" w:hAnsi="Courier New" w:cs="Courier New"/>
          <w:sz w:val="24"/>
          <w:szCs w:val="24"/>
        </w:rPr>
        <w:t>ad</w:t>
      </w:r>
      <w:r w:rsidR="00067925">
        <w:rPr>
          <w:rFonts w:ascii="Courier New" w:hAnsi="Courier New" w:cs="Courier New"/>
          <w:sz w:val="24"/>
          <w:szCs w:val="24"/>
        </w:rPr>
        <w:t xml:space="preserve">o </w:t>
      </w:r>
      <w:r w:rsidR="008C7FC2">
        <w:rPr>
          <w:rFonts w:ascii="Courier New" w:hAnsi="Courier New" w:cs="Courier New"/>
          <w:sz w:val="24"/>
          <w:szCs w:val="24"/>
        </w:rPr>
        <w:t xml:space="preserve">por </w:t>
      </w:r>
      <w:r w:rsidR="00067925">
        <w:rPr>
          <w:rFonts w:ascii="Courier New" w:hAnsi="Courier New" w:cs="Courier New"/>
          <w:sz w:val="24"/>
          <w:szCs w:val="24"/>
        </w:rPr>
        <w:t xml:space="preserve">el </w:t>
      </w:r>
      <w:r w:rsidR="008C7FC2">
        <w:rPr>
          <w:rFonts w:ascii="Courier New" w:hAnsi="Courier New" w:cs="Courier New"/>
          <w:sz w:val="24"/>
          <w:szCs w:val="24"/>
        </w:rPr>
        <w:t>R</w:t>
      </w:r>
      <w:r w:rsidR="00067925">
        <w:rPr>
          <w:rFonts w:ascii="Courier New" w:hAnsi="Courier New" w:cs="Courier New"/>
          <w:sz w:val="24"/>
          <w:szCs w:val="24"/>
        </w:rPr>
        <w:t xml:space="preserve">ecurso de </w:t>
      </w:r>
      <w:r w:rsidR="008C7FC2">
        <w:rPr>
          <w:rFonts w:ascii="Courier New" w:hAnsi="Courier New" w:cs="Courier New"/>
          <w:sz w:val="24"/>
          <w:szCs w:val="24"/>
        </w:rPr>
        <w:t>P</w:t>
      </w:r>
      <w:r w:rsidR="00067925">
        <w:rPr>
          <w:rFonts w:ascii="Courier New" w:hAnsi="Courier New" w:cs="Courier New"/>
          <w:sz w:val="24"/>
          <w:szCs w:val="24"/>
        </w:rPr>
        <w:t xml:space="preserve">rotección. De esta manera, la </w:t>
      </w:r>
      <w:r w:rsidR="008C7FC2">
        <w:rPr>
          <w:rFonts w:ascii="Courier New" w:hAnsi="Courier New" w:cs="Courier New"/>
          <w:sz w:val="24"/>
          <w:szCs w:val="24"/>
        </w:rPr>
        <w:t xml:space="preserve">tutela </w:t>
      </w:r>
      <w:r w:rsidR="00B0429E">
        <w:rPr>
          <w:rFonts w:ascii="Courier New" w:hAnsi="Courier New" w:cs="Courier New"/>
          <w:sz w:val="24"/>
          <w:szCs w:val="24"/>
        </w:rPr>
        <w:t xml:space="preserve">de </w:t>
      </w:r>
      <w:r w:rsidR="008C7FC2">
        <w:rPr>
          <w:rFonts w:ascii="Courier New" w:hAnsi="Courier New" w:cs="Courier New"/>
          <w:sz w:val="24"/>
          <w:szCs w:val="24"/>
        </w:rPr>
        <w:t xml:space="preserve">los </w:t>
      </w:r>
      <w:r w:rsidR="00B0429E">
        <w:rPr>
          <w:rFonts w:ascii="Courier New" w:hAnsi="Courier New" w:cs="Courier New"/>
          <w:sz w:val="24"/>
          <w:szCs w:val="24"/>
        </w:rPr>
        <w:t>aspectos prestaciones (como e</w:t>
      </w:r>
      <w:r w:rsidR="00067925">
        <w:rPr>
          <w:rFonts w:ascii="Courier New" w:hAnsi="Courier New" w:cs="Courier New"/>
          <w:sz w:val="24"/>
          <w:szCs w:val="24"/>
        </w:rPr>
        <w:t xml:space="preserve">l acceso y las coberturas </w:t>
      </w:r>
      <w:r w:rsidR="00B0429E">
        <w:rPr>
          <w:rFonts w:ascii="Courier New" w:hAnsi="Courier New" w:cs="Courier New"/>
          <w:sz w:val="24"/>
          <w:szCs w:val="24"/>
        </w:rPr>
        <w:t xml:space="preserve">financieras) </w:t>
      </w:r>
      <w:r w:rsidR="00067925">
        <w:rPr>
          <w:rFonts w:ascii="Courier New" w:hAnsi="Courier New" w:cs="Courier New"/>
          <w:sz w:val="24"/>
          <w:szCs w:val="24"/>
        </w:rPr>
        <w:t xml:space="preserve">se </w:t>
      </w:r>
      <w:r w:rsidR="00B0429E">
        <w:rPr>
          <w:rFonts w:ascii="Courier New" w:hAnsi="Courier New" w:cs="Courier New"/>
          <w:sz w:val="24"/>
          <w:szCs w:val="24"/>
        </w:rPr>
        <w:t xml:space="preserve">cautelarán </w:t>
      </w:r>
      <w:r w:rsidR="00067925">
        <w:rPr>
          <w:rFonts w:ascii="Courier New" w:hAnsi="Courier New" w:cs="Courier New"/>
          <w:sz w:val="24"/>
          <w:szCs w:val="24"/>
        </w:rPr>
        <w:t xml:space="preserve">en la medida que </w:t>
      </w:r>
      <w:r w:rsidR="00B0429E">
        <w:rPr>
          <w:rFonts w:ascii="Courier New" w:hAnsi="Courier New" w:cs="Courier New"/>
          <w:sz w:val="24"/>
          <w:szCs w:val="24"/>
        </w:rPr>
        <w:t>concurran vulneraci</w:t>
      </w:r>
      <w:r w:rsidR="008C7FC2">
        <w:rPr>
          <w:rFonts w:ascii="Courier New" w:hAnsi="Courier New" w:cs="Courier New"/>
          <w:sz w:val="24"/>
          <w:szCs w:val="24"/>
        </w:rPr>
        <w:t>o</w:t>
      </w:r>
      <w:r w:rsidR="00B0429E">
        <w:rPr>
          <w:rFonts w:ascii="Courier New" w:hAnsi="Courier New" w:cs="Courier New"/>
          <w:sz w:val="24"/>
          <w:szCs w:val="24"/>
        </w:rPr>
        <w:t>n</w:t>
      </w:r>
      <w:r w:rsidR="008C7FC2">
        <w:rPr>
          <w:rFonts w:ascii="Courier New" w:hAnsi="Courier New" w:cs="Courier New"/>
          <w:sz w:val="24"/>
          <w:szCs w:val="24"/>
        </w:rPr>
        <w:t>es</w:t>
      </w:r>
      <w:r w:rsidR="00B0429E">
        <w:rPr>
          <w:rFonts w:ascii="Courier New" w:hAnsi="Courier New" w:cs="Courier New"/>
          <w:sz w:val="24"/>
          <w:szCs w:val="24"/>
        </w:rPr>
        <w:t xml:space="preserve"> de otros derechos constitucionales, </w:t>
      </w:r>
      <w:r w:rsidR="00067925">
        <w:rPr>
          <w:rFonts w:ascii="Courier New" w:hAnsi="Courier New" w:cs="Courier New"/>
          <w:sz w:val="24"/>
          <w:szCs w:val="24"/>
        </w:rPr>
        <w:t xml:space="preserve">principalmente, el </w:t>
      </w:r>
      <w:r w:rsidR="008C7FC2">
        <w:rPr>
          <w:rFonts w:ascii="Courier New" w:hAnsi="Courier New" w:cs="Courier New"/>
          <w:sz w:val="24"/>
          <w:szCs w:val="24"/>
        </w:rPr>
        <w:t xml:space="preserve">de </w:t>
      </w:r>
      <w:r w:rsidR="00067925">
        <w:rPr>
          <w:rFonts w:ascii="Courier New" w:hAnsi="Courier New" w:cs="Courier New"/>
          <w:sz w:val="24"/>
          <w:szCs w:val="24"/>
        </w:rPr>
        <w:t xml:space="preserve">la vida, la igualdad ante la ley y </w:t>
      </w:r>
      <w:r w:rsidR="008C7FC2">
        <w:rPr>
          <w:rFonts w:ascii="Courier New" w:hAnsi="Courier New" w:cs="Courier New"/>
          <w:sz w:val="24"/>
          <w:szCs w:val="24"/>
        </w:rPr>
        <w:t>de</w:t>
      </w:r>
      <w:r w:rsidR="00067925">
        <w:rPr>
          <w:rFonts w:ascii="Courier New" w:hAnsi="Courier New" w:cs="Courier New"/>
          <w:sz w:val="24"/>
          <w:szCs w:val="24"/>
        </w:rPr>
        <w:t xml:space="preserve"> la propiedad.</w:t>
      </w:r>
    </w:p>
    <w:p w14:paraId="60E1E961" w14:textId="25259BF4" w:rsidR="00907517" w:rsidRPr="00504D12" w:rsidRDefault="008C7FC2" w:rsidP="00907517">
      <w:pPr>
        <w:pStyle w:val="Prrafodelista"/>
        <w:spacing w:line="276" w:lineRule="auto"/>
        <w:jc w:val="both"/>
        <w:rPr>
          <w:rFonts w:ascii="Courier New" w:hAnsi="Courier New" w:cs="Courier New"/>
          <w:sz w:val="24"/>
          <w:szCs w:val="24"/>
        </w:rPr>
      </w:pPr>
      <w:r>
        <w:rPr>
          <w:rFonts w:ascii="Courier New" w:hAnsi="Courier New" w:cs="Courier New"/>
          <w:sz w:val="24"/>
          <w:szCs w:val="24"/>
        </w:rPr>
        <w:t>En este escenario, e</w:t>
      </w:r>
      <w:r w:rsidR="00B0429E">
        <w:rPr>
          <w:rFonts w:ascii="Courier New" w:hAnsi="Courier New" w:cs="Courier New"/>
          <w:sz w:val="24"/>
          <w:szCs w:val="24"/>
        </w:rPr>
        <w:t xml:space="preserve">ste proyecto </w:t>
      </w:r>
      <w:r w:rsidR="00A06B08" w:rsidRPr="00504D12">
        <w:rPr>
          <w:rFonts w:ascii="Courier New" w:hAnsi="Courier New" w:cs="Courier New"/>
          <w:sz w:val="24"/>
          <w:szCs w:val="24"/>
        </w:rPr>
        <w:t xml:space="preserve">elimina </w:t>
      </w:r>
      <w:r w:rsidR="00B0429E">
        <w:rPr>
          <w:rFonts w:ascii="Courier New" w:hAnsi="Courier New" w:cs="Courier New"/>
          <w:sz w:val="24"/>
          <w:szCs w:val="24"/>
        </w:rPr>
        <w:t xml:space="preserve">el piso mínimo (en cuanto a prestaciones y como base de la cobertura financiera) </w:t>
      </w:r>
      <w:r>
        <w:rPr>
          <w:rFonts w:ascii="Courier New" w:hAnsi="Courier New" w:cs="Courier New"/>
          <w:sz w:val="24"/>
          <w:szCs w:val="24"/>
        </w:rPr>
        <w:t xml:space="preserve">de la </w:t>
      </w:r>
      <w:r w:rsidR="00A06B08">
        <w:rPr>
          <w:rFonts w:ascii="Courier New" w:hAnsi="Courier New" w:cs="Courier New"/>
          <w:sz w:val="24"/>
          <w:szCs w:val="24"/>
        </w:rPr>
        <w:t>Modalidad de Libre Elección de FONASA para los planes de salud de las isapres, por lo cual las segundas quedan exentas de otorgarlos de manera obligatoria si no son incluidas en el Plan de Salud Universal (PSU).</w:t>
      </w:r>
      <w:r w:rsidR="00907517">
        <w:rPr>
          <w:rFonts w:ascii="Courier New" w:hAnsi="Courier New" w:cs="Courier New"/>
          <w:sz w:val="24"/>
          <w:szCs w:val="24"/>
        </w:rPr>
        <w:t xml:space="preserve"> </w:t>
      </w:r>
      <w:r w:rsidR="00A06B08" w:rsidRPr="00907517">
        <w:rPr>
          <w:rFonts w:ascii="Courier New" w:hAnsi="Courier New" w:cs="Courier New"/>
          <w:sz w:val="24"/>
          <w:szCs w:val="24"/>
        </w:rPr>
        <w:t xml:space="preserve">Por otro lado, </w:t>
      </w:r>
      <w:r w:rsidR="00A06B08" w:rsidRPr="00907517">
        <w:rPr>
          <w:rFonts w:ascii="Courier New" w:hAnsi="Courier New" w:cs="Courier New"/>
          <w:sz w:val="24"/>
          <w:szCs w:val="24"/>
        </w:rPr>
        <w:t>el S</w:t>
      </w:r>
      <w:r w:rsidR="00A06B08" w:rsidRPr="00907517">
        <w:rPr>
          <w:rFonts w:ascii="Courier New" w:hAnsi="Courier New" w:cs="Courier New"/>
          <w:sz w:val="24"/>
          <w:szCs w:val="24"/>
        </w:rPr>
        <w:t>ubsidio de Incapacidad Laboral (S</w:t>
      </w:r>
      <w:r w:rsidR="00A06B08" w:rsidRPr="00907517">
        <w:rPr>
          <w:rFonts w:ascii="Courier New" w:hAnsi="Courier New" w:cs="Courier New"/>
          <w:sz w:val="24"/>
          <w:szCs w:val="24"/>
        </w:rPr>
        <w:t>IL</w:t>
      </w:r>
      <w:r w:rsidR="00A06B08" w:rsidRPr="00907517">
        <w:rPr>
          <w:rFonts w:ascii="Courier New" w:hAnsi="Courier New" w:cs="Courier New"/>
          <w:sz w:val="24"/>
          <w:szCs w:val="24"/>
        </w:rPr>
        <w:t>)</w:t>
      </w:r>
      <w:r w:rsidR="00907517" w:rsidRPr="00907517">
        <w:rPr>
          <w:rFonts w:ascii="Courier New" w:hAnsi="Courier New" w:cs="Courier New"/>
          <w:sz w:val="24"/>
          <w:szCs w:val="24"/>
        </w:rPr>
        <w:t xml:space="preserve"> </w:t>
      </w:r>
      <w:r w:rsidR="00907517" w:rsidRPr="00907517">
        <w:rPr>
          <w:rFonts w:ascii="Courier New" w:hAnsi="Courier New" w:cs="Courier New"/>
          <w:sz w:val="24"/>
          <w:szCs w:val="24"/>
        </w:rPr>
        <w:t>se paga de manera adicional</w:t>
      </w:r>
      <w:r w:rsidR="00907517">
        <w:rPr>
          <w:rFonts w:ascii="Courier New" w:hAnsi="Courier New" w:cs="Courier New"/>
          <w:sz w:val="24"/>
          <w:szCs w:val="24"/>
        </w:rPr>
        <w:t xml:space="preserve"> y no forma parte del PSU.</w:t>
      </w:r>
    </w:p>
    <w:p w14:paraId="6DE31DEF" w14:textId="77777777" w:rsidR="00A06B08" w:rsidRPr="00A06B08" w:rsidRDefault="00A06B08" w:rsidP="00A06B08">
      <w:pPr>
        <w:pStyle w:val="Prrafodelista"/>
        <w:rPr>
          <w:rFonts w:ascii="Courier New" w:hAnsi="Courier New" w:cs="Courier New"/>
          <w:b/>
          <w:bCs/>
          <w:sz w:val="24"/>
          <w:szCs w:val="24"/>
        </w:rPr>
      </w:pPr>
    </w:p>
    <w:p w14:paraId="623512D7" w14:textId="77777777" w:rsidR="00907517" w:rsidRDefault="00907517">
      <w:pPr>
        <w:rPr>
          <w:rFonts w:ascii="Courier New" w:hAnsi="Courier New" w:cs="Courier New"/>
          <w:b/>
          <w:bCs/>
          <w:sz w:val="24"/>
          <w:szCs w:val="24"/>
        </w:rPr>
      </w:pPr>
      <w:r>
        <w:rPr>
          <w:rFonts w:ascii="Courier New" w:hAnsi="Courier New" w:cs="Courier New"/>
          <w:b/>
          <w:bCs/>
          <w:sz w:val="24"/>
          <w:szCs w:val="24"/>
        </w:rPr>
        <w:br w:type="page"/>
      </w:r>
    </w:p>
    <w:p w14:paraId="564D1A13" w14:textId="3B68A485" w:rsidR="00E41F2B" w:rsidRDefault="004638BC" w:rsidP="001D204A">
      <w:pPr>
        <w:pStyle w:val="Prrafodelista"/>
        <w:numPr>
          <w:ilvl w:val="0"/>
          <w:numId w:val="1"/>
        </w:numPr>
        <w:spacing w:line="276" w:lineRule="auto"/>
        <w:jc w:val="both"/>
        <w:rPr>
          <w:rFonts w:ascii="Courier New" w:hAnsi="Courier New" w:cs="Courier New"/>
          <w:sz w:val="24"/>
          <w:szCs w:val="24"/>
        </w:rPr>
      </w:pPr>
      <w:r w:rsidRPr="00E41F2B">
        <w:rPr>
          <w:rFonts w:ascii="Courier New" w:hAnsi="Courier New" w:cs="Courier New"/>
          <w:b/>
          <w:bCs/>
          <w:sz w:val="24"/>
          <w:szCs w:val="24"/>
        </w:rPr>
        <w:lastRenderedPageBreak/>
        <w:t>Es necesario fortalecer la rectoría sanitaria</w:t>
      </w:r>
      <w:r w:rsidR="003F4DBC">
        <w:rPr>
          <w:rFonts w:ascii="Courier New" w:hAnsi="Courier New" w:cs="Courier New"/>
          <w:b/>
          <w:bCs/>
          <w:sz w:val="24"/>
          <w:szCs w:val="24"/>
        </w:rPr>
        <w:t xml:space="preserve"> del Minsal</w:t>
      </w:r>
      <w:r w:rsidRPr="00E41F2B">
        <w:rPr>
          <w:rFonts w:ascii="Courier New" w:hAnsi="Courier New" w:cs="Courier New"/>
          <w:sz w:val="24"/>
          <w:szCs w:val="24"/>
        </w:rPr>
        <w:t xml:space="preserve">. Se observa una participación sobredimensionada del </w:t>
      </w:r>
      <w:r w:rsidRPr="00E41F2B">
        <w:rPr>
          <w:rFonts w:ascii="Courier New" w:hAnsi="Courier New" w:cs="Courier New"/>
          <w:sz w:val="24"/>
          <w:szCs w:val="24"/>
        </w:rPr>
        <w:t>Consejo Técnico de Salud</w:t>
      </w:r>
      <w:r w:rsidR="001D40F5" w:rsidRPr="00E41F2B">
        <w:rPr>
          <w:rFonts w:ascii="Courier New" w:hAnsi="Courier New" w:cs="Courier New"/>
          <w:sz w:val="24"/>
          <w:szCs w:val="24"/>
        </w:rPr>
        <w:t xml:space="preserve"> respecto de la definición y funcionamiento del sistema privado de salud. Por ello, es necesario a</w:t>
      </w:r>
      <w:r w:rsidRPr="00E41F2B">
        <w:rPr>
          <w:rFonts w:ascii="Courier New" w:hAnsi="Courier New" w:cs="Courier New"/>
          <w:sz w:val="24"/>
          <w:szCs w:val="24"/>
        </w:rPr>
        <w:t xml:space="preserve">cotar </w:t>
      </w:r>
      <w:r w:rsidR="003F4DBC">
        <w:rPr>
          <w:rFonts w:ascii="Courier New" w:hAnsi="Courier New" w:cs="Courier New"/>
          <w:sz w:val="24"/>
          <w:szCs w:val="24"/>
        </w:rPr>
        <w:t>su r</w:t>
      </w:r>
      <w:r w:rsidRPr="00E41F2B">
        <w:rPr>
          <w:rFonts w:ascii="Courier New" w:hAnsi="Courier New" w:cs="Courier New"/>
          <w:sz w:val="24"/>
          <w:szCs w:val="24"/>
        </w:rPr>
        <w:t>ol y funciones</w:t>
      </w:r>
      <w:r w:rsidR="001D40F5" w:rsidRPr="00E41F2B">
        <w:rPr>
          <w:rFonts w:ascii="Courier New" w:hAnsi="Courier New" w:cs="Courier New"/>
          <w:sz w:val="24"/>
          <w:szCs w:val="24"/>
        </w:rPr>
        <w:t xml:space="preserve">, dado que este abarca </w:t>
      </w:r>
      <w:r w:rsidR="003F4DBC">
        <w:rPr>
          <w:rFonts w:ascii="Courier New" w:hAnsi="Courier New" w:cs="Courier New"/>
          <w:sz w:val="24"/>
          <w:szCs w:val="24"/>
        </w:rPr>
        <w:t xml:space="preserve">espacios que </w:t>
      </w:r>
      <w:r w:rsidR="001D40F5" w:rsidRPr="00E41F2B">
        <w:rPr>
          <w:rFonts w:ascii="Courier New" w:hAnsi="Courier New" w:cs="Courier New"/>
          <w:sz w:val="24"/>
          <w:szCs w:val="24"/>
        </w:rPr>
        <w:t>hoy son propios del Ministerio de Salud</w:t>
      </w:r>
      <w:r w:rsidR="001D40F5">
        <w:rPr>
          <w:rStyle w:val="Refdenotaalpie"/>
          <w:rFonts w:ascii="Courier New" w:hAnsi="Courier New" w:cs="Courier New"/>
          <w:sz w:val="24"/>
          <w:szCs w:val="24"/>
        </w:rPr>
        <w:footnoteReference w:id="7"/>
      </w:r>
      <w:r w:rsidRPr="00E41F2B">
        <w:rPr>
          <w:rFonts w:ascii="Courier New" w:hAnsi="Courier New" w:cs="Courier New"/>
          <w:sz w:val="24"/>
          <w:szCs w:val="24"/>
        </w:rPr>
        <w:t>.</w:t>
      </w:r>
      <w:r w:rsidR="00E41F2B" w:rsidRPr="00E41F2B">
        <w:rPr>
          <w:rFonts w:ascii="Courier New" w:hAnsi="Courier New" w:cs="Courier New"/>
          <w:sz w:val="24"/>
          <w:szCs w:val="24"/>
        </w:rPr>
        <w:t xml:space="preserve"> En la misma línea, es necesario fortalecer aún más las atribuciones de la </w:t>
      </w:r>
      <w:r w:rsidRPr="00E41F2B">
        <w:rPr>
          <w:rFonts w:ascii="Courier New" w:hAnsi="Courier New" w:cs="Courier New"/>
          <w:sz w:val="24"/>
          <w:szCs w:val="24"/>
        </w:rPr>
        <w:t>Superintendencia de Salud</w:t>
      </w:r>
      <w:r w:rsidR="00E41F2B" w:rsidRPr="00E41F2B">
        <w:rPr>
          <w:rFonts w:ascii="Courier New" w:hAnsi="Courier New" w:cs="Courier New"/>
          <w:sz w:val="24"/>
          <w:szCs w:val="24"/>
        </w:rPr>
        <w:t xml:space="preserve"> y </w:t>
      </w:r>
      <w:r w:rsidR="003F4DBC">
        <w:rPr>
          <w:rFonts w:ascii="Courier New" w:hAnsi="Courier New" w:cs="Courier New"/>
          <w:sz w:val="24"/>
          <w:szCs w:val="24"/>
        </w:rPr>
        <w:t xml:space="preserve">las capacidades de la </w:t>
      </w:r>
      <w:r w:rsidR="00E41F2B">
        <w:rPr>
          <w:rFonts w:ascii="Courier New" w:hAnsi="Courier New" w:cs="Courier New"/>
          <w:sz w:val="24"/>
          <w:szCs w:val="24"/>
        </w:rPr>
        <w:t>red asistencial de salud.</w:t>
      </w:r>
    </w:p>
    <w:p w14:paraId="3EE0F2F0" w14:textId="77777777" w:rsidR="004638BC" w:rsidRPr="004638BC" w:rsidRDefault="004638BC" w:rsidP="004638BC">
      <w:pPr>
        <w:pStyle w:val="Prrafodelista"/>
        <w:spacing w:line="276" w:lineRule="auto"/>
        <w:jc w:val="both"/>
        <w:rPr>
          <w:rFonts w:ascii="Courier New" w:hAnsi="Courier New" w:cs="Courier New"/>
          <w:sz w:val="24"/>
          <w:szCs w:val="24"/>
        </w:rPr>
      </w:pPr>
    </w:p>
    <w:p w14:paraId="041D170C" w14:textId="595F7A3A" w:rsidR="00907517" w:rsidRDefault="00CA4530" w:rsidP="00CA4530">
      <w:pPr>
        <w:pStyle w:val="Prrafodelista"/>
        <w:numPr>
          <w:ilvl w:val="0"/>
          <w:numId w:val="1"/>
        </w:numPr>
        <w:spacing w:line="276" w:lineRule="auto"/>
        <w:jc w:val="both"/>
        <w:rPr>
          <w:rFonts w:ascii="Courier New" w:hAnsi="Courier New" w:cs="Courier New"/>
          <w:sz w:val="24"/>
          <w:szCs w:val="24"/>
        </w:rPr>
      </w:pPr>
      <w:r w:rsidRPr="00CA4530">
        <w:rPr>
          <w:rFonts w:ascii="Courier New" w:hAnsi="Courier New" w:cs="Courier New"/>
          <w:b/>
          <w:bCs/>
          <w:sz w:val="24"/>
          <w:szCs w:val="24"/>
        </w:rPr>
        <w:t>N</w:t>
      </w:r>
      <w:r w:rsidRPr="00CA4530">
        <w:rPr>
          <w:rFonts w:ascii="Courier New" w:hAnsi="Courier New" w:cs="Courier New"/>
          <w:b/>
          <w:bCs/>
          <w:sz w:val="24"/>
          <w:szCs w:val="24"/>
        </w:rPr>
        <w:t xml:space="preserve">o soluciona los problemas </w:t>
      </w:r>
      <w:r w:rsidRPr="00CA4530">
        <w:rPr>
          <w:rFonts w:ascii="Courier New" w:hAnsi="Courier New" w:cs="Courier New"/>
          <w:b/>
          <w:bCs/>
          <w:sz w:val="24"/>
          <w:szCs w:val="24"/>
        </w:rPr>
        <w:t xml:space="preserve">de </w:t>
      </w:r>
      <w:r w:rsidR="00907517">
        <w:rPr>
          <w:rFonts w:ascii="Courier New" w:hAnsi="Courier New" w:cs="Courier New"/>
          <w:b/>
          <w:bCs/>
          <w:sz w:val="24"/>
          <w:szCs w:val="24"/>
        </w:rPr>
        <w:t xml:space="preserve">fijación de precios del </w:t>
      </w:r>
      <w:r w:rsidRPr="00CA4530">
        <w:rPr>
          <w:rFonts w:ascii="Courier New" w:hAnsi="Courier New" w:cs="Courier New"/>
          <w:b/>
          <w:bCs/>
          <w:sz w:val="24"/>
          <w:szCs w:val="24"/>
        </w:rPr>
        <w:t>sistema privado</w:t>
      </w:r>
      <w:r w:rsidRPr="00CA4530">
        <w:rPr>
          <w:rFonts w:ascii="Courier New" w:hAnsi="Courier New" w:cs="Courier New"/>
          <w:b/>
          <w:bCs/>
          <w:sz w:val="24"/>
          <w:szCs w:val="24"/>
        </w:rPr>
        <w:t xml:space="preserve">, </w:t>
      </w:r>
      <w:r w:rsidRPr="00CA4530">
        <w:rPr>
          <w:rFonts w:ascii="Courier New" w:hAnsi="Courier New" w:cs="Courier New"/>
          <w:sz w:val="24"/>
          <w:szCs w:val="24"/>
        </w:rPr>
        <w:t>sea respecto del a</w:t>
      </w:r>
      <w:r w:rsidRPr="00CA4530">
        <w:rPr>
          <w:rFonts w:ascii="Courier New" w:hAnsi="Courier New" w:cs="Courier New"/>
          <w:sz w:val="24"/>
          <w:szCs w:val="24"/>
        </w:rPr>
        <w:t>lza del precio</w:t>
      </w:r>
      <w:r w:rsidRPr="00CA4530">
        <w:rPr>
          <w:rFonts w:ascii="Courier New" w:hAnsi="Courier New" w:cs="Courier New"/>
          <w:sz w:val="24"/>
          <w:szCs w:val="24"/>
        </w:rPr>
        <w:t xml:space="preserve"> base, </w:t>
      </w:r>
      <w:r>
        <w:rPr>
          <w:rFonts w:ascii="Courier New" w:hAnsi="Courier New" w:cs="Courier New"/>
          <w:sz w:val="24"/>
          <w:szCs w:val="24"/>
        </w:rPr>
        <w:t>tabla de factores y p</w:t>
      </w:r>
      <w:r w:rsidRPr="00CA4530">
        <w:rPr>
          <w:rFonts w:ascii="Courier New" w:hAnsi="Courier New" w:cs="Courier New"/>
          <w:sz w:val="24"/>
          <w:szCs w:val="24"/>
        </w:rPr>
        <w:t xml:space="preserve">rima </w:t>
      </w:r>
      <w:r>
        <w:rPr>
          <w:rFonts w:ascii="Courier New" w:hAnsi="Courier New" w:cs="Courier New"/>
          <w:sz w:val="24"/>
          <w:szCs w:val="24"/>
        </w:rPr>
        <w:t>GES.</w:t>
      </w:r>
      <w:r w:rsidR="009E7416">
        <w:rPr>
          <w:rFonts w:ascii="Courier New" w:hAnsi="Courier New" w:cs="Courier New"/>
          <w:sz w:val="24"/>
          <w:szCs w:val="24"/>
        </w:rPr>
        <w:t xml:space="preserve"> </w:t>
      </w:r>
    </w:p>
    <w:p w14:paraId="40623384" w14:textId="444ED0FC" w:rsidR="00907517" w:rsidRDefault="00907517" w:rsidP="00907517">
      <w:pPr>
        <w:pStyle w:val="Prrafodelista"/>
        <w:spacing w:line="276" w:lineRule="auto"/>
        <w:jc w:val="both"/>
        <w:rPr>
          <w:rFonts w:ascii="Courier New" w:hAnsi="Courier New" w:cs="Courier New"/>
          <w:sz w:val="24"/>
          <w:szCs w:val="24"/>
        </w:rPr>
      </w:pPr>
      <w:r>
        <w:rPr>
          <w:rFonts w:ascii="Courier New" w:hAnsi="Courier New" w:cs="Courier New"/>
          <w:sz w:val="24"/>
          <w:szCs w:val="24"/>
        </w:rPr>
        <w:t>Se debe reiterar que en el sistema público este problema no existe, dado que el precio del plan de salud corresponde al 7% de la remuneración imponible, esto es, la cotización legal obligatoria.</w:t>
      </w:r>
    </w:p>
    <w:p w14:paraId="1551B59A" w14:textId="77777777" w:rsidR="008734D2" w:rsidRDefault="008734D2" w:rsidP="008734D2">
      <w:pPr>
        <w:pStyle w:val="Prrafodelista"/>
        <w:spacing w:line="276" w:lineRule="auto"/>
        <w:jc w:val="both"/>
        <w:rPr>
          <w:rFonts w:ascii="Courier New" w:hAnsi="Courier New" w:cs="Courier New"/>
          <w:sz w:val="24"/>
          <w:szCs w:val="24"/>
        </w:rPr>
      </w:pPr>
      <w:r>
        <w:rPr>
          <w:rFonts w:ascii="Courier New" w:hAnsi="Courier New" w:cs="Courier New"/>
          <w:sz w:val="24"/>
          <w:szCs w:val="24"/>
        </w:rPr>
        <w:t>En el sistema privado, el precio final del plan de salud se compone, por cada beneficiario, del precio base, al cual se le aplica la tabla de factores, cifra a la cual debe agregarse la prima GES. Al efecto:</w:t>
      </w:r>
    </w:p>
    <w:p w14:paraId="534BC7B8" w14:textId="0C71ECCC" w:rsidR="008734D2" w:rsidRDefault="00BA6B1F" w:rsidP="008734D2">
      <w:pPr>
        <w:pStyle w:val="Prrafodelista"/>
        <w:numPr>
          <w:ilvl w:val="1"/>
          <w:numId w:val="1"/>
        </w:numPr>
        <w:spacing w:line="276" w:lineRule="auto"/>
        <w:jc w:val="both"/>
        <w:rPr>
          <w:rFonts w:ascii="Courier New" w:hAnsi="Courier New" w:cs="Courier New"/>
          <w:sz w:val="24"/>
          <w:szCs w:val="24"/>
        </w:rPr>
      </w:pPr>
      <w:r w:rsidRPr="008734D2">
        <w:rPr>
          <w:rFonts w:ascii="Courier New" w:hAnsi="Courier New" w:cs="Courier New"/>
          <w:sz w:val="24"/>
          <w:szCs w:val="24"/>
        </w:rPr>
        <w:t>En cuanto al precio base</w:t>
      </w:r>
      <w:r w:rsidR="008734D2">
        <w:rPr>
          <w:rFonts w:ascii="Courier New" w:hAnsi="Courier New" w:cs="Courier New"/>
          <w:sz w:val="24"/>
          <w:szCs w:val="24"/>
        </w:rPr>
        <w:t xml:space="preserve"> (materia respecto del cual se han presenta</w:t>
      </w:r>
      <w:r w:rsidR="004F016C">
        <w:rPr>
          <w:rFonts w:ascii="Courier New" w:hAnsi="Courier New" w:cs="Courier New"/>
          <w:sz w:val="24"/>
          <w:szCs w:val="24"/>
        </w:rPr>
        <w:t>n miles de recursos de protección todos los años en contra de las isapres)</w:t>
      </w:r>
      <w:r w:rsidRPr="008734D2">
        <w:rPr>
          <w:rFonts w:ascii="Courier New" w:hAnsi="Courier New" w:cs="Courier New"/>
          <w:sz w:val="24"/>
          <w:szCs w:val="24"/>
        </w:rPr>
        <w:t xml:space="preserve">, su variación queda entregada de manera indeterminada e indefinida al denominado </w:t>
      </w:r>
      <w:r w:rsidRPr="008734D2">
        <w:rPr>
          <w:rFonts w:ascii="Courier New" w:hAnsi="Courier New" w:cs="Courier New"/>
          <w:sz w:val="24"/>
          <w:szCs w:val="24"/>
        </w:rPr>
        <w:t>Consejo Técnico de Salud</w:t>
      </w:r>
      <w:r w:rsidR="008734D2">
        <w:rPr>
          <w:rFonts w:ascii="Courier New" w:hAnsi="Courier New" w:cs="Courier New"/>
          <w:sz w:val="24"/>
          <w:szCs w:val="24"/>
        </w:rPr>
        <w:t>, tema que no será desarrollado en un reglamento</w:t>
      </w:r>
      <w:r w:rsidRPr="008734D2">
        <w:rPr>
          <w:rFonts w:ascii="Courier New" w:hAnsi="Courier New" w:cs="Courier New"/>
          <w:sz w:val="24"/>
          <w:szCs w:val="24"/>
        </w:rPr>
        <w:t>;</w:t>
      </w:r>
    </w:p>
    <w:p w14:paraId="06F18B5B" w14:textId="55A806D9" w:rsidR="00BA6B1F" w:rsidRDefault="008734D2" w:rsidP="008734D2">
      <w:pPr>
        <w:pStyle w:val="Prrafodelista"/>
        <w:numPr>
          <w:ilvl w:val="1"/>
          <w:numId w:val="1"/>
        </w:numPr>
        <w:spacing w:line="276" w:lineRule="auto"/>
        <w:jc w:val="both"/>
        <w:rPr>
          <w:rFonts w:ascii="Courier New" w:hAnsi="Courier New" w:cs="Courier New"/>
          <w:sz w:val="24"/>
          <w:szCs w:val="24"/>
        </w:rPr>
      </w:pPr>
      <w:r>
        <w:rPr>
          <w:rFonts w:ascii="Courier New" w:hAnsi="Courier New" w:cs="Courier New"/>
          <w:sz w:val="24"/>
          <w:szCs w:val="24"/>
        </w:rPr>
        <w:t>R</w:t>
      </w:r>
      <w:r w:rsidR="00BA6B1F" w:rsidRPr="008734D2">
        <w:rPr>
          <w:rFonts w:ascii="Courier New" w:hAnsi="Courier New" w:cs="Courier New"/>
          <w:sz w:val="24"/>
          <w:szCs w:val="24"/>
        </w:rPr>
        <w:t>especto de la tabla de factores</w:t>
      </w:r>
      <w:r w:rsidR="004F016C">
        <w:rPr>
          <w:rFonts w:ascii="Courier New" w:hAnsi="Courier New" w:cs="Courier New"/>
          <w:sz w:val="24"/>
          <w:szCs w:val="24"/>
        </w:rPr>
        <w:t xml:space="preserve"> (no derogada por el Tribunal Constitucional, aun cuando su sentencia del año 2010 la tornó inaplicable)</w:t>
      </w:r>
      <w:r w:rsidR="00BA6B1F" w:rsidRPr="008734D2">
        <w:rPr>
          <w:rFonts w:ascii="Courier New" w:hAnsi="Courier New" w:cs="Courier New"/>
          <w:sz w:val="24"/>
          <w:szCs w:val="24"/>
        </w:rPr>
        <w:t xml:space="preserve">, </w:t>
      </w:r>
      <w:r w:rsidR="004F016C">
        <w:rPr>
          <w:rFonts w:ascii="Courier New" w:hAnsi="Courier New" w:cs="Courier New"/>
          <w:sz w:val="24"/>
          <w:szCs w:val="24"/>
        </w:rPr>
        <w:t xml:space="preserve">y </w:t>
      </w:r>
      <w:r>
        <w:rPr>
          <w:rFonts w:ascii="Courier New" w:hAnsi="Courier New" w:cs="Courier New"/>
          <w:sz w:val="24"/>
          <w:szCs w:val="24"/>
        </w:rPr>
        <w:t>si bien est</w:t>
      </w:r>
      <w:r w:rsidR="004F016C">
        <w:rPr>
          <w:rFonts w:ascii="Courier New" w:hAnsi="Courier New" w:cs="Courier New"/>
          <w:sz w:val="24"/>
          <w:szCs w:val="24"/>
        </w:rPr>
        <w:t>a</w:t>
      </w:r>
      <w:r>
        <w:rPr>
          <w:rFonts w:ascii="Courier New" w:hAnsi="Courier New" w:cs="Courier New"/>
          <w:sz w:val="24"/>
          <w:szCs w:val="24"/>
        </w:rPr>
        <w:t xml:space="preserve"> formalmente se deroga, el proyecto </w:t>
      </w:r>
      <w:r w:rsidR="00BA6B1F" w:rsidRPr="008734D2">
        <w:rPr>
          <w:rFonts w:ascii="Courier New" w:hAnsi="Courier New" w:cs="Courier New"/>
          <w:sz w:val="24"/>
          <w:szCs w:val="24"/>
        </w:rPr>
        <w:t>establece los denominados Grupos de Compensación de Riesgos, que podrían configurarse a partir de los mismos factores hoy vigentes, esto es, sexo y edad</w:t>
      </w:r>
      <w:r>
        <w:rPr>
          <w:rFonts w:ascii="Courier New" w:hAnsi="Courier New" w:cs="Courier New"/>
          <w:sz w:val="24"/>
          <w:szCs w:val="24"/>
        </w:rPr>
        <w:t>; y</w:t>
      </w:r>
    </w:p>
    <w:p w14:paraId="0D184619" w14:textId="20ADBB50" w:rsidR="008734D2" w:rsidRPr="008734D2" w:rsidRDefault="008734D2" w:rsidP="008734D2">
      <w:pPr>
        <w:pStyle w:val="Prrafodelista"/>
        <w:numPr>
          <w:ilvl w:val="1"/>
          <w:numId w:val="1"/>
        </w:numPr>
        <w:spacing w:line="276" w:lineRule="auto"/>
        <w:jc w:val="both"/>
        <w:rPr>
          <w:rFonts w:ascii="Courier New" w:hAnsi="Courier New" w:cs="Courier New"/>
          <w:sz w:val="24"/>
          <w:szCs w:val="24"/>
        </w:rPr>
      </w:pPr>
      <w:r>
        <w:rPr>
          <w:rFonts w:ascii="Courier New" w:hAnsi="Courier New" w:cs="Courier New"/>
          <w:sz w:val="24"/>
          <w:szCs w:val="24"/>
        </w:rPr>
        <w:t xml:space="preserve">Finamente, </w:t>
      </w:r>
      <w:r w:rsidRPr="008734D2">
        <w:rPr>
          <w:rFonts w:ascii="Courier New" w:hAnsi="Courier New" w:cs="Courier New"/>
          <w:sz w:val="24"/>
          <w:szCs w:val="24"/>
        </w:rPr>
        <w:t>nada se dice</w:t>
      </w:r>
      <w:r>
        <w:rPr>
          <w:rFonts w:ascii="Courier New" w:hAnsi="Courier New" w:cs="Courier New"/>
          <w:sz w:val="24"/>
          <w:szCs w:val="24"/>
        </w:rPr>
        <w:t xml:space="preserve"> respecto de la prima GES</w:t>
      </w:r>
      <w:r w:rsidR="004F016C">
        <w:rPr>
          <w:rFonts w:ascii="Courier New" w:hAnsi="Courier New" w:cs="Courier New"/>
          <w:sz w:val="24"/>
          <w:szCs w:val="24"/>
        </w:rPr>
        <w:t xml:space="preserve">, </w:t>
      </w:r>
      <w:r w:rsidR="007C26C4">
        <w:rPr>
          <w:rFonts w:ascii="Courier New" w:hAnsi="Courier New" w:cs="Courier New"/>
          <w:sz w:val="24"/>
          <w:szCs w:val="24"/>
        </w:rPr>
        <w:t>cuyas alzas respecto del trienio inmediatamente anterior fueron detenidas por la Excma. Corte Suprema</w:t>
      </w:r>
      <w:r w:rsidRPr="008734D2">
        <w:rPr>
          <w:rFonts w:ascii="Courier New" w:hAnsi="Courier New" w:cs="Courier New"/>
          <w:sz w:val="24"/>
          <w:szCs w:val="24"/>
        </w:rPr>
        <w:t>.</w:t>
      </w:r>
    </w:p>
    <w:p w14:paraId="1530447C" w14:textId="77777777" w:rsidR="003F4DBC" w:rsidRDefault="003F4DBC" w:rsidP="00CA4530">
      <w:pPr>
        <w:pStyle w:val="Prrafodelista"/>
        <w:spacing w:line="276" w:lineRule="auto"/>
        <w:jc w:val="both"/>
        <w:rPr>
          <w:rFonts w:ascii="Courier New" w:hAnsi="Courier New" w:cs="Courier New"/>
          <w:sz w:val="24"/>
          <w:szCs w:val="24"/>
        </w:rPr>
      </w:pPr>
    </w:p>
    <w:p w14:paraId="527BAF5A" w14:textId="77777777" w:rsidR="003F4DBC" w:rsidRDefault="003F4DBC">
      <w:pPr>
        <w:rPr>
          <w:rFonts w:ascii="Courier New" w:hAnsi="Courier New" w:cs="Courier New"/>
          <w:b/>
          <w:bCs/>
          <w:sz w:val="24"/>
          <w:szCs w:val="24"/>
        </w:rPr>
      </w:pPr>
      <w:r>
        <w:rPr>
          <w:rFonts w:ascii="Courier New" w:hAnsi="Courier New" w:cs="Courier New"/>
          <w:b/>
          <w:bCs/>
          <w:sz w:val="24"/>
          <w:szCs w:val="24"/>
        </w:rPr>
        <w:br w:type="page"/>
      </w:r>
    </w:p>
    <w:p w14:paraId="2C060DC5" w14:textId="76695B66" w:rsidR="007C26C4" w:rsidRPr="000C304A" w:rsidRDefault="00CA4530" w:rsidP="000C304A">
      <w:pPr>
        <w:pStyle w:val="Prrafodelista"/>
        <w:numPr>
          <w:ilvl w:val="0"/>
          <w:numId w:val="1"/>
        </w:numPr>
        <w:spacing w:line="276" w:lineRule="auto"/>
        <w:jc w:val="both"/>
        <w:rPr>
          <w:rFonts w:ascii="Courier New" w:hAnsi="Courier New" w:cs="Courier New"/>
          <w:sz w:val="24"/>
          <w:szCs w:val="24"/>
        </w:rPr>
      </w:pPr>
      <w:r w:rsidRPr="007C26C4">
        <w:rPr>
          <w:rFonts w:ascii="Courier New" w:hAnsi="Courier New" w:cs="Courier New"/>
          <w:b/>
          <w:bCs/>
          <w:sz w:val="24"/>
          <w:szCs w:val="24"/>
        </w:rPr>
        <w:lastRenderedPageBreak/>
        <w:t>No termin</w:t>
      </w:r>
      <w:r w:rsidR="003F4DBC">
        <w:rPr>
          <w:rFonts w:ascii="Courier New" w:hAnsi="Courier New" w:cs="Courier New"/>
          <w:b/>
          <w:bCs/>
          <w:sz w:val="24"/>
          <w:szCs w:val="24"/>
        </w:rPr>
        <w:t>a</w:t>
      </w:r>
      <w:r w:rsidRPr="007C26C4">
        <w:rPr>
          <w:rFonts w:ascii="Courier New" w:hAnsi="Courier New" w:cs="Courier New"/>
          <w:b/>
          <w:bCs/>
          <w:sz w:val="24"/>
          <w:szCs w:val="24"/>
        </w:rPr>
        <w:t xml:space="preserve"> con la discriminación</w:t>
      </w:r>
      <w:r w:rsidRPr="00504D12">
        <w:rPr>
          <w:rFonts w:ascii="Courier New" w:hAnsi="Courier New" w:cs="Courier New"/>
          <w:sz w:val="24"/>
          <w:szCs w:val="24"/>
        </w:rPr>
        <w:t xml:space="preserve">. Ella se mantiene vigente mediante la creación de los </w:t>
      </w:r>
      <w:r w:rsidR="007C26C4">
        <w:rPr>
          <w:rFonts w:ascii="Courier New" w:hAnsi="Courier New" w:cs="Courier New"/>
          <w:sz w:val="24"/>
          <w:szCs w:val="24"/>
        </w:rPr>
        <w:t xml:space="preserve">ya mencionados </w:t>
      </w:r>
      <w:r w:rsidRPr="00504D12">
        <w:rPr>
          <w:rFonts w:ascii="Courier New" w:hAnsi="Courier New" w:cs="Courier New"/>
          <w:sz w:val="24"/>
          <w:szCs w:val="24"/>
        </w:rPr>
        <w:t>grupos de compensación</w:t>
      </w:r>
      <w:r w:rsidR="007C26C4">
        <w:rPr>
          <w:rFonts w:ascii="Courier New" w:hAnsi="Courier New" w:cs="Courier New"/>
          <w:sz w:val="24"/>
          <w:szCs w:val="24"/>
        </w:rPr>
        <w:t>, la creación del Plan Nuevo Asegurado, en el cual la persona que se cambia del sector público al sector privado debe pagar durante dos años el precio del segundo, pero recibe los beneficios del primero.</w:t>
      </w:r>
      <w:r w:rsidR="000C304A">
        <w:rPr>
          <w:rFonts w:ascii="Courier New" w:hAnsi="Courier New" w:cs="Courier New"/>
          <w:sz w:val="24"/>
          <w:szCs w:val="24"/>
        </w:rPr>
        <w:t xml:space="preserve"> De esta manera, este proyecto de ley permite aumentar a 4 los planes de salud: </w:t>
      </w:r>
      <w:r w:rsidR="000C304A" w:rsidRPr="00130E16">
        <w:rPr>
          <w:rFonts w:ascii="Courier New" w:hAnsi="Courier New" w:cs="Courier New"/>
          <w:sz w:val="24"/>
          <w:szCs w:val="24"/>
        </w:rPr>
        <w:t>MAI, MLE, PNA y PSU</w:t>
      </w:r>
      <w:r w:rsidR="000C304A">
        <w:rPr>
          <w:rFonts w:ascii="Courier New" w:hAnsi="Courier New" w:cs="Courier New"/>
          <w:sz w:val="24"/>
          <w:szCs w:val="24"/>
        </w:rPr>
        <w:t>.</w:t>
      </w:r>
    </w:p>
    <w:p w14:paraId="204FD787" w14:textId="77777777" w:rsidR="00CA4530" w:rsidRPr="00504D12" w:rsidRDefault="00CA4530" w:rsidP="00CA4530">
      <w:pPr>
        <w:pStyle w:val="Prrafodelista"/>
        <w:rPr>
          <w:rFonts w:ascii="Courier New" w:hAnsi="Courier New" w:cs="Courier New"/>
          <w:sz w:val="24"/>
          <w:szCs w:val="24"/>
        </w:rPr>
      </w:pPr>
    </w:p>
    <w:p w14:paraId="34D5DC82" w14:textId="42E44A19" w:rsidR="00285181" w:rsidRDefault="00285181" w:rsidP="00CA4530">
      <w:pPr>
        <w:pStyle w:val="Prrafodelista"/>
        <w:numPr>
          <w:ilvl w:val="0"/>
          <w:numId w:val="1"/>
        </w:numPr>
        <w:spacing w:line="276" w:lineRule="auto"/>
        <w:jc w:val="both"/>
        <w:rPr>
          <w:rFonts w:ascii="Courier New" w:hAnsi="Courier New" w:cs="Courier New"/>
          <w:sz w:val="24"/>
          <w:szCs w:val="24"/>
        </w:rPr>
      </w:pPr>
      <w:r>
        <w:rPr>
          <w:rFonts w:ascii="Courier New" w:hAnsi="Courier New" w:cs="Courier New"/>
          <w:sz w:val="24"/>
          <w:szCs w:val="24"/>
        </w:rPr>
        <w:t xml:space="preserve">Finalmente, </w:t>
      </w:r>
      <w:r w:rsidR="00F60A4A" w:rsidRPr="000C304A">
        <w:rPr>
          <w:rFonts w:ascii="Courier New" w:hAnsi="Courier New" w:cs="Courier New"/>
          <w:b/>
          <w:bCs/>
          <w:sz w:val="24"/>
          <w:szCs w:val="24"/>
        </w:rPr>
        <w:t>no se incluye</w:t>
      </w:r>
      <w:r w:rsidR="003F4DBC">
        <w:rPr>
          <w:rFonts w:ascii="Courier New" w:hAnsi="Courier New" w:cs="Courier New"/>
          <w:b/>
          <w:bCs/>
          <w:sz w:val="24"/>
          <w:szCs w:val="24"/>
        </w:rPr>
        <w:t>n</w:t>
      </w:r>
      <w:r w:rsidR="00F60A4A" w:rsidRPr="000C304A">
        <w:rPr>
          <w:rFonts w:ascii="Courier New" w:hAnsi="Courier New" w:cs="Courier New"/>
          <w:b/>
          <w:bCs/>
          <w:sz w:val="24"/>
          <w:szCs w:val="24"/>
        </w:rPr>
        <w:t xml:space="preserve"> </w:t>
      </w:r>
      <w:r w:rsidRPr="000C304A">
        <w:rPr>
          <w:rFonts w:ascii="Courier New" w:hAnsi="Courier New" w:cs="Courier New"/>
          <w:b/>
          <w:bCs/>
          <w:sz w:val="24"/>
          <w:szCs w:val="24"/>
        </w:rPr>
        <w:t>los siguientes temas</w:t>
      </w:r>
      <w:r w:rsidR="000C304A">
        <w:rPr>
          <w:rFonts w:ascii="Courier New" w:hAnsi="Courier New" w:cs="Courier New"/>
          <w:sz w:val="24"/>
          <w:szCs w:val="24"/>
        </w:rPr>
        <w:t xml:space="preserve"> que son relevantes para la solución de los problemas del sistema de salud privado</w:t>
      </w:r>
      <w:r>
        <w:rPr>
          <w:rFonts w:ascii="Courier New" w:hAnsi="Courier New" w:cs="Courier New"/>
          <w:sz w:val="24"/>
          <w:szCs w:val="24"/>
        </w:rPr>
        <w:t>:</w:t>
      </w:r>
    </w:p>
    <w:p w14:paraId="1B16BC8A" w14:textId="5ACE33A1" w:rsidR="00285181" w:rsidRDefault="00285181" w:rsidP="00CA4530">
      <w:pPr>
        <w:pStyle w:val="Prrafodelista"/>
        <w:numPr>
          <w:ilvl w:val="1"/>
          <w:numId w:val="1"/>
        </w:numPr>
        <w:spacing w:line="276" w:lineRule="auto"/>
        <w:jc w:val="both"/>
        <w:rPr>
          <w:rFonts w:ascii="Courier New" w:hAnsi="Courier New" w:cs="Courier New"/>
          <w:sz w:val="24"/>
          <w:szCs w:val="24"/>
        </w:rPr>
      </w:pPr>
      <w:r>
        <w:rPr>
          <w:rFonts w:ascii="Courier New" w:hAnsi="Courier New" w:cs="Courier New"/>
          <w:sz w:val="24"/>
          <w:szCs w:val="24"/>
        </w:rPr>
        <w:t xml:space="preserve">La consagración del derecho a la </w:t>
      </w:r>
      <w:r w:rsidR="00CA4530" w:rsidRPr="00504D12">
        <w:rPr>
          <w:rFonts w:ascii="Courier New" w:hAnsi="Courier New" w:cs="Courier New"/>
          <w:sz w:val="24"/>
          <w:szCs w:val="24"/>
        </w:rPr>
        <w:t xml:space="preserve">Salud como parte de la </w:t>
      </w:r>
      <w:r w:rsidR="000C304A">
        <w:rPr>
          <w:rFonts w:ascii="Courier New" w:hAnsi="Courier New" w:cs="Courier New"/>
          <w:b/>
          <w:bCs/>
          <w:sz w:val="24"/>
          <w:szCs w:val="24"/>
        </w:rPr>
        <w:t>S</w:t>
      </w:r>
      <w:r w:rsidR="00CA4530" w:rsidRPr="000C304A">
        <w:rPr>
          <w:rFonts w:ascii="Courier New" w:hAnsi="Courier New" w:cs="Courier New"/>
          <w:b/>
          <w:bCs/>
          <w:sz w:val="24"/>
          <w:szCs w:val="24"/>
        </w:rPr>
        <w:t xml:space="preserve">eguridad </w:t>
      </w:r>
      <w:r w:rsidR="000C304A">
        <w:rPr>
          <w:rFonts w:ascii="Courier New" w:hAnsi="Courier New" w:cs="Courier New"/>
          <w:b/>
          <w:bCs/>
          <w:sz w:val="24"/>
          <w:szCs w:val="24"/>
        </w:rPr>
        <w:t>S</w:t>
      </w:r>
      <w:r w:rsidR="00CA4530" w:rsidRPr="000C304A">
        <w:rPr>
          <w:rFonts w:ascii="Courier New" w:hAnsi="Courier New" w:cs="Courier New"/>
          <w:b/>
          <w:bCs/>
          <w:sz w:val="24"/>
          <w:szCs w:val="24"/>
        </w:rPr>
        <w:t>ocial</w:t>
      </w:r>
      <w:r>
        <w:rPr>
          <w:rFonts w:ascii="Courier New" w:hAnsi="Courier New" w:cs="Courier New"/>
          <w:sz w:val="24"/>
          <w:szCs w:val="24"/>
        </w:rPr>
        <w:t>, como lo han sostenido reiteradamente los Tribunales Superiores de Justicia</w:t>
      </w:r>
      <w:r w:rsidR="00F60A4A">
        <w:rPr>
          <w:rFonts w:ascii="Courier New" w:hAnsi="Courier New" w:cs="Courier New"/>
          <w:sz w:val="24"/>
          <w:szCs w:val="24"/>
        </w:rPr>
        <w:t>;</w:t>
      </w:r>
    </w:p>
    <w:p w14:paraId="2E978C52" w14:textId="749AAD5F" w:rsidR="00285181" w:rsidRDefault="00285181" w:rsidP="00CA4530">
      <w:pPr>
        <w:pStyle w:val="Prrafodelista"/>
        <w:numPr>
          <w:ilvl w:val="1"/>
          <w:numId w:val="1"/>
        </w:numPr>
        <w:spacing w:line="276" w:lineRule="auto"/>
        <w:jc w:val="both"/>
        <w:rPr>
          <w:rFonts w:ascii="Courier New" w:hAnsi="Courier New" w:cs="Courier New"/>
          <w:sz w:val="24"/>
          <w:szCs w:val="24"/>
        </w:rPr>
      </w:pPr>
      <w:r>
        <w:rPr>
          <w:rFonts w:ascii="Courier New" w:hAnsi="Courier New" w:cs="Courier New"/>
          <w:sz w:val="24"/>
          <w:szCs w:val="24"/>
        </w:rPr>
        <w:t xml:space="preserve">Derivado de lo anterior, no se contempla la creación de un </w:t>
      </w:r>
      <w:r w:rsidRPr="000C304A">
        <w:rPr>
          <w:rFonts w:ascii="Courier New" w:hAnsi="Courier New" w:cs="Courier New"/>
          <w:b/>
          <w:bCs/>
          <w:sz w:val="24"/>
          <w:szCs w:val="24"/>
        </w:rPr>
        <w:t>Fondo de Compensación entre ambos sistemas</w:t>
      </w:r>
      <w:r w:rsidR="00F60A4A">
        <w:rPr>
          <w:rFonts w:ascii="Courier New" w:hAnsi="Courier New" w:cs="Courier New"/>
          <w:sz w:val="24"/>
          <w:szCs w:val="24"/>
        </w:rPr>
        <w:t>;</w:t>
      </w:r>
    </w:p>
    <w:p w14:paraId="5778B195" w14:textId="77777777" w:rsidR="003F4DBC" w:rsidRDefault="00F60A4A" w:rsidP="003F4DBC">
      <w:pPr>
        <w:pStyle w:val="Prrafodelista"/>
        <w:numPr>
          <w:ilvl w:val="1"/>
          <w:numId w:val="1"/>
        </w:numPr>
        <w:spacing w:line="276" w:lineRule="auto"/>
        <w:jc w:val="both"/>
        <w:rPr>
          <w:rFonts w:ascii="Courier New" w:hAnsi="Courier New" w:cs="Courier New"/>
          <w:sz w:val="24"/>
          <w:szCs w:val="24"/>
        </w:rPr>
      </w:pPr>
      <w:r w:rsidRPr="00F60A4A">
        <w:rPr>
          <w:rFonts w:ascii="Courier New" w:hAnsi="Courier New" w:cs="Courier New"/>
          <w:sz w:val="24"/>
          <w:szCs w:val="24"/>
        </w:rPr>
        <w:t xml:space="preserve">No se regulan materias relevantes </w:t>
      </w:r>
      <w:r w:rsidR="000C304A">
        <w:rPr>
          <w:rFonts w:ascii="Courier New" w:hAnsi="Courier New" w:cs="Courier New"/>
          <w:sz w:val="24"/>
          <w:szCs w:val="24"/>
        </w:rPr>
        <w:t xml:space="preserve">para </w:t>
      </w:r>
      <w:r w:rsidR="000C304A" w:rsidRPr="000C304A">
        <w:rPr>
          <w:rFonts w:ascii="Courier New" w:hAnsi="Courier New" w:cs="Courier New"/>
          <w:b/>
          <w:bCs/>
          <w:sz w:val="24"/>
          <w:szCs w:val="24"/>
        </w:rPr>
        <w:t>contención de costos y/o gastos</w:t>
      </w:r>
      <w:r w:rsidR="000C304A">
        <w:rPr>
          <w:rFonts w:ascii="Courier New" w:hAnsi="Courier New" w:cs="Courier New"/>
          <w:sz w:val="24"/>
          <w:szCs w:val="24"/>
        </w:rPr>
        <w:t xml:space="preserve"> como </w:t>
      </w:r>
      <w:r w:rsidRPr="00F60A4A">
        <w:rPr>
          <w:rFonts w:ascii="Courier New" w:hAnsi="Courier New" w:cs="Courier New"/>
          <w:sz w:val="24"/>
          <w:szCs w:val="24"/>
        </w:rPr>
        <w:t xml:space="preserve">la </w:t>
      </w:r>
      <w:r w:rsidR="00285181" w:rsidRPr="00F60A4A">
        <w:rPr>
          <w:rFonts w:ascii="Courier New" w:hAnsi="Courier New" w:cs="Courier New"/>
          <w:sz w:val="24"/>
          <w:szCs w:val="24"/>
        </w:rPr>
        <w:t>i</w:t>
      </w:r>
      <w:r w:rsidR="00CA4530" w:rsidRPr="00F60A4A">
        <w:rPr>
          <w:rFonts w:ascii="Courier New" w:hAnsi="Courier New" w:cs="Courier New"/>
          <w:sz w:val="24"/>
          <w:szCs w:val="24"/>
        </w:rPr>
        <w:t>ntegración vertical</w:t>
      </w:r>
      <w:r w:rsidRPr="00F60A4A">
        <w:rPr>
          <w:rFonts w:ascii="Courier New" w:hAnsi="Courier New" w:cs="Courier New"/>
          <w:sz w:val="24"/>
          <w:szCs w:val="24"/>
        </w:rPr>
        <w:t xml:space="preserve">; </w:t>
      </w:r>
      <w:r w:rsidR="000C304A">
        <w:rPr>
          <w:rFonts w:ascii="Courier New" w:hAnsi="Courier New" w:cs="Courier New"/>
          <w:sz w:val="24"/>
          <w:szCs w:val="24"/>
        </w:rPr>
        <w:t xml:space="preserve">venta de </w:t>
      </w:r>
      <w:r w:rsidR="00CA4530" w:rsidRPr="00F60A4A">
        <w:rPr>
          <w:rFonts w:ascii="Courier New" w:hAnsi="Courier New" w:cs="Courier New"/>
          <w:sz w:val="24"/>
          <w:szCs w:val="24"/>
        </w:rPr>
        <w:t xml:space="preserve">seguros complementarios </w:t>
      </w:r>
      <w:r>
        <w:rPr>
          <w:rFonts w:ascii="Courier New" w:hAnsi="Courier New" w:cs="Courier New"/>
          <w:sz w:val="24"/>
          <w:szCs w:val="24"/>
        </w:rPr>
        <w:t>y/o suplementarios</w:t>
      </w:r>
      <w:r w:rsidR="004638BC">
        <w:rPr>
          <w:rFonts w:ascii="Courier New" w:hAnsi="Courier New" w:cs="Courier New"/>
          <w:sz w:val="24"/>
          <w:szCs w:val="24"/>
        </w:rPr>
        <w:t>;</w:t>
      </w:r>
      <w:r>
        <w:rPr>
          <w:rFonts w:ascii="Courier New" w:hAnsi="Courier New" w:cs="Courier New"/>
          <w:sz w:val="24"/>
          <w:szCs w:val="24"/>
        </w:rPr>
        <w:t xml:space="preserve"> y/o </w:t>
      </w:r>
      <w:r w:rsidR="004638BC">
        <w:rPr>
          <w:rFonts w:ascii="Courier New" w:hAnsi="Courier New" w:cs="Courier New"/>
          <w:sz w:val="24"/>
          <w:szCs w:val="24"/>
        </w:rPr>
        <w:t xml:space="preserve">formas de pago asociadas a </w:t>
      </w:r>
      <w:r>
        <w:rPr>
          <w:rFonts w:ascii="Courier New" w:hAnsi="Courier New" w:cs="Courier New"/>
          <w:sz w:val="24"/>
          <w:szCs w:val="24"/>
        </w:rPr>
        <w:t>s</w:t>
      </w:r>
      <w:r w:rsidR="00CA4530" w:rsidRPr="00F60A4A">
        <w:rPr>
          <w:rFonts w:ascii="Courier New" w:hAnsi="Courier New" w:cs="Courier New"/>
          <w:sz w:val="24"/>
          <w:szCs w:val="24"/>
        </w:rPr>
        <w:t>oluciones de salud más que prestaciones individuales</w:t>
      </w:r>
      <w:r w:rsidR="003F4DBC">
        <w:rPr>
          <w:rFonts w:ascii="Courier New" w:hAnsi="Courier New" w:cs="Courier New"/>
          <w:sz w:val="24"/>
          <w:szCs w:val="24"/>
        </w:rPr>
        <w:t>; y</w:t>
      </w:r>
    </w:p>
    <w:p w14:paraId="577CAB98" w14:textId="1EA91433" w:rsidR="00130E16" w:rsidRPr="003F4DBC" w:rsidRDefault="003F4DBC" w:rsidP="003F4DBC">
      <w:pPr>
        <w:pStyle w:val="Prrafodelista"/>
        <w:numPr>
          <w:ilvl w:val="1"/>
          <w:numId w:val="1"/>
        </w:numPr>
        <w:spacing w:line="276" w:lineRule="auto"/>
        <w:jc w:val="both"/>
        <w:rPr>
          <w:rFonts w:ascii="Courier New" w:hAnsi="Courier New" w:cs="Courier New"/>
          <w:sz w:val="24"/>
          <w:szCs w:val="24"/>
        </w:rPr>
      </w:pPr>
      <w:r w:rsidRPr="003F4DBC">
        <w:rPr>
          <w:rFonts w:ascii="Courier New" w:hAnsi="Courier New" w:cs="Courier New"/>
          <w:sz w:val="24"/>
          <w:szCs w:val="24"/>
        </w:rPr>
        <w:t xml:space="preserve">Modificar el sistema que permite a las isapres rechazar o reducir </w:t>
      </w:r>
      <w:r w:rsidRPr="003F4DBC">
        <w:rPr>
          <w:rFonts w:ascii="Courier New" w:hAnsi="Courier New" w:cs="Courier New"/>
          <w:b/>
          <w:bCs/>
          <w:sz w:val="24"/>
          <w:szCs w:val="24"/>
        </w:rPr>
        <w:t>licencias médicas</w:t>
      </w:r>
      <w:r w:rsidRPr="003F4DBC">
        <w:rPr>
          <w:rFonts w:ascii="Courier New" w:hAnsi="Courier New" w:cs="Courier New"/>
          <w:sz w:val="24"/>
          <w:szCs w:val="24"/>
        </w:rPr>
        <w:t xml:space="preserve">. </w:t>
      </w:r>
    </w:p>
    <w:sectPr w:rsidR="00130E16" w:rsidRPr="003F4DBC" w:rsidSect="004A692A">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510AB" w14:textId="77777777" w:rsidR="004C0240" w:rsidRDefault="004C0240" w:rsidP="00CF246F">
      <w:pPr>
        <w:spacing w:after="0" w:line="240" w:lineRule="auto"/>
      </w:pPr>
      <w:r>
        <w:separator/>
      </w:r>
    </w:p>
  </w:endnote>
  <w:endnote w:type="continuationSeparator" w:id="0">
    <w:p w14:paraId="474A4BD6" w14:textId="77777777" w:rsidR="004C0240" w:rsidRDefault="004C0240" w:rsidP="00CF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BBEB5" w14:textId="77777777" w:rsidR="004C0240" w:rsidRDefault="004C0240" w:rsidP="00CF246F">
      <w:pPr>
        <w:spacing w:after="0" w:line="240" w:lineRule="auto"/>
      </w:pPr>
      <w:r>
        <w:separator/>
      </w:r>
    </w:p>
  </w:footnote>
  <w:footnote w:type="continuationSeparator" w:id="0">
    <w:p w14:paraId="6634688D" w14:textId="77777777" w:rsidR="004C0240" w:rsidRDefault="004C0240" w:rsidP="00CF246F">
      <w:pPr>
        <w:spacing w:after="0" w:line="240" w:lineRule="auto"/>
      </w:pPr>
      <w:r>
        <w:continuationSeparator/>
      </w:r>
    </w:p>
  </w:footnote>
  <w:footnote w:id="1">
    <w:p w14:paraId="672405BB" w14:textId="4746E68F" w:rsidR="009432FF" w:rsidRPr="00907517" w:rsidRDefault="009432FF" w:rsidP="00AB1632">
      <w:pPr>
        <w:pStyle w:val="Textonotapie"/>
        <w:jc w:val="both"/>
        <w:rPr>
          <w:rFonts w:ascii="Courier New" w:hAnsi="Courier New" w:cs="Courier New"/>
          <w:sz w:val="16"/>
          <w:szCs w:val="16"/>
        </w:rPr>
      </w:pPr>
      <w:r w:rsidRPr="00907517">
        <w:rPr>
          <w:rStyle w:val="Refdenotaalpie"/>
          <w:rFonts w:ascii="Courier New" w:hAnsi="Courier New" w:cs="Courier New"/>
          <w:sz w:val="16"/>
          <w:szCs w:val="16"/>
        </w:rPr>
        <w:footnoteRef/>
      </w:r>
      <w:r w:rsidRPr="00907517">
        <w:rPr>
          <w:rFonts w:ascii="Courier New" w:hAnsi="Courier New" w:cs="Courier New"/>
          <w:sz w:val="16"/>
          <w:szCs w:val="16"/>
        </w:rPr>
        <w:t xml:space="preserve"> </w:t>
      </w:r>
      <w:r w:rsidR="00BD3997" w:rsidRPr="00907517">
        <w:rPr>
          <w:rFonts w:ascii="Courier New" w:hAnsi="Courier New" w:cs="Courier New"/>
          <w:sz w:val="16"/>
          <w:szCs w:val="16"/>
        </w:rPr>
        <w:t xml:space="preserve">Ley </w:t>
      </w:r>
      <w:r w:rsidRPr="00907517">
        <w:rPr>
          <w:rFonts w:ascii="Courier New" w:hAnsi="Courier New" w:cs="Courier New"/>
          <w:sz w:val="16"/>
          <w:szCs w:val="16"/>
        </w:rPr>
        <w:t>19.895</w:t>
      </w:r>
      <w:r w:rsidR="00AB1632" w:rsidRPr="00907517">
        <w:rPr>
          <w:rFonts w:ascii="Courier New" w:hAnsi="Courier New" w:cs="Courier New"/>
          <w:sz w:val="16"/>
          <w:szCs w:val="16"/>
        </w:rPr>
        <w:t>:</w:t>
      </w:r>
      <w:r w:rsidRPr="00907517">
        <w:rPr>
          <w:rFonts w:ascii="Courier New" w:hAnsi="Courier New" w:cs="Courier New"/>
          <w:sz w:val="16"/>
          <w:szCs w:val="16"/>
        </w:rPr>
        <w:t xml:space="preserve"> </w:t>
      </w:r>
      <w:r w:rsidR="00752432" w:rsidRPr="00907517">
        <w:rPr>
          <w:rFonts w:ascii="Courier New" w:hAnsi="Courier New" w:cs="Courier New"/>
          <w:sz w:val="16"/>
          <w:szCs w:val="16"/>
        </w:rPr>
        <w:t>Establece diversas normas de solvencia y protección de personas incorporadas a instituciones de salud previsional, administradoras de fondos de pensiones y compañías de seguros</w:t>
      </w:r>
      <w:r w:rsidRPr="00907517">
        <w:rPr>
          <w:rFonts w:ascii="Courier New" w:hAnsi="Courier New" w:cs="Courier New"/>
          <w:sz w:val="16"/>
          <w:szCs w:val="16"/>
        </w:rPr>
        <w:t>.</w:t>
      </w:r>
    </w:p>
  </w:footnote>
  <w:footnote w:id="2">
    <w:p w14:paraId="73C5D62B" w14:textId="3304A1FE" w:rsidR="00BD3997" w:rsidRPr="00907517" w:rsidRDefault="00BD3997" w:rsidP="00AB1632">
      <w:pPr>
        <w:pStyle w:val="Textonotapie"/>
        <w:jc w:val="both"/>
        <w:rPr>
          <w:rFonts w:ascii="Courier New" w:hAnsi="Courier New" w:cs="Courier New"/>
          <w:sz w:val="16"/>
          <w:szCs w:val="16"/>
        </w:rPr>
      </w:pPr>
      <w:r w:rsidRPr="00907517">
        <w:rPr>
          <w:rStyle w:val="Refdenotaalpie"/>
          <w:rFonts w:ascii="Courier New" w:hAnsi="Courier New" w:cs="Courier New"/>
          <w:sz w:val="16"/>
          <w:szCs w:val="16"/>
        </w:rPr>
        <w:footnoteRef/>
      </w:r>
      <w:r w:rsidRPr="00907517">
        <w:rPr>
          <w:rFonts w:ascii="Courier New" w:hAnsi="Courier New" w:cs="Courier New"/>
          <w:sz w:val="16"/>
          <w:szCs w:val="16"/>
        </w:rPr>
        <w:t xml:space="preserve"> Ley </w:t>
      </w:r>
      <w:r w:rsidRPr="00907517">
        <w:rPr>
          <w:rFonts w:ascii="Courier New" w:hAnsi="Courier New" w:cs="Courier New"/>
          <w:sz w:val="16"/>
          <w:szCs w:val="16"/>
        </w:rPr>
        <w:t>20.015</w:t>
      </w:r>
      <w:r w:rsidR="00AB1632" w:rsidRPr="00907517">
        <w:rPr>
          <w:rFonts w:ascii="Courier New" w:hAnsi="Courier New" w:cs="Courier New"/>
          <w:sz w:val="16"/>
          <w:szCs w:val="16"/>
        </w:rPr>
        <w:t>:</w:t>
      </w:r>
      <w:r w:rsidRPr="00907517">
        <w:rPr>
          <w:rFonts w:ascii="Courier New" w:hAnsi="Courier New" w:cs="Courier New"/>
          <w:sz w:val="16"/>
          <w:szCs w:val="16"/>
        </w:rPr>
        <w:t xml:space="preserve"> </w:t>
      </w:r>
      <w:r w:rsidRPr="00907517">
        <w:rPr>
          <w:rFonts w:ascii="Courier New" w:hAnsi="Courier New" w:cs="Courier New"/>
          <w:sz w:val="16"/>
          <w:szCs w:val="16"/>
        </w:rPr>
        <w:t xml:space="preserve">Modifica Ley </w:t>
      </w:r>
      <w:r w:rsidRPr="00907517">
        <w:rPr>
          <w:rFonts w:ascii="Courier New" w:hAnsi="Courier New" w:cs="Courier New"/>
          <w:sz w:val="16"/>
          <w:szCs w:val="16"/>
        </w:rPr>
        <w:t>N</w:t>
      </w:r>
      <w:r w:rsidRPr="00907517">
        <w:rPr>
          <w:rFonts w:ascii="Courier New" w:hAnsi="Courier New" w:cs="Courier New"/>
          <w:sz w:val="16"/>
          <w:szCs w:val="16"/>
        </w:rPr>
        <w:t>º 18.933</w:t>
      </w:r>
      <w:r w:rsidR="00907517">
        <w:rPr>
          <w:rFonts w:ascii="Courier New" w:hAnsi="Courier New" w:cs="Courier New"/>
          <w:sz w:val="16"/>
          <w:szCs w:val="16"/>
        </w:rPr>
        <w:t>,</w:t>
      </w:r>
      <w:r w:rsidRPr="00907517">
        <w:rPr>
          <w:rFonts w:ascii="Courier New" w:hAnsi="Courier New" w:cs="Courier New"/>
          <w:sz w:val="16"/>
          <w:szCs w:val="16"/>
        </w:rPr>
        <w:t xml:space="preserve"> </w:t>
      </w:r>
      <w:r w:rsidR="00907517">
        <w:rPr>
          <w:rFonts w:ascii="Courier New" w:hAnsi="Courier New" w:cs="Courier New"/>
          <w:sz w:val="16"/>
          <w:szCs w:val="16"/>
        </w:rPr>
        <w:t>S</w:t>
      </w:r>
      <w:r w:rsidRPr="00907517">
        <w:rPr>
          <w:rFonts w:ascii="Courier New" w:hAnsi="Courier New" w:cs="Courier New"/>
          <w:sz w:val="16"/>
          <w:szCs w:val="16"/>
        </w:rPr>
        <w:t>obre Instituciones</w:t>
      </w:r>
      <w:r w:rsidRPr="00907517">
        <w:rPr>
          <w:rFonts w:ascii="Courier New" w:hAnsi="Courier New" w:cs="Courier New"/>
          <w:sz w:val="16"/>
          <w:szCs w:val="16"/>
        </w:rPr>
        <w:t xml:space="preserve"> </w:t>
      </w:r>
      <w:r w:rsidRPr="00907517">
        <w:rPr>
          <w:rFonts w:ascii="Courier New" w:hAnsi="Courier New" w:cs="Courier New"/>
          <w:sz w:val="16"/>
          <w:szCs w:val="16"/>
        </w:rPr>
        <w:t>de Salud Previsional.</w:t>
      </w:r>
    </w:p>
  </w:footnote>
  <w:footnote w:id="3">
    <w:p w14:paraId="425100D2" w14:textId="24EC8040" w:rsidR="009432FF" w:rsidRPr="00907517" w:rsidRDefault="009432FF" w:rsidP="00AB1632">
      <w:pPr>
        <w:pStyle w:val="Textonotapie"/>
        <w:jc w:val="both"/>
        <w:rPr>
          <w:rFonts w:ascii="Courier New" w:hAnsi="Courier New" w:cs="Courier New"/>
          <w:sz w:val="16"/>
          <w:szCs w:val="16"/>
        </w:rPr>
      </w:pPr>
      <w:r w:rsidRPr="00907517">
        <w:rPr>
          <w:rStyle w:val="Refdenotaalpie"/>
          <w:rFonts w:ascii="Courier New" w:hAnsi="Courier New" w:cs="Courier New"/>
          <w:sz w:val="16"/>
          <w:szCs w:val="16"/>
        </w:rPr>
        <w:footnoteRef/>
      </w:r>
      <w:r w:rsidRPr="00907517">
        <w:rPr>
          <w:rFonts w:ascii="Courier New" w:hAnsi="Courier New" w:cs="Courier New"/>
          <w:sz w:val="16"/>
          <w:szCs w:val="16"/>
        </w:rPr>
        <w:t xml:space="preserve"> Ley </w:t>
      </w:r>
      <w:r w:rsidRPr="00907517">
        <w:rPr>
          <w:rFonts w:ascii="Courier New" w:hAnsi="Courier New" w:cs="Courier New"/>
          <w:sz w:val="16"/>
          <w:szCs w:val="16"/>
        </w:rPr>
        <w:t>19.888</w:t>
      </w:r>
      <w:r w:rsidR="00AB1632" w:rsidRPr="00907517">
        <w:rPr>
          <w:rFonts w:ascii="Courier New" w:hAnsi="Courier New" w:cs="Courier New"/>
          <w:sz w:val="16"/>
          <w:szCs w:val="16"/>
        </w:rPr>
        <w:t>:</w:t>
      </w:r>
      <w:r w:rsidRPr="00907517">
        <w:rPr>
          <w:rFonts w:ascii="Courier New" w:hAnsi="Courier New" w:cs="Courier New"/>
          <w:sz w:val="16"/>
          <w:szCs w:val="16"/>
        </w:rPr>
        <w:t xml:space="preserve"> </w:t>
      </w:r>
      <w:r w:rsidRPr="00907517">
        <w:rPr>
          <w:rFonts w:ascii="Courier New" w:hAnsi="Courier New" w:cs="Courier New"/>
          <w:sz w:val="16"/>
          <w:szCs w:val="16"/>
        </w:rPr>
        <w:t>Establece el financiamiento necesario para</w:t>
      </w:r>
      <w:r w:rsidRPr="00907517">
        <w:rPr>
          <w:rFonts w:ascii="Courier New" w:hAnsi="Courier New" w:cs="Courier New"/>
          <w:sz w:val="16"/>
          <w:szCs w:val="16"/>
        </w:rPr>
        <w:t xml:space="preserve"> </w:t>
      </w:r>
      <w:r w:rsidRPr="00907517">
        <w:rPr>
          <w:rFonts w:ascii="Courier New" w:hAnsi="Courier New" w:cs="Courier New"/>
          <w:sz w:val="16"/>
          <w:szCs w:val="16"/>
        </w:rPr>
        <w:t>asegurar los objetivos sociales prioritarios</w:t>
      </w:r>
      <w:r w:rsidR="00BD3997" w:rsidRPr="00907517">
        <w:rPr>
          <w:rFonts w:ascii="Courier New" w:hAnsi="Courier New" w:cs="Courier New"/>
          <w:sz w:val="16"/>
          <w:szCs w:val="16"/>
        </w:rPr>
        <w:t xml:space="preserve"> </w:t>
      </w:r>
      <w:r w:rsidRPr="00907517">
        <w:rPr>
          <w:rFonts w:ascii="Courier New" w:hAnsi="Courier New" w:cs="Courier New"/>
          <w:sz w:val="16"/>
          <w:szCs w:val="16"/>
        </w:rPr>
        <w:t>del Gobierno</w:t>
      </w:r>
      <w:r w:rsidR="00253181" w:rsidRPr="00907517">
        <w:rPr>
          <w:rFonts w:ascii="Courier New" w:hAnsi="Courier New" w:cs="Courier New"/>
          <w:sz w:val="16"/>
          <w:szCs w:val="16"/>
        </w:rPr>
        <w:t>.</w:t>
      </w:r>
    </w:p>
  </w:footnote>
  <w:footnote w:id="4">
    <w:p w14:paraId="527CBD2D" w14:textId="59E096F5" w:rsidR="009432FF" w:rsidRPr="00907517" w:rsidRDefault="009432FF" w:rsidP="00AB1632">
      <w:pPr>
        <w:pStyle w:val="Textonotapie"/>
        <w:jc w:val="both"/>
        <w:rPr>
          <w:rFonts w:ascii="Courier New" w:hAnsi="Courier New" w:cs="Courier New"/>
          <w:sz w:val="16"/>
          <w:szCs w:val="16"/>
        </w:rPr>
      </w:pPr>
      <w:r w:rsidRPr="00907517">
        <w:rPr>
          <w:rStyle w:val="Refdenotaalpie"/>
          <w:rFonts w:ascii="Courier New" w:hAnsi="Courier New" w:cs="Courier New"/>
          <w:sz w:val="16"/>
          <w:szCs w:val="16"/>
        </w:rPr>
        <w:footnoteRef/>
      </w:r>
      <w:r w:rsidRPr="00907517">
        <w:rPr>
          <w:rFonts w:ascii="Courier New" w:hAnsi="Courier New" w:cs="Courier New"/>
          <w:sz w:val="16"/>
          <w:szCs w:val="16"/>
        </w:rPr>
        <w:t xml:space="preserve"> </w:t>
      </w:r>
      <w:r w:rsidRPr="00907517">
        <w:rPr>
          <w:rFonts w:ascii="Courier New" w:hAnsi="Courier New" w:cs="Courier New"/>
          <w:sz w:val="16"/>
          <w:szCs w:val="16"/>
        </w:rPr>
        <w:t>19.937</w:t>
      </w:r>
      <w:r w:rsidR="00AB1632" w:rsidRPr="00907517">
        <w:rPr>
          <w:rFonts w:ascii="Courier New" w:hAnsi="Courier New" w:cs="Courier New"/>
          <w:sz w:val="16"/>
          <w:szCs w:val="16"/>
        </w:rPr>
        <w:t>:</w:t>
      </w:r>
      <w:r w:rsidRPr="00907517">
        <w:rPr>
          <w:rFonts w:ascii="Courier New" w:hAnsi="Courier New" w:cs="Courier New"/>
          <w:sz w:val="16"/>
          <w:szCs w:val="16"/>
        </w:rPr>
        <w:t xml:space="preserve"> </w:t>
      </w:r>
      <w:r w:rsidRPr="00907517">
        <w:rPr>
          <w:rFonts w:ascii="Courier New" w:hAnsi="Courier New" w:cs="Courier New"/>
          <w:sz w:val="16"/>
          <w:szCs w:val="16"/>
        </w:rPr>
        <w:t>Modifica el Decreto Ley Nº 2.763, de 1979,</w:t>
      </w:r>
      <w:r w:rsidRPr="00907517">
        <w:rPr>
          <w:rFonts w:ascii="Courier New" w:hAnsi="Courier New" w:cs="Courier New"/>
          <w:sz w:val="16"/>
          <w:szCs w:val="16"/>
        </w:rPr>
        <w:t xml:space="preserve"> </w:t>
      </w:r>
      <w:r w:rsidRPr="00907517">
        <w:rPr>
          <w:rFonts w:ascii="Courier New" w:hAnsi="Courier New" w:cs="Courier New"/>
          <w:sz w:val="16"/>
          <w:szCs w:val="16"/>
        </w:rPr>
        <w:t>con la finalidad de establecer una nueva</w:t>
      </w:r>
      <w:r w:rsidRPr="00907517">
        <w:rPr>
          <w:rFonts w:ascii="Courier New" w:hAnsi="Courier New" w:cs="Courier New"/>
          <w:sz w:val="16"/>
          <w:szCs w:val="16"/>
        </w:rPr>
        <w:t xml:space="preserve"> </w:t>
      </w:r>
      <w:r w:rsidRPr="00907517">
        <w:rPr>
          <w:rFonts w:ascii="Courier New" w:hAnsi="Courier New" w:cs="Courier New"/>
          <w:sz w:val="16"/>
          <w:szCs w:val="16"/>
        </w:rPr>
        <w:t>concepción de la autoridad sanitaria,</w:t>
      </w:r>
      <w:r w:rsidRPr="00907517">
        <w:rPr>
          <w:rFonts w:ascii="Courier New" w:hAnsi="Courier New" w:cs="Courier New"/>
          <w:sz w:val="16"/>
          <w:szCs w:val="16"/>
        </w:rPr>
        <w:t xml:space="preserve"> </w:t>
      </w:r>
      <w:r w:rsidRPr="00907517">
        <w:rPr>
          <w:rFonts w:ascii="Courier New" w:hAnsi="Courier New" w:cs="Courier New"/>
          <w:sz w:val="16"/>
          <w:szCs w:val="16"/>
        </w:rPr>
        <w:t>distintas modalidades de gestión y fortalecer</w:t>
      </w:r>
      <w:r w:rsidRPr="00907517">
        <w:rPr>
          <w:rFonts w:ascii="Courier New" w:hAnsi="Courier New" w:cs="Courier New"/>
          <w:sz w:val="16"/>
          <w:szCs w:val="16"/>
        </w:rPr>
        <w:t xml:space="preserve"> </w:t>
      </w:r>
      <w:r w:rsidRPr="00907517">
        <w:rPr>
          <w:rFonts w:ascii="Courier New" w:hAnsi="Courier New" w:cs="Courier New"/>
          <w:sz w:val="16"/>
          <w:szCs w:val="16"/>
        </w:rPr>
        <w:t>la participación ciudadana.</w:t>
      </w:r>
    </w:p>
  </w:footnote>
  <w:footnote w:id="5">
    <w:p w14:paraId="1038A019" w14:textId="7CAADB70" w:rsidR="00BD3997" w:rsidRPr="00907517" w:rsidRDefault="00BD3997" w:rsidP="00AB1632">
      <w:pPr>
        <w:pStyle w:val="Textonotapie"/>
        <w:jc w:val="both"/>
        <w:rPr>
          <w:rFonts w:ascii="Courier New" w:hAnsi="Courier New" w:cs="Courier New"/>
          <w:sz w:val="16"/>
          <w:szCs w:val="16"/>
        </w:rPr>
      </w:pPr>
      <w:r w:rsidRPr="00907517">
        <w:rPr>
          <w:rStyle w:val="Refdenotaalpie"/>
          <w:rFonts w:ascii="Courier New" w:hAnsi="Courier New" w:cs="Courier New"/>
          <w:sz w:val="16"/>
          <w:szCs w:val="16"/>
        </w:rPr>
        <w:footnoteRef/>
      </w:r>
      <w:r w:rsidRPr="00907517">
        <w:rPr>
          <w:rFonts w:ascii="Courier New" w:hAnsi="Courier New" w:cs="Courier New"/>
          <w:sz w:val="16"/>
          <w:szCs w:val="16"/>
        </w:rPr>
        <w:t xml:space="preserve"> </w:t>
      </w:r>
      <w:r w:rsidRPr="00907517">
        <w:rPr>
          <w:rFonts w:ascii="Courier New" w:hAnsi="Courier New" w:cs="Courier New"/>
          <w:sz w:val="16"/>
          <w:szCs w:val="16"/>
        </w:rPr>
        <w:t>19.966:</w:t>
      </w:r>
      <w:r w:rsidRPr="00907517">
        <w:rPr>
          <w:rFonts w:ascii="Courier New" w:hAnsi="Courier New" w:cs="Courier New"/>
          <w:sz w:val="16"/>
          <w:szCs w:val="16"/>
        </w:rPr>
        <w:t xml:space="preserve"> </w:t>
      </w:r>
      <w:r w:rsidRPr="00907517">
        <w:rPr>
          <w:rFonts w:ascii="Courier New" w:hAnsi="Courier New" w:cs="Courier New"/>
          <w:sz w:val="16"/>
          <w:szCs w:val="16"/>
        </w:rPr>
        <w:t>Establece un régimen de garantías en salud</w:t>
      </w:r>
      <w:r w:rsidR="00AB1632" w:rsidRPr="00907517">
        <w:rPr>
          <w:rFonts w:ascii="Courier New" w:hAnsi="Courier New" w:cs="Courier New"/>
          <w:sz w:val="16"/>
          <w:szCs w:val="16"/>
        </w:rPr>
        <w:t>.</w:t>
      </w:r>
    </w:p>
  </w:footnote>
  <w:footnote w:id="6">
    <w:p w14:paraId="27251428" w14:textId="4E2F23A4" w:rsidR="00752432" w:rsidRDefault="00752432" w:rsidP="00AB1632">
      <w:pPr>
        <w:pStyle w:val="Textonotapie"/>
        <w:jc w:val="both"/>
      </w:pPr>
      <w:r w:rsidRPr="00907517">
        <w:rPr>
          <w:rStyle w:val="Refdenotaalpie"/>
          <w:rFonts w:ascii="Courier New" w:hAnsi="Courier New" w:cs="Courier New"/>
          <w:sz w:val="16"/>
          <w:szCs w:val="16"/>
        </w:rPr>
        <w:footnoteRef/>
      </w:r>
      <w:r w:rsidRPr="00907517">
        <w:rPr>
          <w:rFonts w:ascii="Courier New" w:hAnsi="Courier New" w:cs="Courier New"/>
          <w:sz w:val="16"/>
          <w:szCs w:val="16"/>
        </w:rPr>
        <w:t xml:space="preserve"> Ley 20.584, Regula los derechos y deberes que tienen las personas en relación con acciones vinculadas a su atención en salud</w:t>
      </w:r>
    </w:p>
  </w:footnote>
  <w:footnote w:id="7">
    <w:p w14:paraId="69DD395C" w14:textId="2788A956" w:rsidR="001D40F5" w:rsidRPr="00E41F2B" w:rsidRDefault="001D40F5" w:rsidP="00E41F2B">
      <w:pPr>
        <w:pStyle w:val="Textonotapie"/>
        <w:rPr>
          <w:rFonts w:ascii="Courier New" w:hAnsi="Courier New" w:cs="Courier New"/>
          <w:sz w:val="16"/>
          <w:szCs w:val="16"/>
        </w:rPr>
      </w:pPr>
      <w:r w:rsidRPr="00E41F2B">
        <w:rPr>
          <w:rStyle w:val="Refdenotaalpie"/>
          <w:rFonts w:ascii="Courier New" w:hAnsi="Courier New" w:cs="Courier New"/>
          <w:sz w:val="16"/>
          <w:szCs w:val="16"/>
        </w:rPr>
        <w:footnoteRef/>
      </w:r>
      <w:r w:rsidRPr="00E41F2B">
        <w:rPr>
          <w:rFonts w:ascii="Courier New" w:hAnsi="Courier New" w:cs="Courier New"/>
          <w:sz w:val="16"/>
          <w:szCs w:val="16"/>
        </w:rPr>
        <w:t xml:space="preserve"> El a</w:t>
      </w:r>
      <w:r w:rsidRPr="00E41F2B">
        <w:rPr>
          <w:rFonts w:ascii="Courier New" w:hAnsi="Courier New" w:cs="Courier New"/>
          <w:sz w:val="16"/>
          <w:szCs w:val="16"/>
        </w:rPr>
        <w:t>rtículo 4°</w:t>
      </w:r>
      <w:r w:rsidRPr="00E41F2B">
        <w:rPr>
          <w:rFonts w:ascii="Courier New" w:hAnsi="Courier New" w:cs="Courier New"/>
          <w:sz w:val="16"/>
          <w:szCs w:val="16"/>
        </w:rPr>
        <w:t xml:space="preserve"> del D.F.L. 1, de 2005, del Minsal, señala que </w:t>
      </w:r>
      <w:r w:rsidRPr="00E41F2B">
        <w:rPr>
          <w:rFonts w:ascii="Courier New" w:hAnsi="Courier New" w:cs="Courier New"/>
          <w:i/>
          <w:iCs/>
          <w:sz w:val="16"/>
          <w:szCs w:val="16"/>
        </w:rPr>
        <w:t>“</w:t>
      </w:r>
      <w:r w:rsidRPr="00E41F2B">
        <w:rPr>
          <w:rFonts w:ascii="Courier New" w:hAnsi="Courier New" w:cs="Courier New"/>
          <w:i/>
          <w:iCs/>
          <w:sz w:val="16"/>
          <w:szCs w:val="16"/>
        </w:rPr>
        <w:t xml:space="preserve">Al Ministerio de Salud le corresponderá formular, fijar y controlar las políticas de salud. </w:t>
      </w:r>
      <w:r w:rsidRPr="00E41F2B">
        <w:rPr>
          <w:rFonts w:ascii="Courier New" w:hAnsi="Courier New" w:cs="Courier New"/>
          <w:i/>
          <w:iCs/>
          <w:sz w:val="16"/>
          <w:szCs w:val="16"/>
        </w:rPr>
        <w:t xml:space="preserve">En </w:t>
      </w:r>
      <w:r w:rsidRPr="00E41F2B">
        <w:rPr>
          <w:rFonts w:ascii="Courier New" w:hAnsi="Courier New" w:cs="Courier New"/>
          <w:i/>
          <w:iCs/>
          <w:sz w:val="16"/>
          <w:szCs w:val="16"/>
        </w:rPr>
        <w:t>consecuencia tendrá, entre otras, las siguientes funciones:</w:t>
      </w:r>
      <w:r w:rsidR="00E41F2B" w:rsidRPr="00E41F2B">
        <w:rPr>
          <w:rFonts w:ascii="Courier New" w:hAnsi="Courier New" w:cs="Courier New"/>
          <w:i/>
          <w:iCs/>
          <w:sz w:val="16"/>
          <w:szCs w:val="16"/>
        </w:rPr>
        <w:t xml:space="preserve"> (…)”</w:t>
      </w:r>
      <w:r w:rsidR="00E41F2B">
        <w:rPr>
          <w:rFonts w:ascii="Courier New" w:hAnsi="Courier New" w:cs="Courier New"/>
          <w:i/>
          <w:iCs/>
          <w:sz w:val="16"/>
          <w:szCs w:val="16"/>
        </w:rPr>
        <w:t xml:space="preserve"> </w:t>
      </w:r>
      <w:r w:rsidR="00E41F2B" w:rsidRPr="00E41F2B">
        <w:rPr>
          <w:rFonts w:ascii="Courier New" w:hAnsi="Courier New" w:cs="Courier New"/>
          <w:i/>
          <w:iCs/>
          <w:sz w:val="16"/>
          <w:szCs w:val="16"/>
        </w:rPr>
        <w:t>1.- Ejercer la rectoría del sector</w:t>
      </w:r>
      <w:r w:rsidR="00E41F2B">
        <w:rPr>
          <w:rFonts w:ascii="Courier New" w:hAnsi="Courier New" w:cs="Courier New"/>
          <w:i/>
          <w:iCs/>
          <w:sz w:val="16"/>
          <w:szCs w:val="16"/>
        </w:rPr>
        <w:t xml:space="preserve"> </w:t>
      </w:r>
      <w:r w:rsidR="00E41F2B" w:rsidRPr="00E41F2B">
        <w:rPr>
          <w:rFonts w:ascii="Courier New" w:hAnsi="Courier New" w:cs="Courier New"/>
          <w:i/>
          <w:iCs/>
          <w:sz w:val="16"/>
          <w:szCs w:val="16"/>
        </w:rPr>
        <w:t>salud, la cual comprende, entre otras</w:t>
      </w:r>
      <w:r w:rsidR="00E41F2B">
        <w:rPr>
          <w:rFonts w:ascii="Courier New" w:hAnsi="Courier New" w:cs="Courier New"/>
          <w:i/>
          <w:iCs/>
          <w:sz w:val="16"/>
          <w:szCs w:val="16"/>
        </w:rPr>
        <w:t xml:space="preserve"> </w:t>
      </w:r>
      <w:r w:rsidR="00E41F2B" w:rsidRPr="00E41F2B">
        <w:rPr>
          <w:rFonts w:ascii="Courier New" w:hAnsi="Courier New" w:cs="Courier New"/>
          <w:i/>
          <w:iCs/>
          <w:sz w:val="16"/>
          <w:szCs w:val="16"/>
        </w:rPr>
        <w:t>materias:</w:t>
      </w:r>
      <w:r w:rsidR="00E41F2B">
        <w:rPr>
          <w:rFonts w:ascii="Courier New" w:hAnsi="Courier New" w:cs="Courier New"/>
          <w:i/>
          <w:iCs/>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27231"/>
    <w:multiLevelType w:val="hybridMultilevel"/>
    <w:tmpl w:val="2402A848"/>
    <w:lvl w:ilvl="0" w:tplc="832A8978">
      <w:start w:val="1"/>
      <w:numFmt w:val="bullet"/>
      <w:lvlText w:val="•"/>
      <w:lvlJc w:val="left"/>
      <w:pPr>
        <w:tabs>
          <w:tab w:val="num" w:pos="720"/>
        </w:tabs>
        <w:ind w:left="720" w:hanging="360"/>
      </w:pPr>
      <w:rPr>
        <w:rFonts w:ascii="Arial" w:hAnsi="Arial" w:hint="default"/>
      </w:rPr>
    </w:lvl>
    <w:lvl w:ilvl="1" w:tplc="36C209FC">
      <w:numFmt w:val="bullet"/>
      <w:lvlText w:val="•"/>
      <w:lvlJc w:val="left"/>
      <w:pPr>
        <w:tabs>
          <w:tab w:val="num" w:pos="1440"/>
        </w:tabs>
        <w:ind w:left="1440" w:hanging="360"/>
      </w:pPr>
      <w:rPr>
        <w:rFonts w:ascii="Arial" w:hAnsi="Arial" w:hint="default"/>
      </w:rPr>
    </w:lvl>
    <w:lvl w:ilvl="2" w:tplc="674ADD66" w:tentative="1">
      <w:start w:val="1"/>
      <w:numFmt w:val="bullet"/>
      <w:lvlText w:val="•"/>
      <w:lvlJc w:val="left"/>
      <w:pPr>
        <w:tabs>
          <w:tab w:val="num" w:pos="2160"/>
        </w:tabs>
        <w:ind w:left="2160" w:hanging="360"/>
      </w:pPr>
      <w:rPr>
        <w:rFonts w:ascii="Arial" w:hAnsi="Arial" w:hint="default"/>
      </w:rPr>
    </w:lvl>
    <w:lvl w:ilvl="3" w:tplc="4FD4D5F2" w:tentative="1">
      <w:start w:val="1"/>
      <w:numFmt w:val="bullet"/>
      <w:lvlText w:val="•"/>
      <w:lvlJc w:val="left"/>
      <w:pPr>
        <w:tabs>
          <w:tab w:val="num" w:pos="2880"/>
        </w:tabs>
        <w:ind w:left="2880" w:hanging="360"/>
      </w:pPr>
      <w:rPr>
        <w:rFonts w:ascii="Arial" w:hAnsi="Arial" w:hint="default"/>
      </w:rPr>
    </w:lvl>
    <w:lvl w:ilvl="4" w:tplc="4ACE1B4C" w:tentative="1">
      <w:start w:val="1"/>
      <w:numFmt w:val="bullet"/>
      <w:lvlText w:val="•"/>
      <w:lvlJc w:val="left"/>
      <w:pPr>
        <w:tabs>
          <w:tab w:val="num" w:pos="3600"/>
        </w:tabs>
        <w:ind w:left="3600" w:hanging="360"/>
      </w:pPr>
      <w:rPr>
        <w:rFonts w:ascii="Arial" w:hAnsi="Arial" w:hint="default"/>
      </w:rPr>
    </w:lvl>
    <w:lvl w:ilvl="5" w:tplc="9AD8BC7C" w:tentative="1">
      <w:start w:val="1"/>
      <w:numFmt w:val="bullet"/>
      <w:lvlText w:val="•"/>
      <w:lvlJc w:val="left"/>
      <w:pPr>
        <w:tabs>
          <w:tab w:val="num" w:pos="4320"/>
        </w:tabs>
        <w:ind w:left="4320" w:hanging="360"/>
      </w:pPr>
      <w:rPr>
        <w:rFonts w:ascii="Arial" w:hAnsi="Arial" w:hint="default"/>
      </w:rPr>
    </w:lvl>
    <w:lvl w:ilvl="6" w:tplc="7BE0C370" w:tentative="1">
      <w:start w:val="1"/>
      <w:numFmt w:val="bullet"/>
      <w:lvlText w:val="•"/>
      <w:lvlJc w:val="left"/>
      <w:pPr>
        <w:tabs>
          <w:tab w:val="num" w:pos="5040"/>
        </w:tabs>
        <w:ind w:left="5040" w:hanging="360"/>
      </w:pPr>
      <w:rPr>
        <w:rFonts w:ascii="Arial" w:hAnsi="Arial" w:hint="default"/>
      </w:rPr>
    </w:lvl>
    <w:lvl w:ilvl="7" w:tplc="226CEE0E" w:tentative="1">
      <w:start w:val="1"/>
      <w:numFmt w:val="bullet"/>
      <w:lvlText w:val="•"/>
      <w:lvlJc w:val="left"/>
      <w:pPr>
        <w:tabs>
          <w:tab w:val="num" w:pos="5760"/>
        </w:tabs>
        <w:ind w:left="5760" w:hanging="360"/>
      </w:pPr>
      <w:rPr>
        <w:rFonts w:ascii="Arial" w:hAnsi="Arial" w:hint="default"/>
      </w:rPr>
    </w:lvl>
    <w:lvl w:ilvl="8" w:tplc="307ED4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5F93E05"/>
    <w:multiLevelType w:val="hybridMultilevel"/>
    <w:tmpl w:val="8EB2A9DE"/>
    <w:lvl w:ilvl="0" w:tplc="340A000F">
      <w:start w:val="1"/>
      <w:numFmt w:val="decimal"/>
      <w:lvlText w:val="%1."/>
      <w:lvlJc w:val="left"/>
      <w:pPr>
        <w:ind w:left="720" w:hanging="360"/>
      </w:pPr>
      <w:rPr>
        <w:rFonts w:hint="default"/>
      </w:rPr>
    </w:lvl>
    <w:lvl w:ilvl="1" w:tplc="1C30C34E">
      <w:start w:val="1"/>
      <w:numFmt w:val="lowerLetter"/>
      <w:lvlText w:val="%2."/>
      <w:lvlJc w:val="left"/>
      <w:pPr>
        <w:ind w:left="1440" w:hanging="360"/>
      </w:pPr>
      <w:rPr>
        <w:i w:val="0"/>
        <w:iCs w:val="0"/>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2A"/>
    <w:rsid w:val="000168F8"/>
    <w:rsid w:val="00024276"/>
    <w:rsid w:val="000474B7"/>
    <w:rsid w:val="00050F19"/>
    <w:rsid w:val="00067925"/>
    <w:rsid w:val="000709D0"/>
    <w:rsid w:val="00077EE2"/>
    <w:rsid w:val="0009519D"/>
    <w:rsid w:val="000B1E36"/>
    <w:rsid w:val="000C304A"/>
    <w:rsid w:val="000F7269"/>
    <w:rsid w:val="00103777"/>
    <w:rsid w:val="00130E16"/>
    <w:rsid w:val="001576F8"/>
    <w:rsid w:val="00180675"/>
    <w:rsid w:val="001C1BCF"/>
    <w:rsid w:val="001D40F5"/>
    <w:rsid w:val="001E0C2C"/>
    <w:rsid w:val="001F2A94"/>
    <w:rsid w:val="0020039E"/>
    <w:rsid w:val="002440D2"/>
    <w:rsid w:val="00253181"/>
    <w:rsid w:val="00264017"/>
    <w:rsid w:val="00276B59"/>
    <w:rsid w:val="00285181"/>
    <w:rsid w:val="002B03FC"/>
    <w:rsid w:val="002C048C"/>
    <w:rsid w:val="002D1B76"/>
    <w:rsid w:val="00302382"/>
    <w:rsid w:val="00314911"/>
    <w:rsid w:val="00342155"/>
    <w:rsid w:val="00353B04"/>
    <w:rsid w:val="0036469A"/>
    <w:rsid w:val="003837FA"/>
    <w:rsid w:val="00391594"/>
    <w:rsid w:val="00392FE7"/>
    <w:rsid w:val="003958C6"/>
    <w:rsid w:val="003F4DBC"/>
    <w:rsid w:val="00432F24"/>
    <w:rsid w:val="004612B2"/>
    <w:rsid w:val="004638BC"/>
    <w:rsid w:val="00491952"/>
    <w:rsid w:val="004A692A"/>
    <w:rsid w:val="004C0240"/>
    <w:rsid w:val="004C5B47"/>
    <w:rsid w:val="004F016C"/>
    <w:rsid w:val="00504D12"/>
    <w:rsid w:val="00504E38"/>
    <w:rsid w:val="00537E76"/>
    <w:rsid w:val="005B4716"/>
    <w:rsid w:val="005B5643"/>
    <w:rsid w:val="005B7A4D"/>
    <w:rsid w:val="0060432B"/>
    <w:rsid w:val="006344E2"/>
    <w:rsid w:val="00660B72"/>
    <w:rsid w:val="006630F7"/>
    <w:rsid w:val="006A1F3D"/>
    <w:rsid w:val="006F1F26"/>
    <w:rsid w:val="0070646B"/>
    <w:rsid w:val="00707D69"/>
    <w:rsid w:val="00716AB3"/>
    <w:rsid w:val="00731F50"/>
    <w:rsid w:val="00752432"/>
    <w:rsid w:val="007900C6"/>
    <w:rsid w:val="007C26C4"/>
    <w:rsid w:val="007E6AD2"/>
    <w:rsid w:val="00800BA4"/>
    <w:rsid w:val="00804E54"/>
    <w:rsid w:val="00823065"/>
    <w:rsid w:val="008734D2"/>
    <w:rsid w:val="00877A1B"/>
    <w:rsid w:val="00890F8E"/>
    <w:rsid w:val="008C7FC2"/>
    <w:rsid w:val="008E274C"/>
    <w:rsid w:val="008F7E1C"/>
    <w:rsid w:val="00902574"/>
    <w:rsid w:val="00907517"/>
    <w:rsid w:val="009211A0"/>
    <w:rsid w:val="00923D4B"/>
    <w:rsid w:val="00930F42"/>
    <w:rsid w:val="009432FF"/>
    <w:rsid w:val="0095643D"/>
    <w:rsid w:val="009C4F80"/>
    <w:rsid w:val="009E7416"/>
    <w:rsid w:val="009F0B88"/>
    <w:rsid w:val="00A06686"/>
    <w:rsid w:val="00A06B08"/>
    <w:rsid w:val="00A15C6E"/>
    <w:rsid w:val="00A73201"/>
    <w:rsid w:val="00A92CE4"/>
    <w:rsid w:val="00AB1632"/>
    <w:rsid w:val="00AB70D9"/>
    <w:rsid w:val="00AD1E44"/>
    <w:rsid w:val="00AF435C"/>
    <w:rsid w:val="00B0429E"/>
    <w:rsid w:val="00B06D51"/>
    <w:rsid w:val="00B1325F"/>
    <w:rsid w:val="00BA6B1F"/>
    <w:rsid w:val="00BD3997"/>
    <w:rsid w:val="00C219F9"/>
    <w:rsid w:val="00CA4530"/>
    <w:rsid w:val="00CE3392"/>
    <w:rsid w:val="00CF246F"/>
    <w:rsid w:val="00CF5ABA"/>
    <w:rsid w:val="00DB246C"/>
    <w:rsid w:val="00DB5A5C"/>
    <w:rsid w:val="00DD1F78"/>
    <w:rsid w:val="00DF67DF"/>
    <w:rsid w:val="00DF79A4"/>
    <w:rsid w:val="00E41F2B"/>
    <w:rsid w:val="00E6084C"/>
    <w:rsid w:val="00E62901"/>
    <w:rsid w:val="00ED2AD4"/>
    <w:rsid w:val="00ED2B91"/>
    <w:rsid w:val="00F0643E"/>
    <w:rsid w:val="00F14B09"/>
    <w:rsid w:val="00F424E0"/>
    <w:rsid w:val="00F60A4A"/>
    <w:rsid w:val="00F9799A"/>
    <w:rsid w:val="00FA00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C840"/>
  <w15:chartTrackingRefBased/>
  <w15:docId w15:val="{7A2852C6-53D9-47E1-B08C-7C130984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692A"/>
    <w:pPr>
      <w:ind w:left="720"/>
      <w:contextualSpacing/>
    </w:pPr>
  </w:style>
  <w:style w:type="paragraph" w:styleId="Textonotapie">
    <w:name w:val="footnote text"/>
    <w:basedOn w:val="Normal"/>
    <w:link w:val="TextonotapieCar"/>
    <w:uiPriority w:val="99"/>
    <w:semiHidden/>
    <w:unhideWhenUsed/>
    <w:rsid w:val="00CF24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F246F"/>
    <w:rPr>
      <w:sz w:val="20"/>
      <w:szCs w:val="20"/>
    </w:rPr>
  </w:style>
  <w:style w:type="character" w:styleId="Refdenotaalpie">
    <w:name w:val="footnote reference"/>
    <w:basedOn w:val="Fuentedeprrafopredeter"/>
    <w:uiPriority w:val="99"/>
    <w:semiHidden/>
    <w:unhideWhenUsed/>
    <w:rsid w:val="00CF246F"/>
    <w:rPr>
      <w:vertAlign w:val="superscript"/>
    </w:rPr>
  </w:style>
  <w:style w:type="paragraph" w:styleId="HTMLconformatoprevio">
    <w:name w:val="HTML Preformatted"/>
    <w:basedOn w:val="Normal"/>
    <w:link w:val="HTMLconformatoprevioCar"/>
    <w:uiPriority w:val="99"/>
    <w:unhideWhenUsed/>
    <w:rsid w:val="00CF2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CF246F"/>
    <w:rPr>
      <w:rFonts w:ascii="Courier New" w:eastAsia="Times New Roman" w:hAnsi="Courier New" w:cs="Courier New"/>
      <w:sz w:val="20"/>
      <w:szCs w:val="20"/>
      <w:lang w:eastAsia="es-CL"/>
    </w:rPr>
  </w:style>
  <w:style w:type="paragraph" w:styleId="Textodeglobo">
    <w:name w:val="Balloon Text"/>
    <w:basedOn w:val="Normal"/>
    <w:link w:val="TextodegloboCar"/>
    <w:uiPriority w:val="99"/>
    <w:semiHidden/>
    <w:unhideWhenUsed/>
    <w:rsid w:val="007064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646B"/>
    <w:rPr>
      <w:rFonts w:ascii="Segoe UI" w:hAnsi="Segoe UI" w:cs="Segoe UI"/>
      <w:sz w:val="18"/>
      <w:szCs w:val="18"/>
    </w:rPr>
  </w:style>
  <w:style w:type="character" w:styleId="Hipervnculo">
    <w:name w:val="Hyperlink"/>
    <w:basedOn w:val="Fuentedeprrafopredeter"/>
    <w:uiPriority w:val="99"/>
    <w:unhideWhenUsed/>
    <w:rsid w:val="00CE3392"/>
    <w:rPr>
      <w:color w:val="0563C1" w:themeColor="hyperlink"/>
      <w:u w:val="single"/>
    </w:rPr>
  </w:style>
  <w:style w:type="character" w:styleId="Mencinsinresolver">
    <w:name w:val="Unresolved Mention"/>
    <w:basedOn w:val="Fuentedeprrafopredeter"/>
    <w:uiPriority w:val="99"/>
    <w:semiHidden/>
    <w:unhideWhenUsed/>
    <w:rsid w:val="00CE3392"/>
    <w:rPr>
      <w:color w:val="605E5C"/>
      <w:shd w:val="clear" w:color="auto" w:fill="E1DFDD"/>
    </w:rPr>
  </w:style>
  <w:style w:type="character" w:styleId="Hipervnculovisitado">
    <w:name w:val="FollowedHyperlink"/>
    <w:basedOn w:val="Fuentedeprrafopredeter"/>
    <w:uiPriority w:val="99"/>
    <w:semiHidden/>
    <w:unhideWhenUsed/>
    <w:rsid w:val="00504E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963130">
      <w:bodyDiv w:val="1"/>
      <w:marLeft w:val="0"/>
      <w:marRight w:val="0"/>
      <w:marTop w:val="0"/>
      <w:marBottom w:val="0"/>
      <w:divBdr>
        <w:top w:val="none" w:sz="0" w:space="0" w:color="auto"/>
        <w:left w:val="none" w:sz="0" w:space="0" w:color="auto"/>
        <w:bottom w:val="none" w:sz="0" w:space="0" w:color="auto"/>
        <w:right w:val="none" w:sz="0" w:space="0" w:color="auto"/>
      </w:divBdr>
    </w:div>
    <w:div w:id="1991981419">
      <w:bodyDiv w:val="1"/>
      <w:marLeft w:val="0"/>
      <w:marRight w:val="0"/>
      <w:marTop w:val="0"/>
      <w:marBottom w:val="0"/>
      <w:divBdr>
        <w:top w:val="none" w:sz="0" w:space="0" w:color="auto"/>
        <w:left w:val="none" w:sz="0" w:space="0" w:color="auto"/>
        <w:bottom w:val="none" w:sz="0" w:space="0" w:color="auto"/>
        <w:right w:val="none" w:sz="0" w:space="0" w:color="auto"/>
      </w:divBdr>
      <w:divsChild>
        <w:div w:id="506483479">
          <w:marLeft w:val="360"/>
          <w:marRight w:val="0"/>
          <w:marTop w:val="200"/>
          <w:marBottom w:val="0"/>
          <w:divBdr>
            <w:top w:val="none" w:sz="0" w:space="0" w:color="auto"/>
            <w:left w:val="none" w:sz="0" w:space="0" w:color="auto"/>
            <w:bottom w:val="none" w:sz="0" w:space="0" w:color="auto"/>
            <w:right w:val="none" w:sz="0" w:space="0" w:color="auto"/>
          </w:divBdr>
        </w:div>
        <w:div w:id="31423391">
          <w:marLeft w:val="360"/>
          <w:marRight w:val="0"/>
          <w:marTop w:val="200"/>
          <w:marBottom w:val="0"/>
          <w:divBdr>
            <w:top w:val="none" w:sz="0" w:space="0" w:color="auto"/>
            <w:left w:val="none" w:sz="0" w:space="0" w:color="auto"/>
            <w:bottom w:val="none" w:sz="0" w:space="0" w:color="auto"/>
            <w:right w:val="none" w:sz="0" w:space="0" w:color="auto"/>
          </w:divBdr>
        </w:div>
        <w:div w:id="993223630">
          <w:marLeft w:val="360"/>
          <w:marRight w:val="0"/>
          <w:marTop w:val="200"/>
          <w:marBottom w:val="0"/>
          <w:divBdr>
            <w:top w:val="none" w:sz="0" w:space="0" w:color="auto"/>
            <w:left w:val="none" w:sz="0" w:space="0" w:color="auto"/>
            <w:bottom w:val="none" w:sz="0" w:space="0" w:color="auto"/>
            <w:right w:val="none" w:sz="0" w:space="0" w:color="auto"/>
          </w:divBdr>
        </w:div>
        <w:div w:id="409622097">
          <w:marLeft w:val="360"/>
          <w:marRight w:val="0"/>
          <w:marTop w:val="200"/>
          <w:marBottom w:val="0"/>
          <w:divBdr>
            <w:top w:val="none" w:sz="0" w:space="0" w:color="auto"/>
            <w:left w:val="none" w:sz="0" w:space="0" w:color="auto"/>
            <w:bottom w:val="none" w:sz="0" w:space="0" w:color="auto"/>
            <w:right w:val="none" w:sz="0" w:space="0" w:color="auto"/>
          </w:divBdr>
        </w:div>
        <w:div w:id="597175765">
          <w:marLeft w:val="1080"/>
          <w:marRight w:val="0"/>
          <w:marTop w:val="100"/>
          <w:marBottom w:val="0"/>
          <w:divBdr>
            <w:top w:val="none" w:sz="0" w:space="0" w:color="auto"/>
            <w:left w:val="none" w:sz="0" w:space="0" w:color="auto"/>
            <w:bottom w:val="none" w:sz="0" w:space="0" w:color="auto"/>
            <w:right w:val="none" w:sz="0" w:space="0" w:color="auto"/>
          </w:divBdr>
        </w:div>
        <w:div w:id="367223358">
          <w:marLeft w:val="1080"/>
          <w:marRight w:val="0"/>
          <w:marTop w:val="100"/>
          <w:marBottom w:val="0"/>
          <w:divBdr>
            <w:top w:val="none" w:sz="0" w:space="0" w:color="auto"/>
            <w:left w:val="none" w:sz="0" w:space="0" w:color="auto"/>
            <w:bottom w:val="none" w:sz="0" w:space="0" w:color="auto"/>
            <w:right w:val="none" w:sz="0" w:space="0" w:color="auto"/>
          </w:divBdr>
        </w:div>
        <w:div w:id="105083314">
          <w:marLeft w:val="1080"/>
          <w:marRight w:val="0"/>
          <w:marTop w:val="100"/>
          <w:marBottom w:val="0"/>
          <w:divBdr>
            <w:top w:val="none" w:sz="0" w:space="0" w:color="auto"/>
            <w:left w:val="none" w:sz="0" w:space="0" w:color="auto"/>
            <w:bottom w:val="none" w:sz="0" w:space="0" w:color="auto"/>
            <w:right w:val="none" w:sz="0" w:space="0" w:color="auto"/>
          </w:divBdr>
        </w:div>
        <w:div w:id="74850266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9941C-173F-4EB2-B50F-0863E619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710</Words>
  <Characters>3908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Junyent Ruiz</dc:creator>
  <cp:keywords/>
  <dc:description/>
  <cp:lastModifiedBy>Jaime Junyent Ruiz</cp:lastModifiedBy>
  <cp:revision>5</cp:revision>
  <dcterms:created xsi:type="dcterms:W3CDTF">2019-07-15T19:33:00Z</dcterms:created>
  <dcterms:modified xsi:type="dcterms:W3CDTF">2019-07-15T20:57:00Z</dcterms:modified>
</cp:coreProperties>
</file>